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7B3F00"/>
          <w:sz w:val="34"/>
          <w:szCs w:val="34"/>
        </w:rPr>
        <w:t xml:space="preserve">Nassau Candy Distributor</w:t>
      </w:r>
    </w:p>
    <w:p>
      <w:pPr>
        <w:spacing w:after="220"/>
        <w:jc w:val="center"/>
      </w:pPr>
      <w:r>
        <w:rPr>
          <w:rFonts w:ascii="Calibri" w:cs="Calibri" w:eastAsia="Calibri" w:hAnsi="Calibri"/>
          <w:i/>
          <w:iCs/>
          <w:color w:val="555555"/>
          <w:sz w:val="24"/>
          <w:szCs w:val="24"/>
        </w:rPr>
        <w:t xml:space="preserve">Product Profitability Review — Executive Summary</w:t>
      </w:r>
    </w:p>
    <w:p>
      <w:pPr>
        <w:spacing w:after="120"/>
        <w:jc w:val="both"/>
      </w:pPr>
      <w:r>
        <w:rPr>
          <w:rFonts w:ascii="Calibri" w:cs="Calibri" w:eastAsia="Calibri" w:hAnsi="Calibri"/>
          <w:sz w:val="21"/>
          <w:szCs w:val="21"/>
        </w:rPr>
        <w:t xml:space="preserve">This review examined every product Nassau Candy sold between January 2024 and December 2025 to answer a simple question: which products actually make money, and which only look successful because they sell a lot? Selling well and being profitable are not always the same thing, and the review found real differences between the two.</w:t>
      </w:r>
    </w:p>
    <w:p>
      <w:pPr>
        <w:spacing w:after="100" w:before="200"/>
      </w:pPr>
      <w:r>
        <w:rPr>
          <w:rFonts w:ascii="Calibri" w:cs="Calibri" w:eastAsia="Calibri" w:hAnsi="Calibri"/>
          <w:b/>
          <w:bCs/>
          <w:color w:val="7B3F00"/>
          <w:sz w:val="28"/>
          <w:szCs w:val="28"/>
        </w:rPr>
        <w:t xml:space="preserve">What We Found</w:t>
      </w:r>
    </w:p>
    <w:p>
      <w:pPr>
        <w:pStyle w:val="ListParagraph"/>
        <w:numPr>
          <w:ilvl w:val="0"/>
          <w:numId w:val="1"/>
        </w:numPr>
        <w:spacing w:after="70"/>
      </w:pPr>
      <w:r>
        <w:rPr>
          <w:rFonts w:ascii="Calibri" w:cs="Calibri" w:eastAsia="Calibri" w:hAnsi="Calibri"/>
          <w:b/>
          <w:bCs/>
          <w:sz w:val="21"/>
          <w:szCs w:val="21"/>
        </w:rPr>
        <w:t xml:space="preserve">A handful of products carry the entire business.</w:t>
      </w:r>
      <w:r>
        <w:rPr>
          <w:rFonts w:ascii="Calibri" w:cs="Calibri" w:eastAsia="Calibri" w:hAnsi="Calibri"/>
          <w:sz w:val="21"/>
          <w:szCs w:val="21"/>
        </w:rPr>
        <w:t xml:space="preserve"> Just 5 of our 15 products — all Chocolate items — bring in 95% of total profit. The other 10 products together contribute less than 5%.</w:t>
      </w:r>
    </w:p>
    <w:p>
      <w:pPr>
        <w:pStyle w:val="ListParagraph"/>
        <w:numPr>
          <w:ilvl w:val="0"/>
          <w:numId w:val="1"/>
        </w:numPr>
        <w:spacing w:after="70"/>
      </w:pPr>
      <w:r>
        <w:rPr>
          <w:rFonts w:ascii="Calibri" w:cs="Calibri" w:eastAsia="Calibri" w:hAnsi="Calibri"/>
          <w:b/>
          <w:bCs/>
          <w:sz w:val="21"/>
          <w:szCs w:val="21"/>
        </w:rPr>
        <w:t xml:space="preserve">The Chocolate line is healthy and efficient.</w:t>
      </w:r>
      <w:r>
        <w:rPr>
          <w:rFonts w:ascii="Calibri" w:cs="Calibri" w:eastAsia="Calibri" w:hAnsi="Calibri"/>
          <w:sz w:val="21"/>
          <w:szCs w:val="21"/>
        </w:rPr>
        <w:t xml:space="preserve"> It accounts for 93% of sales and returns an even higher 95% of profit, meaning it earns more than its fair share — a sign of strong pricing and cost control.</w:t>
      </w:r>
    </w:p>
    <w:p>
      <w:pPr>
        <w:pStyle w:val="ListParagraph"/>
        <w:numPr>
          <w:ilvl w:val="0"/>
          <w:numId w:val="1"/>
        </w:numPr>
        <w:spacing w:after="70"/>
      </w:pPr>
      <w:r>
        <w:rPr>
          <w:rFonts w:ascii="Calibri" w:cs="Calibri" w:eastAsia="Calibri" w:hAnsi="Calibri"/>
          <w:b/>
          <w:bCs/>
          <w:sz w:val="21"/>
          <w:szCs w:val="21"/>
        </w:rPr>
        <w:t xml:space="preserve">The "Other" product category is underperforming.</w:t>
      </w:r>
      <w:r>
        <w:rPr>
          <w:rFonts w:ascii="Calibri" w:cs="Calibri" w:eastAsia="Calibri" w:hAnsi="Calibri"/>
          <w:sz w:val="21"/>
          <w:szCs w:val="21"/>
        </w:rPr>
        <w:t xml:space="preserve"> It brings in 7% of sales but only 5% of profit, and its margins are the lowest of any category — costs are eating into revenue more than they should.</w:t>
      </w:r>
    </w:p>
    <w:p>
      <w:pPr>
        <w:pStyle w:val="ListParagraph"/>
        <w:numPr>
          <w:ilvl w:val="0"/>
          <w:numId w:val="1"/>
        </w:numPr>
        <w:spacing w:after="70"/>
      </w:pPr>
      <w:r>
        <w:rPr>
          <w:rFonts w:ascii="Calibri" w:cs="Calibri" w:eastAsia="Calibri" w:hAnsi="Calibri"/>
          <w:b/>
          <w:bCs/>
          <w:sz w:val="21"/>
          <w:szCs w:val="21"/>
        </w:rPr>
        <w:t xml:space="preserve">One product stands out as a concern.</w:t>
      </w:r>
      <w:r>
        <w:rPr>
          <w:rFonts w:ascii="Calibri" w:cs="Calibri" w:eastAsia="Calibri" w:hAnsi="Calibri"/>
          <w:sz w:val="21"/>
          <w:szCs w:val="21"/>
        </w:rPr>
        <w:t xml:space="preserve"> Kazookles sells a reasonable amount but keeps only about 8 cents of profit per dollar of sales — far below the company average of 57 cents. It is made at The Other Factory, whose overall profit rate is only 12 cents per dollar versus 65–69 cents at the two Chocolate factories, so it needs a pricing and cost review.</w:t>
      </w:r>
    </w:p>
    <w:p>
      <w:pPr>
        <w:pStyle w:val="ListParagraph"/>
        <w:numPr>
          <w:ilvl w:val="0"/>
          <w:numId w:val="1"/>
        </w:numPr>
        <w:spacing w:after="70"/>
      </w:pPr>
      <w:r>
        <w:rPr>
          <w:rFonts w:ascii="Calibri" w:cs="Calibri" w:eastAsia="Calibri" w:hAnsi="Calibri"/>
          <w:b/>
          <w:bCs/>
          <w:sz w:val="21"/>
          <w:szCs w:val="21"/>
        </w:rPr>
        <w:t xml:space="preserve">Two small products are underused strengths.</w:t>
      </w:r>
      <w:r>
        <w:rPr>
          <w:rFonts w:ascii="Calibri" w:cs="Calibri" w:eastAsia="Calibri" w:hAnsi="Calibri"/>
          <w:sz w:val="21"/>
          <w:szCs w:val="21"/>
        </w:rPr>
        <w:t xml:space="preserve"> Everlasting Gobstopper and Hair Toffee earn 78–80 cents of profit per dollar sold, but sales volumes are tiny — there is room to grow them profitably.</w:t>
      </w:r>
    </w:p>
    <w:p>
      <w:pPr>
        <w:spacing w:after="100" w:before="200"/>
      </w:pPr>
      <w:r>
        <w:rPr>
          <w:rFonts w:ascii="Calibri" w:cs="Calibri" w:eastAsia="Calibri" w:hAnsi="Calibri"/>
          <w:b/>
          <w:bCs/>
          <w:color w:val="7B3F00"/>
          <w:sz w:val="28"/>
          <w:szCs w:val="28"/>
        </w:rPr>
        <w:t xml:space="preserve">Margin Stability</w:t>
      </w:r>
    </w:p>
    <w:p>
      <w:pPr>
        <w:spacing w:after="120"/>
        <w:jc w:val="both"/>
      </w:pPr>
      <w:r>
        <w:rPr>
          <w:rFonts w:ascii="Calibri" w:cs="Calibri" w:eastAsia="Calibri" w:hAnsi="Calibri"/>
          <w:sz w:val="21"/>
          <w:szCs w:val="21"/>
        </w:rPr>
        <w:t xml:space="preserve">Margins for every product have stayed essentially flat month after month, with no meaningful drift or seasonal swing. This is a positive sign: the pricing and cost issues flagged below (Kazookles, the "Other" category) are fixed, structural problems that a one-time pricing or sourcing fix can resolve — not ongoing instability that needs constant watching.</w:t>
      </w:r>
    </w:p>
    <w:p>
      <w:pPr>
        <w:spacing w:after="100" w:before="200"/>
      </w:pPr>
      <w:r>
        <w:rPr>
          <w:rFonts w:ascii="Calibri" w:cs="Calibri" w:eastAsia="Calibri" w:hAnsi="Calibri"/>
          <w:b/>
          <w:bCs/>
          <w:color w:val="7B3F00"/>
          <w:sz w:val="28"/>
          <w:szCs w:val="28"/>
        </w:rPr>
        <w:t xml:space="preserve">Business Risk</w:t>
      </w:r>
    </w:p>
    <w:p>
      <w:pPr>
        <w:spacing w:after="120"/>
        <w:jc w:val="both"/>
      </w:pPr>
      <w:r>
        <w:rPr>
          <w:rFonts w:ascii="Calibri" w:cs="Calibri" w:eastAsia="Calibri" w:hAnsi="Calibri"/>
          <w:sz w:val="21"/>
          <w:szCs w:val="21"/>
        </w:rPr>
        <w:t xml:space="preserve">Because so much profit depends on just 5 products, any disruption to them — a supply issue, rising ingredient costs, or falling demand — would hit the company's bottom line hard. This concentration should be actively managed, not left unmonitored.</w:t>
      </w:r>
    </w:p>
    <w:p>
      <w:pPr>
        <w:spacing w:after="100" w:before="200"/>
      </w:pPr>
      <w:r>
        <w:rPr>
          <w:rFonts w:ascii="Calibri" w:cs="Calibri" w:eastAsia="Calibri" w:hAnsi="Calibri"/>
          <w:b/>
          <w:bCs/>
          <w:color w:val="7B3F00"/>
          <w:sz w:val="28"/>
          <w:szCs w:val="28"/>
        </w:rPr>
        <w:t xml:space="preserve">Recommended Actions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7B3F00" w:val="clear"/>
            <w:vAlign w:val="center"/>
          </w:tcPr>
          <w:p>
            <w:pPr>
              <w:jc w:val="left"/>
            </w:pPr>
            <w:r>
              <w:rPr>
                <w:rFonts w:ascii="Calibri" w:cs="Calibri" w:eastAsia="Calibri" w:hAnsi="Calibri"/>
                <w:b/>
                <w:bCs/>
                <w:color w:val="FFFFFF"/>
                <w:sz w:val="19"/>
                <w:szCs w:val="19"/>
              </w:rPr>
              <w:t xml:space="preserve">Action</w:t>
            </w:r>
          </w:p>
        </w:tc>
        <w:tc>
          <w:tcPr>
            <w:tcW w:type="dxa" w:w="4300"/>
            <w:shd w:fill="7B3F00" w:val="clear"/>
            <w:vAlign w:val="center"/>
          </w:tcPr>
          <w:p>
            <w:pPr>
              <w:jc w:val="center"/>
            </w:pPr>
            <w:r>
              <w:rPr>
                <w:rFonts w:ascii="Calibri" w:cs="Calibri" w:eastAsia="Calibri" w:hAnsi="Calibri"/>
                <w:b/>
                <w:bCs/>
                <w:color w:val="FFFFFF"/>
                <w:sz w:val="19"/>
                <w:szCs w:val="19"/>
              </w:rPr>
              <w:t xml:space="preserve">Why</w:t>
            </w:r>
          </w:p>
        </w:tc>
      </w:tr>
      <w:tr>
        <w:tc>
          <w:tcPr>
            <w:tcW w:type="dxa" w:w="4300"/>
            <w:vAlign w:val="center"/>
          </w:tcPr>
          <w:p>
            <w:pPr>
              <w:jc w:val="left"/>
            </w:pPr>
            <w:r>
              <w:rPr>
                <w:rFonts w:ascii="Calibri" w:cs="Calibri" w:eastAsia="Calibri" w:hAnsi="Calibri"/>
                <w:b w:val="false"/>
                <w:bCs w:val="false"/>
                <w:color w:val="000000"/>
                <w:sz w:val="19"/>
                <w:szCs w:val="19"/>
              </w:rPr>
              <w:t xml:space="preserve">Protect supply and quality for the top 5 Chocolate products</w:t>
            </w:r>
          </w:p>
        </w:tc>
        <w:tc>
          <w:tcPr>
            <w:tcW w:type="dxa" w:w="4300"/>
            <w:vAlign w:val="center"/>
          </w:tcPr>
          <w:p>
            <w:pPr>
              <w:jc w:val="center"/>
            </w:pPr>
            <w:r>
              <w:rPr>
                <w:rFonts w:ascii="Calibri" w:cs="Calibri" w:eastAsia="Calibri" w:hAnsi="Calibri"/>
                <w:b w:val="false"/>
                <w:bCs w:val="false"/>
                <w:color w:val="000000"/>
                <w:sz w:val="19"/>
                <w:szCs w:val="19"/>
              </w:rPr>
              <w:t xml:space="preserve">They generate 95% of company profit</w:t>
            </w:r>
          </w:p>
        </w:tc>
      </w:tr>
      <w:tr>
        <w:tc>
          <w:tcPr>
            <w:tcW w:type="dxa" w:w="4300"/>
            <w:vAlign w:val="center"/>
          </w:tcPr>
          <w:p>
            <w:pPr>
              <w:jc w:val="left"/>
            </w:pPr>
            <w:r>
              <w:rPr>
                <w:rFonts w:ascii="Calibri" w:cs="Calibri" w:eastAsia="Calibri" w:hAnsi="Calibri"/>
                <w:b w:val="false"/>
                <w:bCs w:val="false"/>
                <w:color w:val="000000"/>
                <w:sz w:val="19"/>
                <w:szCs w:val="19"/>
              </w:rPr>
              <w:t xml:space="preserve">Review pricing/cost on Kazookles and talk to The Other Factory</w:t>
            </w:r>
          </w:p>
        </w:tc>
        <w:tc>
          <w:tcPr>
            <w:tcW w:type="dxa" w:w="4300"/>
            <w:vAlign w:val="center"/>
          </w:tcPr>
          <w:p>
            <w:pPr>
              <w:jc w:val="center"/>
            </w:pPr>
            <w:r>
              <w:rPr>
                <w:rFonts w:ascii="Calibri" w:cs="Calibri" w:eastAsia="Calibri" w:hAnsi="Calibri"/>
                <w:b w:val="false"/>
                <w:bCs w:val="false"/>
                <w:color w:val="000000"/>
                <w:sz w:val="19"/>
                <w:szCs w:val="19"/>
              </w:rPr>
              <w:t xml:space="preserve">Sells reasonably well but returns almost no profit; drags the factory to 12% margin</w:t>
            </w:r>
          </w:p>
        </w:tc>
      </w:tr>
      <w:tr>
        <w:tc>
          <w:tcPr>
            <w:tcW w:type="dxa" w:w="4300"/>
            <w:vAlign w:val="center"/>
          </w:tcPr>
          <w:p>
            <w:pPr>
              <w:jc w:val="left"/>
            </w:pPr>
            <w:r>
              <w:rPr>
                <w:rFonts w:ascii="Calibri" w:cs="Calibri" w:eastAsia="Calibri" w:hAnsi="Calibri"/>
                <w:b w:val="false"/>
                <w:bCs w:val="false"/>
                <w:color w:val="000000"/>
                <w:sz w:val="19"/>
                <w:szCs w:val="19"/>
              </w:rPr>
              <w:t xml:space="preserve">Investigate cost structure across the "Other" category</w:t>
            </w:r>
          </w:p>
        </w:tc>
        <w:tc>
          <w:tcPr>
            <w:tcW w:type="dxa" w:w="4300"/>
            <w:vAlign w:val="center"/>
          </w:tcPr>
          <w:p>
            <w:pPr>
              <w:jc w:val="center"/>
            </w:pPr>
            <w:r>
              <w:rPr>
                <w:rFonts w:ascii="Calibri" w:cs="Calibri" w:eastAsia="Calibri" w:hAnsi="Calibri"/>
                <w:b w:val="false"/>
                <w:bCs w:val="false"/>
                <w:color w:val="000000"/>
                <w:sz w:val="19"/>
                <w:szCs w:val="19"/>
              </w:rPr>
              <w:t xml:space="preserve">Lowest margins of any category, not a single-product issue</w:t>
            </w:r>
          </w:p>
        </w:tc>
      </w:tr>
      <w:tr>
        <w:tc>
          <w:tcPr>
            <w:tcW w:type="dxa" w:w="4300"/>
            <w:vAlign w:val="center"/>
          </w:tcPr>
          <w:p>
            <w:pPr>
              <w:jc w:val="left"/>
            </w:pPr>
            <w:r>
              <w:rPr>
                <w:rFonts w:ascii="Calibri" w:cs="Calibri" w:eastAsia="Calibri" w:hAnsi="Calibri"/>
                <w:b w:val="false"/>
                <w:bCs w:val="false"/>
                <w:color w:val="000000"/>
                <w:sz w:val="19"/>
                <w:szCs w:val="19"/>
              </w:rPr>
              <w:t xml:space="preserve">Increase marketing for Gobstopper and Hair Toffee</w:t>
            </w:r>
          </w:p>
        </w:tc>
        <w:tc>
          <w:tcPr>
            <w:tcW w:type="dxa" w:w="4300"/>
            <w:vAlign w:val="center"/>
          </w:tcPr>
          <w:p>
            <w:pPr>
              <w:jc w:val="center"/>
            </w:pPr>
            <w:r>
              <w:rPr>
                <w:rFonts w:ascii="Calibri" w:cs="Calibri" w:eastAsia="Calibri" w:hAnsi="Calibri"/>
                <w:b w:val="false"/>
                <w:bCs w:val="false"/>
                <w:color w:val="000000"/>
                <w:sz w:val="19"/>
                <w:szCs w:val="19"/>
              </w:rPr>
              <w:t xml:space="preserve">High margin, low volume — clear growth opportunity</w:t>
            </w:r>
          </w:p>
        </w:tc>
      </w:tr>
      <w:tr>
        <w:tc>
          <w:tcPr>
            <w:tcW w:type="dxa" w:w="4300"/>
            <w:vAlign w:val="center"/>
          </w:tcPr>
          <w:p>
            <w:pPr>
              <w:jc w:val="left"/>
            </w:pPr>
            <w:r>
              <w:rPr>
                <w:rFonts w:ascii="Calibri" w:cs="Calibri" w:eastAsia="Calibri" w:hAnsi="Calibri"/>
                <w:b w:val="false"/>
                <w:bCs w:val="false"/>
                <w:color w:val="000000"/>
                <w:sz w:val="19"/>
                <w:szCs w:val="19"/>
              </w:rPr>
              <w:t xml:space="preserve">Track product concentration on an ongoing basis</w:t>
            </w:r>
          </w:p>
        </w:tc>
        <w:tc>
          <w:tcPr>
            <w:tcW w:type="dxa" w:w="4300"/>
            <w:vAlign w:val="center"/>
          </w:tcPr>
          <w:p>
            <w:pPr>
              <w:jc w:val="center"/>
            </w:pPr>
            <w:r>
              <w:rPr>
                <w:rFonts w:ascii="Calibri" w:cs="Calibri" w:eastAsia="Calibri" w:hAnsi="Calibri"/>
                <w:b w:val="false"/>
                <w:bCs w:val="false"/>
                <w:color w:val="000000"/>
                <w:sz w:val="19"/>
                <w:szCs w:val="19"/>
              </w:rPr>
              <w:t xml:space="preserve">Reduces risk from over-reliance on a few products</w:t>
            </w:r>
          </w:p>
        </w:tc>
      </w:tr>
    </w:tbl>
    <w:p>
      <w:pPr>
        <w:spacing w:before="240"/>
      </w:pPr>
      <w:r>
        <w:rPr>
          <w:rFonts w:ascii="Calibri" w:cs="Calibri" w:eastAsia="Calibri" w:hAnsi="Calibri"/>
          <w:i/>
          <w:iCs/>
          <w:color w:val="555555"/>
          <w:sz w:val="18"/>
          <w:szCs w:val="18"/>
        </w:rPr>
        <w:t xml:space="preserve">Full methodology, product-by-product data, and supporting charts are provided in the accompanying research paper and interactive dashboard.</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2026-10-01T04:31:27.742Z</dcterms:created>
  <dcterms:modified xsi:type="dcterms:W3CDTF">2026-10-01T04:31:27.746Z</dcterms:modified>
</cp:coreProperties>
</file>

<file path=docProps/custom.xml><?xml version="1.0" encoding="utf-8"?>
<Properties xmlns="http://schemas.openxmlformats.org/officeDocument/2006/custom-properties" xmlns:vt="http://schemas.openxmlformats.org/officeDocument/2006/docPropsVTypes"/>
</file>