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7B3F00"/>
          <w:sz w:val="40"/>
          <w:szCs w:val="40"/>
        </w:rPr>
        <w:t xml:space="preserve">Product Line Profitability &amp; Margin Performance Analysis</w:t>
      </w:r>
    </w:p>
    <w:p>
      <w:pPr>
        <w:spacing w:after="400"/>
        <w:jc w:val="center"/>
      </w:pPr>
      <w:r>
        <w:rPr>
          <w:rFonts w:ascii="Calibri" w:cs="Calibri" w:eastAsia="Calibri" w:hAnsi="Calibri"/>
          <w:i/>
          <w:iCs/>
          <w:color w:val="555555"/>
          <w:sz w:val="26"/>
          <w:szCs w:val="26"/>
        </w:rPr>
        <w:t xml:space="preserve">A Data-Driven Profitability Study for Nassau Candy Distributor</w:t>
      </w:r>
    </w:p>
    <w:p>
      <w:pPr>
        <w:spacing w:after="60"/>
        <w:jc w:val="center"/>
      </w:pPr>
      <w:r>
        <w:rPr>
          <w:rFonts w:ascii="Calibri" w:cs="Calibri" w:eastAsia="Calibri" w:hAnsi="Calibri"/>
          <w:sz w:val="22"/>
          <w:szCs w:val="22"/>
        </w:rPr>
        <w:t xml:space="preserve">Prepared for: Unified Mentor Pvt. Ltd.</w:t>
      </w:r>
    </w:p>
    <w:p>
      <w:pPr>
        <w:spacing w:after="60"/>
        <w:jc w:val="center"/>
      </w:pPr>
      <w:r>
        <w:rPr>
          <w:rFonts w:ascii="Calibri" w:cs="Calibri" w:eastAsia="Calibri" w:hAnsi="Calibri"/>
          <w:sz w:val="22"/>
          <w:szCs w:val="22"/>
        </w:rPr>
        <w:t xml:space="preserve">Prepared by: Kalyani</w:t>
      </w:r>
    </w:p>
    <w:p>
      <w:pPr>
        <w:spacing w:after="500"/>
        <w:jc w:val="center"/>
      </w:pPr>
      <w:r>
        <w:rPr>
          <w:rFonts w:ascii="Calibri" w:cs="Calibri" w:eastAsia="Calibri" w:hAnsi="Calibri"/>
          <w:sz w:val="22"/>
          <w:szCs w:val="22"/>
        </w:rPr>
        <w:t xml:space="preserve">Dataset: Nassau Candy Distributor Order Data (10,194 order records, 18 fields)</w:t>
      </w:r>
    </w:p>
    <w:p>
      <w:pPr>
        <w:pStyle w:val="Heading1"/>
        <w:spacing w:after="160" w:before="320"/>
      </w:pPr>
      <w:r>
        <w:t xml:space="preserve">Abstract</w:t>
      </w:r>
    </w:p>
    <w:p>
      <w:pPr>
        <w:spacing w:after="160"/>
        <w:jc w:val="both"/>
      </w:pPr>
      <w:r>
        <w:rPr>
          <w:rFonts w:ascii="Calibri" w:cs="Calibri" w:eastAsia="Calibri" w:hAnsi="Calibri"/>
          <w:sz w:val="22"/>
          <w:szCs w:val="22"/>
        </w:rPr>
        <w:t xml:space="preserve">Sales volume alone does not indicate financial health. This study analyzes 10,194 order-level records from Nassau Candy Distributor to determine which products and divisions genuinely drive profitability, as distinct from those that merely drive revenue. Using gross margin, profit-per-unit, revenue/profit contribution, and Pareto concentration analysis, the study finds that a small subset of Chocolate-division products generates the overwhelming majority of company profit, while several products and one entire division show revenue that is disproportionate to the profit they return. The findings are operationalized in an interactive Streamlit dashboard and translated into concrete pricing, sourcing, and portfolio recommendations.</w:t>
      </w:r>
    </w:p>
    <w:p>
      <w:pPr>
        <w:pStyle w:val="Heading1"/>
        <w:spacing w:after="160" w:before="320"/>
      </w:pPr>
      <w:r>
        <w:t xml:space="preserve">1. Introduction &amp; Background</w:t>
      </w:r>
    </w:p>
    <w:p>
      <w:pPr>
        <w:spacing w:after="160"/>
        <w:jc w:val="both"/>
      </w:pPr>
      <w:r>
        <w:rPr>
          <w:rFonts w:ascii="Calibri" w:cs="Calibri" w:eastAsia="Calibri" w:hAnsi="Calibri"/>
          <w:sz w:val="22"/>
          <w:szCs w:val="22"/>
        </w:rPr>
        <w:t xml:space="preserve">Nassau Candy Distributor sells confectionery products across three divisions — Chocolate, Sugar, and Other — through a national distribution network. As with most distributors, some products sell in high volume yet consume disproportionate manufacturing or operational cost, while others sell modestly but return strong margins. Without visibility into product- and division-level profitability, pricing, promotion, and portfolio decisions remain reactive and intuition-driven rather than data-driven.</w:t>
      </w:r>
    </w:p>
    <w:p>
      <w:pPr>
        <w:spacing w:after="160"/>
        <w:jc w:val="both"/>
      </w:pPr>
      <w:r>
        <w:rPr>
          <w:rFonts w:ascii="Calibri" w:cs="Calibri" w:eastAsia="Calibri" w:hAnsi="Calibri"/>
          <w:sz w:val="22"/>
          <w:szCs w:val="22"/>
        </w:rPr>
        <w:t xml:space="preserve">This report addresses that gap by answering four questions: (1) which product lines deliver the highest gross margin; (2) whether high-sales products are actually profitable; (3) how profitability varies across product divisions; and (4) which products represent margin risk requiring pricing or sourcing intervention.</w:t>
      </w:r>
    </w:p>
    <w:p>
      <w:pPr>
        <w:pStyle w:val="Heading1"/>
        <w:spacing w:after="160" w:before="320"/>
      </w:pPr>
      <w:r>
        <w:t xml:space="preserve">2. Dataset Description</w:t>
      </w:r>
    </w:p>
    <w:p>
      <w:pPr>
        <w:spacing w:after="160"/>
        <w:jc w:val="both"/>
      </w:pPr>
      <w:r>
        <w:rPr>
          <w:rFonts w:ascii="Calibri" w:cs="Calibri" w:eastAsia="Calibri" w:hAnsi="Calibri"/>
          <w:sz w:val="22"/>
          <w:szCs w:val="22"/>
        </w:rPr>
        <w:t xml:space="preserve">The analysis uses order-level transaction data with 10,194 rows and 18 fields, covering order and shipment details, customer geography, product and division identifiers, and the core financial fields: Sales, Units, Cost, and Gross Profit (Sales − Cost). A supplementary reference table maps each product to its manufacturing factory (used in Section 7).</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7B3F00" w:val="clear"/>
            <w:vAlign w:val="center"/>
          </w:tcPr>
          <w:p>
            <w:r>
              <w:rPr>
                <w:rFonts w:ascii="Calibri" w:cs="Calibri" w:eastAsia="Calibri" w:hAnsi="Calibri"/>
                <w:b/>
                <w:bCs/>
                <w:color w:val="FFFFFF"/>
                <w:sz w:val="20"/>
                <w:szCs w:val="20"/>
              </w:rPr>
              <w:t xml:space="preserve">Field</w:t>
            </w:r>
          </w:p>
        </w:tc>
        <w:tc>
          <w:tcPr>
            <w:tcW w:type="dxa" w:w="6500"/>
            <w:shd w:fill="7B3F00" w:val="clear"/>
            <w:vAlign w:val="center"/>
          </w:tcPr>
          <w:p>
            <w:r>
              <w:rPr>
                <w:rFonts w:ascii="Calibri" w:cs="Calibri" w:eastAsia="Calibri" w:hAnsi="Calibri"/>
                <w:b/>
                <w:bCs/>
                <w:color w:val="FFFFFF"/>
                <w:sz w:val="20"/>
                <w:szCs w:val="20"/>
              </w:rPr>
              <w:t xml:space="preserve">Description</w:t>
            </w:r>
          </w:p>
        </w:tc>
      </w:tr>
      <w:tr>
        <w:tc>
          <w:tcPr>
            <w:tcW w:type="dxa" w:w="3000"/>
            <w:vAlign w:val="center"/>
          </w:tcPr>
          <w:p>
            <w:r>
              <w:rPr>
                <w:rFonts w:ascii="Calibri" w:cs="Calibri" w:eastAsia="Calibri" w:hAnsi="Calibri"/>
                <w:b w:val="false"/>
                <w:bCs w:val="false"/>
                <w:color w:val="000000"/>
                <w:sz w:val="20"/>
                <w:szCs w:val="20"/>
              </w:rPr>
              <w:t xml:space="preserve">Order ID / Row ID</w:t>
            </w:r>
          </w:p>
        </w:tc>
        <w:tc>
          <w:tcPr>
            <w:tcW w:type="dxa" w:w="6500"/>
            <w:vAlign w:val="center"/>
          </w:tcPr>
          <w:p>
            <w:r>
              <w:rPr>
                <w:rFonts w:ascii="Calibri" w:cs="Calibri" w:eastAsia="Calibri" w:hAnsi="Calibri"/>
                <w:b w:val="false"/>
                <w:bCs w:val="false"/>
                <w:color w:val="000000"/>
                <w:sz w:val="20"/>
                <w:szCs w:val="20"/>
              </w:rPr>
              <w:t xml:space="preserve">Unique order and row identifiers</w:t>
            </w:r>
          </w:p>
        </w:tc>
      </w:tr>
      <w:tr>
        <w:tc>
          <w:tcPr>
            <w:tcW w:type="dxa" w:w="3000"/>
            <w:vAlign w:val="center"/>
          </w:tcPr>
          <w:p>
            <w:r>
              <w:rPr>
                <w:rFonts w:ascii="Calibri" w:cs="Calibri" w:eastAsia="Calibri" w:hAnsi="Calibri"/>
                <w:b w:val="false"/>
                <w:bCs w:val="false"/>
                <w:color w:val="000000"/>
                <w:sz w:val="20"/>
                <w:szCs w:val="20"/>
              </w:rPr>
              <w:t xml:space="preserve">Order Date / Ship Date</w:t>
            </w:r>
          </w:p>
        </w:tc>
        <w:tc>
          <w:tcPr>
            <w:tcW w:type="dxa" w:w="6500"/>
            <w:vAlign w:val="center"/>
          </w:tcPr>
          <w:p>
            <w:r>
              <w:rPr>
                <w:rFonts w:ascii="Calibri" w:cs="Calibri" w:eastAsia="Calibri" w:hAnsi="Calibri"/>
                <w:b w:val="false"/>
                <w:bCs w:val="false"/>
                <w:color w:val="000000"/>
                <w:sz w:val="20"/>
                <w:szCs w:val="20"/>
              </w:rPr>
              <w:t xml:space="preserve">Order and shipment dates</w:t>
            </w:r>
          </w:p>
        </w:tc>
      </w:tr>
      <w:tr>
        <w:tc>
          <w:tcPr>
            <w:tcW w:type="dxa" w:w="3000"/>
            <w:vAlign w:val="center"/>
          </w:tcPr>
          <w:p>
            <w:r>
              <w:rPr>
                <w:rFonts w:ascii="Calibri" w:cs="Calibri" w:eastAsia="Calibri" w:hAnsi="Calibri"/>
                <w:b w:val="false"/>
                <w:bCs w:val="false"/>
                <w:color w:val="000000"/>
                <w:sz w:val="20"/>
                <w:szCs w:val="20"/>
              </w:rPr>
              <w:t xml:space="preserve">Division</w:t>
            </w:r>
          </w:p>
        </w:tc>
        <w:tc>
          <w:tcPr>
            <w:tcW w:type="dxa" w:w="6500"/>
            <w:vAlign w:val="center"/>
          </w:tcPr>
          <w:p>
            <w:r>
              <w:rPr>
                <w:rFonts w:ascii="Calibri" w:cs="Calibri" w:eastAsia="Calibri" w:hAnsi="Calibri"/>
                <w:b w:val="false"/>
                <w:bCs w:val="false"/>
                <w:color w:val="000000"/>
                <w:sz w:val="20"/>
                <w:szCs w:val="20"/>
              </w:rPr>
              <w:t xml:space="preserve">Product division — Chocolate, Sugar, or Other</w:t>
            </w:r>
          </w:p>
        </w:tc>
      </w:tr>
      <w:tr>
        <w:tc>
          <w:tcPr>
            <w:tcW w:type="dxa" w:w="3000"/>
            <w:vAlign w:val="center"/>
          </w:tcPr>
          <w:p>
            <w:r>
              <w:rPr>
                <w:rFonts w:ascii="Calibri" w:cs="Calibri" w:eastAsia="Calibri" w:hAnsi="Calibri"/>
                <w:b w:val="false"/>
                <w:bCs w:val="false"/>
                <w:color w:val="000000"/>
                <w:sz w:val="20"/>
                <w:szCs w:val="20"/>
              </w:rPr>
              <w:t xml:space="preserve">Product ID / Product Name</w:t>
            </w:r>
          </w:p>
        </w:tc>
        <w:tc>
          <w:tcPr>
            <w:tcW w:type="dxa" w:w="6500"/>
            <w:vAlign w:val="center"/>
          </w:tcPr>
          <w:p>
            <w:r>
              <w:rPr>
                <w:rFonts w:ascii="Calibri" w:cs="Calibri" w:eastAsia="Calibri" w:hAnsi="Calibri"/>
                <w:b w:val="false"/>
                <w:bCs w:val="false"/>
                <w:color w:val="000000"/>
                <w:sz w:val="20"/>
                <w:szCs w:val="20"/>
              </w:rPr>
              <w:t xml:space="preserve">Product identifiers and names (15 distinct products)</w:t>
            </w:r>
          </w:p>
        </w:tc>
      </w:tr>
      <w:tr>
        <w:tc>
          <w:tcPr>
            <w:tcW w:type="dxa" w:w="3000"/>
            <w:vAlign w:val="center"/>
          </w:tcPr>
          <w:p>
            <w:r>
              <w:rPr>
                <w:rFonts w:ascii="Calibri" w:cs="Calibri" w:eastAsia="Calibri" w:hAnsi="Calibri"/>
                <w:b w:val="false"/>
                <w:bCs w:val="false"/>
                <w:color w:val="000000"/>
                <w:sz w:val="20"/>
                <w:szCs w:val="20"/>
              </w:rPr>
              <w:t xml:space="preserve">Sales / Units / Cost</w:t>
            </w:r>
          </w:p>
        </w:tc>
        <w:tc>
          <w:tcPr>
            <w:tcW w:type="dxa" w:w="6500"/>
            <w:vAlign w:val="center"/>
          </w:tcPr>
          <w:p>
            <w:r>
              <w:rPr>
                <w:rFonts w:ascii="Calibri" w:cs="Calibri" w:eastAsia="Calibri" w:hAnsi="Calibri"/>
                <w:b w:val="false"/>
                <w:bCs w:val="false"/>
                <w:color w:val="000000"/>
                <w:sz w:val="20"/>
                <w:szCs w:val="20"/>
              </w:rPr>
              <w:t xml:space="preserve">Order-level sales value, quantity, and manufacturing cost</w:t>
            </w:r>
          </w:p>
        </w:tc>
      </w:tr>
      <w:tr>
        <w:tc>
          <w:tcPr>
            <w:tcW w:type="dxa" w:w="3000"/>
            <w:vAlign w:val="center"/>
          </w:tcPr>
          <w:p>
            <w:r>
              <w:rPr>
                <w:rFonts w:ascii="Calibri" w:cs="Calibri" w:eastAsia="Calibri" w:hAnsi="Calibri"/>
                <w:b w:val="false"/>
                <w:bCs w:val="false"/>
                <w:color w:val="000000"/>
                <w:sz w:val="20"/>
                <w:szCs w:val="20"/>
              </w:rPr>
              <w:t xml:space="preserve">Gross Profit</w:t>
            </w:r>
          </w:p>
        </w:tc>
        <w:tc>
          <w:tcPr>
            <w:tcW w:type="dxa" w:w="6500"/>
            <w:vAlign w:val="center"/>
          </w:tcPr>
          <w:p>
            <w:r>
              <w:rPr>
                <w:rFonts w:ascii="Calibri" w:cs="Calibri" w:eastAsia="Calibri" w:hAnsi="Calibri"/>
                <w:b w:val="false"/>
                <w:bCs w:val="false"/>
                <w:color w:val="000000"/>
                <w:sz w:val="20"/>
                <w:szCs w:val="20"/>
              </w:rPr>
              <w:t xml:space="preserve">Sales − Cost</w:t>
            </w:r>
          </w:p>
        </w:tc>
      </w:tr>
      <w:tr>
        <w:tc>
          <w:tcPr>
            <w:tcW w:type="dxa" w:w="3000"/>
            <w:vAlign w:val="center"/>
          </w:tcPr>
          <w:p>
            <w:r>
              <w:rPr>
                <w:rFonts w:ascii="Calibri" w:cs="Calibri" w:eastAsia="Calibri" w:hAnsi="Calibri"/>
                <w:b w:val="false"/>
                <w:bCs w:val="false"/>
                <w:color w:val="000000"/>
                <w:sz w:val="20"/>
                <w:szCs w:val="20"/>
              </w:rPr>
              <w:t xml:space="preserve">City / State / Region</w:t>
            </w:r>
          </w:p>
        </w:tc>
        <w:tc>
          <w:tcPr>
            <w:tcW w:type="dxa" w:w="6500"/>
            <w:vAlign w:val="center"/>
          </w:tcPr>
          <w:p>
            <w:r>
              <w:rPr>
                <w:rFonts w:ascii="Calibri" w:cs="Calibri" w:eastAsia="Calibri" w:hAnsi="Calibri"/>
                <w:b w:val="false"/>
                <w:bCs w:val="false"/>
                <w:color w:val="000000"/>
                <w:sz w:val="20"/>
                <w:szCs w:val="20"/>
              </w:rPr>
              <w:t xml:space="preserve">Customer geography</w:t>
            </w:r>
          </w:p>
        </w:tc>
      </w:tr>
    </w:tbl>
    <w:p>
      <w:pPr>
        <w:spacing w:after="120"/>
      </w:pPr>
    </w:p>
    <w:p>
      <w:pPr>
        <w:pStyle w:val="Heading1"/>
        <w:spacing w:after="160" w:before="320"/>
      </w:pPr>
      <w:r>
        <w:t xml:space="preserve">3. Methodology</w:t>
      </w:r>
    </w:p>
    <w:p>
      <w:pPr>
        <w:pStyle w:val="Heading2"/>
        <w:spacing w:after="120" w:before="240"/>
      </w:pPr>
      <w:r>
        <w:t xml:space="preserve">3.1 Data Cleaning &amp; Validation</w:t>
      </w:r>
    </w:p>
    <w:p>
      <w:pPr>
        <w:spacing w:after="160"/>
        <w:jc w:val="both"/>
      </w:pPr>
      <w:r>
        <w:rPr>
          <w:rFonts w:ascii="Calibri" w:cs="Calibri" w:eastAsia="Calibri" w:hAnsi="Calibri"/>
          <w:sz w:val="22"/>
          <w:szCs w:val="22"/>
        </w:rPr>
        <w:t xml:space="preserve">The dataset was validated before analysis. No missing values, duplicate rows, or negative Sales/Units/Cost/Gross Profit values were found across any of the 18 fields. The Gross Profit formula (Sales − Cost) was independently recomputed and matched the provided values to within floating-point precision (max deviation ≈ 7 × 10⁻¹⁵), confirming data integrity. One inconsistency was identified and corrected: the product name "Wonka Bar -Scrumdiddlyumptious" was missing a space before the hyphen relative to the naming convention used by all other products, which would otherwise have caused it to be treated as a distinct product during aggregation. Order Date and Ship Date fields, originally stored as text, were converted to proper datetime format to support date-range filtering.</w:t>
      </w:r>
    </w:p>
    <w:p>
      <w:pPr>
        <w:pStyle w:val="Heading2"/>
        <w:spacing w:after="120" w:before="240"/>
      </w:pPr>
      <w:r>
        <w:t xml:space="preserve">3.2 KPI Calculation</w:t>
      </w:r>
    </w:p>
    <w:p>
      <w:pPr>
        <w:spacing w:after="160"/>
        <w:jc w:val="both"/>
      </w:pPr>
      <w:r>
        <w:rPr>
          <w:rFonts w:ascii="Calibri" w:cs="Calibri" w:eastAsia="Calibri" w:hAnsi="Calibri"/>
          <w:sz w:val="22"/>
          <w:szCs w:val="22"/>
        </w:rPr>
        <w:t xml:space="preserve">Two order-level KPIs were derived to normalize for scale before aggregation:</w:t>
      </w:r>
    </w:p>
    <w:p>
      <w:pPr>
        <w:pStyle w:val="ListParagraph"/>
        <w:numPr>
          <w:ilvl w:val="0"/>
          <w:numId w:val="1"/>
        </w:numPr>
        <w:spacing w:after="80"/>
      </w:pPr>
      <w:r>
        <w:rPr>
          <w:rFonts w:ascii="Calibri" w:cs="Calibri" w:eastAsia="Calibri" w:hAnsi="Calibri"/>
          <w:sz w:val="22"/>
          <w:szCs w:val="22"/>
        </w:rPr>
        <w:t xml:space="preserve">Gross Margin % = Gross Profit ÷ Sales × 100 — the share of each sale retained as profit.</w:t>
      </w:r>
    </w:p>
    <w:p>
      <w:pPr>
        <w:pStyle w:val="ListParagraph"/>
        <w:numPr>
          <w:ilvl w:val="0"/>
          <w:numId w:val="1"/>
        </w:numPr>
        <w:spacing w:after="80"/>
      </w:pPr>
      <w:r>
        <w:rPr>
          <w:rFonts w:ascii="Calibri" w:cs="Calibri" w:eastAsia="Calibri" w:hAnsi="Calibri"/>
          <w:sz w:val="22"/>
          <w:szCs w:val="22"/>
        </w:rPr>
        <w:t xml:space="preserve">Profit per Unit = Gross Profit ÷ Units — the profit earned per item sold.</w:t>
      </w:r>
    </w:p>
    <w:p>
      <w:pPr>
        <w:spacing w:after="160"/>
        <w:jc w:val="both"/>
      </w:pPr>
      <w:r>
        <w:rPr>
          <w:rFonts w:ascii="Calibri" w:cs="Calibri" w:eastAsia="Calibri" w:hAnsi="Calibri"/>
          <w:sz w:val="22"/>
          <w:szCs w:val="22"/>
        </w:rPr>
        <w:t xml:space="preserve">These were then aggregated by Product Name and by Division to compute Total Sales, Total Profit, Average Margin %, Revenue Contribution %, and Profit Contribution % at each level.</w:t>
      </w:r>
    </w:p>
    <w:p>
      <w:pPr>
        <w:pStyle w:val="Heading1"/>
        <w:spacing w:after="160" w:before="320"/>
      </w:pPr>
      <w:r>
        <w:t xml:space="preserve">4. Product-Level Profitability Analysis</w:t>
      </w:r>
    </w:p>
    <w:p>
      <w:pPr>
        <w:spacing w:after="160"/>
        <w:jc w:val="both"/>
      </w:pPr>
      <w:r>
        <w:rPr>
          <w:rFonts w:ascii="Calibri" w:cs="Calibri" w:eastAsia="Calibri" w:hAnsi="Calibri"/>
          <w:sz w:val="22"/>
          <w:szCs w:val="22"/>
        </w:rPr>
        <w:t xml:space="preserve">Products were ranked by total profit and classified into four categories using the dataset-wide average Sales (≈ $9,452) and average Margin (≈ 57.4%) as thresholds: Star (high-sales, high-margin), Niche (low-sales, high-margin), Weak (low-sales, low-margin), and Risk (high-sales, low-margin).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50"/>
        <w:gridCol w:w="1650"/>
        <w:gridCol w:w="1500"/>
        <w:gridCol w:w="1500"/>
      </w:tblGrid>
      <w:tr>
        <w:trPr>
          <w:tblHeader/>
        </w:trPr>
        <w:tc>
          <w:tcPr>
            <w:tcW w:type="dxa" w:w="3200"/>
            <w:shd w:fill="7B3F00" w:val="clear"/>
            <w:vAlign w:val="center"/>
          </w:tcPr>
          <w:p>
            <w:r>
              <w:rPr>
                <w:rFonts w:ascii="Calibri" w:cs="Calibri" w:eastAsia="Calibri" w:hAnsi="Calibri"/>
                <w:b/>
                <w:bCs/>
                <w:color w:val="FFFFFF"/>
                <w:sz w:val="20"/>
                <w:szCs w:val="20"/>
              </w:rPr>
              <w:t xml:space="preserve">Product</w:t>
            </w:r>
          </w:p>
        </w:tc>
        <w:tc>
          <w:tcPr>
            <w:tcW w:type="dxa" w:w="1650"/>
            <w:shd w:fill="7B3F00" w:val="clear"/>
            <w:vAlign w:val="center"/>
          </w:tcPr>
          <w:p>
            <w:r>
              <w:rPr>
                <w:rFonts w:ascii="Calibri" w:cs="Calibri" w:eastAsia="Calibri" w:hAnsi="Calibri"/>
                <w:b/>
                <w:bCs/>
                <w:color w:val="FFFFFF"/>
                <w:sz w:val="20"/>
                <w:szCs w:val="20"/>
              </w:rPr>
              <w:t xml:space="preserve">Total Sales ($)</w:t>
            </w:r>
          </w:p>
        </w:tc>
        <w:tc>
          <w:tcPr>
            <w:tcW w:type="dxa" w:w="1650"/>
            <w:shd w:fill="7B3F00" w:val="clear"/>
            <w:vAlign w:val="center"/>
          </w:tcPr>
          <w:p>
            <w:r>
              <w:rPr>
                <w:rFonts w:ascii="Calibri" w:cs="Calibri" w:eastAsia="Calibri" w:hAnsi="Calibri"/>
                <w:b/>
                <w:bCs/>
                <w:color w:val="FFFFFF"/>
                <w:sz w:val="20"/>
                <w:szCs w:val="20"/>
              </w:rPr>
              <w:t xml:space="preserve">Total Profit ($)</w:t>
            </w:r>
          </w:p>
        </w:tc>
        <w:tc>
          <w:tcPr>
            <w:tcW w:type="dxa" w:w="1500"/>
            <w:shd w:fill="7B3F00" w:val="clear"/>
            <w:vAlign w:val="center"/>
          </w:tcPr>
          <w:p>
            <w:r>
              <w:rPr>
                <w:rFonts w:ascii="Calibri" w:cs="Calibri" w:eastAsia="Calibri" w:hAnsi="Calibri"/>
                <w:b/>
                <w:bCs/>
                <w:color w:val="FFFFFF"/>
                <w:sz w:val="20"/>
                <w:szCs w:val="20"/>
              </w:rPr>
              <w:t xml:space="preserve">Avg Margin (%)</w:t>
            </w:r>
          </w:p>
        </w:tc>
        <w:tc>
          <w:tcPr>
            <w:tcW w:type="dxa" w:w="1500"/>
            <w:shd w:fill="7B3F00" w:val="clear"/>
            <w:vAlign w:val="center"/>
          </w:tcPr>
          <w:p>
            <w:r>
              <w:rPr>
                <w:rFonts w:ascii="Calibri" w:cs="Calibri" w:eastAsia="Calibri" w:hAnsi="Calibri"/>
                <w:b/>
                <w:bCs/>
                <w:color w:val="FFFFFF"/>
                <w:sz w:val="20"/>
                <w:szCs w:val="20"/>
              </w:rPr>
              <w:t xml:space="preserve">Category</w:t>
            </w:r>
          </w:p>
        </w:tc>
      </w:tr>
      <w:tr>
        <w:tc>
          <w:tcPr>
            <w:tcW w:type="dxa" w:w="3200"/>
            <w:vAlign w:val="center"/>
          </w:tcPr>
          <w:p>
            <w:r>
              <w:rPr>
                <w:rFonts w:ascii="Calibri" w:cs="Calibri" w:eastAsia="Calibri" w:hAnsi="Calibri"/>
                <w:b w:val="false"/>
                <w:bCs w:val="false"/>
                <w:color w:val="000000"/>
                <w:sz w:val="20"/>
                <w:szCs w:val="20"/>
              </w:rPr>
              <w:t xml:space="preserve">Wonka Bar - Scrumdiddlyumptious</w:t>
            </w:r>
          </w:p>
        </w:tc>
        <w:tc>
          <w:tcPr>
            <w:tcW w:type="dxa" w:w="1650"/>
            <w:vAlign w:val="center"/>
          </w:tcPr>
          <w:p>
            <w:r>
              <w:rPr>
                <w:rFonts w:ascii="Calibri" w:cs="Calibri" w:eastAsia="Calibri" w:hAnsi="Calibri"/>
                <w:b w:val="false"/>
                <w:bCs w:val="false"/>
                <w:color w:val="000000"/>
                <w:sz w:val="20"/>
                <w:szCs w:val="20"/>
              </w:rPr>
              <w:t xml:space="preserve">27,874.80</w:t>
            </w:r>
          </w:p>
        </w:tc>
        <w:tc>
          <w:tcPr>
            <w:tcW w:type="dxa" w:w="1650"/>
            <w:vAlign w:val="center"/>
          </w:tcPr>
          <w:p>
            <w:r>
              <w:rPr>
                <w:rFonts w:ascii="Calibri" w:cs="Calibri" w:eastAsia="Calibri" w:hAnsi="Calibri"/>
                <w:b w:val="false"/>
                <w:bCs w:val="false"/>
                <w:color w:val="000000"/>
                <w:sz w:val="20"/>
                <w:szCs w:val="20"/>
              </w:rPr>
              <w:t xml:space="preserve">19,357.50</w:t>
            </w:r>
          </w:p>
        </w:tc>
        <w:tc>
          <w:tcPr>
            <w:tcW w:type="dxa" w:w="1500"/>
            <w:vAlign w:val="center"/>
          </w:tcPr>
          <w:p>
            <w:r>
              <w:rPr>
                <w:rFonts w:ascii="Calibri" w:cs="Calibri" w:eastAsia="Calibri" w:hAnsi="Calibri"/>
                <w:b w:val="false"/>
                <w:bCs w:val="false"/>
                <w:color w:val="000000"/>
                <w:sz w:val="20"/>
                <w:szCs w:val="20"/>
              </w:rPr>
              <w:t xml:space="preserve">69.4</w:t>
            </w:r>
          </w:p>
        </w:tc>
        <w:tc>
          <w:tcPr>
            <w:tcW w:type="dxa" w:w="1500"/>
            <w:vAlign w:val="center"/>
          </w:tcPr>
          <w:p>
            <w:r>
              <w:rPr>
                <w:rFonts w:ascii="Calibri" w:cs="Calibri" w:eastAsia="Calibri" w:hAnsi="Calibri"/>
                <w:b w:val="false"/>
                <w:bCs w:val="false"/>
                <w:color w:val="000000"/>
                <w:sz w:val="20"/>
                <w:szCs w:val="20"/>
              </w:rPr>
              <w:t xml:space="preserve">Star</w:t>
            </w:r>
          </w:p>
        </w:tc>
      </w:tr>
      <w:tr>
        <w:tc>
          <w:tcPr>
            <w:tcW w:type="dxa" w:w="3200"/>
            <w:vAlign w:val="center"/>
          </w:tcPr>
          <w:p>
            <w:r>
              <w:rPr>
                <w:rFonts w:ascii="Calibri" w:cs="Calibri" w:eastAsia="Calibri" w:hAnsi="Calibri"/>
                <w:b w:val="false"/>
                <w:bCs w:val="false"/>
                <w:color w:val="000000"/>
                <w:sz w:val="20"/>
                <w:szCs w:val="20"/>
              </w:rPr>
              <w:t xml:space="preserve">Wonka Bar - Triple Dazzle Caramel</w:t>
            </w:r>
          </w:p>
        </w:tc>
        <w:tc>
          <w:tcPr>
            <w:tcW w:type="dxa" w:w="1650"/>
            <w:vAlign w:val="center"/>
          </w:tcPr>
          <w:p>
            <w:r>
              <w:rPr>
                <w:rFonts w:ascii="Calibri" w:cs="Calibri" w:eastAsia="Calibri" w:hAnsi="Calibri"/>
                <w:b w:val="false"/>
                <w:bCs w:val="false"/>
                <w:color w:val="000000"/>
                <w:sz w:val="20"/>
                <w:szCs w:val="20"/>
              </w:rPr>
              <w:t xml:space="preserve">28,485.00</w:t>
            </w:r>
          </w:p>
        </w:tc>
        <w:tc>
          <w:tcPr>
            <w:tcW w:type="dxa" w:w="1650"/>
            <w:vAlign w:val="center"/>
          </w:tcPr>
          <w:p>
            <w:r>
              <w:rPr>
                <w:rFonts w:ascii="Calibri" w:cs="Calibri" w:eastAsia="Calibri" w:hAnsi="Calibri"/>
                <w:b w:val="false"/>
                <w:bCs w:val="false"/>
                <w:color w:val="000000"/>
                <w:sz w:val="20"/>
                <w:szCs w:val="20"/>
              </w:rPr>
              <w:t xml:space="preserve">18,610.20</w:t>
            </w:r>
          </w:p>
        </w:tc>
        <w:tc>
          <w:tcPr>
            <w:tcW w:type="dxa" w:w="1500"/>
            <w:vAlign w:val="center"/>
          </w:tcPr>
          <w:p>
            <w:r>
              <w:rPr>
                <w:rFonts w:ascii="Calibri" w:cs="Calibri" w:eastAsia="Calibri" w:hAnsi="Calibri"/>
                <w:b w:val="false"/>
                <w:bCs w:val="false"/>
                <w:color w:val="000000"/>
                <w:sz w:val="20"/>
                <w:szCs w:val="20"/>
              </w:rPr>
              <w:t xml:space="preserve">65.3</w:t>
            </w:r>
          </w:p>
        </w:tc>
        <w:tc>
          <w:tcPr>
            <w:tcW w:type="dxa" w:w="1500"/>
            <w:vAlign w:val="center"/>
          </w:tcPr>
          <w:p>
            <w:r>
              <w:rPr>
                <w:rFonts w:ascii="Calibri" w:cs="Calibri" w:eastAsia="Calibri" w:hAnsi="Calibri"/>
                <w:b w:val="false"/>
                <w:bCs w:val="false"/>
                <w:color w:val="000000"/>
                <w:sz w:val="20"/>
                <w:szCs w:val="20"/>
              </w:rPr>
              <w:t xml:space="preserve">Star</w:t>
            </w:r>
          </w:p>
        </w:tc>
      </w:tr>
      <w:tr>
        <w:tc>
          <w:tcPr>
            <w:tcW w:type="dxa" w:w="3200"/>
            <w:vAlign w:val="center"/>
          </w:tcPr>
          <w:p>
            <w:r>
              <w:rPr>
                <w:rFonts w:ascii="Calibri" w:cs="Calibri" w:eastAsia="Calibri" w:hAnsi="Calibri"/>
                <w:b w:val="false"/>
                <w:bCs w:val="false"/>
                <w:color w:val="000000"/>
                <w:sz w:val="20"/>
                <w:szCs w:val="20"/>
              </w:rPr>
              <w:t xml:space="preserve">Wonka Bar - Milk Chocolate</w:t>
            </w:r>
          </w:p>
        </w:tc>
        <w:tc>
          <w:tcPr>
            <w:tcW w:type="dxa" w:w="1650"/>
            <w:vAlign w:val="center"/>
          </w:tcPr>
          <w:p>
            <w:r>
              <w:rPr>
                <w:rFonts w:ascii="Calibri" w:cs="Calibri" w:eastAsia="Calibri" w:hAnsi="Calibri"/>
                <w:b w:val="false"/>
                <w:bCs w:val="false"/>
                <w:color w:val="000000"/>
                <w:sz w:val="20"/>
                <w:szCs w:val="20"/>
              </w:rPr>
              <w:t xml:space="preserve">26,867.75</w:t>
            </w:r>
          </w:p>
        </w:tc>
        <w:tc>
          <w:tcPr>
            <w:tcW w:type="dxa" w:w="1650"/>
            <w:vAlign w:val="center"/>
          </w:tcPr>
          <w:p>
            <w:r>
              <w:rPr>
                <w:rFonts w:ascii="Calibri" w:cs="Calibri" w:eastAsia="Calibri" w:hAnsi="Calibri"/>
                <w:b w:val="false"/>
                <w:bCs w:val="false"/>
                <w:color w:val="000000"/>
                <w:sz w:val="20"/>
                <w:szCs w:val="20"/>
              </w:rPr>
              <w:t xml:space="preserve">17,443.37</w:t>
            </w:r>
          </w:p>
        </w:tc>
        <w:tc>
          <w:tcPr>
            <w:tcW w:type="dxa" w:w="1500"/>
            <w:vAlign w:val="center"/>
          </w:tcPr>
          <w:p>
            <w:r>
              <w:rPr>
                <w:rFonts w:ascii="Calibri" w:cs="Calibri" w:eastAsia="Calibri" w:hAnsi="Calibri"/>
                <w:b w:val="false"/>
                <w:bCs w:val="false"/>
                <w:color w:val="000000"/>
                <w:sz w:val="20"/>
                <w:szCs w:val="20"/>
              </w:rPr>
              <w:t xml:space="preserve">64.9</w:t>
            </w:r>
          </w:p>
        </w:tc>
        <w:tc>
          <w:tcPr>
            <w:tcW w:type="dxa" w:w="1500"/>
            <w:vAlign w:val="center"/>
          </w:tcPr>
          <w:p>
            <w:r>
              <w:rPr>
                <w:rFonts w:ascii="Calibri" w:cs="Calibri" w:eastAsia="Calibri" w:hAnsi="Calibri"/>
                <w:b w:val="false"/>
                <w:bCs w:val="false"/>
                <w:color w:val="000000"/>
                <w:sz w:val="20"/>
                <w:szCs w:val="20"/>
              </w:rPr>
              <w:t xml:space="preserve">Star</w:t>
            </w:r>
          </w:p>
        </w:tc>
      </w:tr>
      <w:tr>
        <w:tc>
          <w:tcPr>
            <w:tcW w:type="dxa" w:w="3200"/>
            <w:vAlign w:val="center"/>
          </w:tcPr>
          <w:p>
            <w:r>
              <w:rPr>
                <w:rFonts w:ascii="Calibri" w:cs="Calibri" w:eastAsia="Calibri" w:hAnsi="Calibri"/>
                <w:b w:val="false"/>
                <w:bCs w:val="false"/>
                <w:color w:val="000000"/>
                <w:sz w:val="20"/>
                <w:szCs w:val="20"/>
              </w:rPr>
              <w:t xml:space="preserve">Wonka Bar - Nutty Crunch Surprise</w:t>
            </w:r>
          </w:p>
        </w:tc>
        <w:tc>
          <w:tcPr>
            <w:tcW w:type="dxa" w:w="1650"/>
            <w:vAlign w:val="center"/>
          </w:tcPr>
          <w:p>
            <w:r>
              <w:rPr>
                <w:rFonts w:ascii="Calibri" w:cs="Calibri" w:eastAsia="Calibri" w:hAnsi="Calibri"/>
                <w:b w:val="false"/>
                <w:bCs w:val="false"/>
                <w:color w:val="000000"/>
                <w:sz w:val="20"/>
                <w:szCs w:val="20"/>
              </w:rPr>
              <w:t xml:space="preserve">23,574.95</w:t>
            </w:r>
          </w:p>
        </w:tc>
        <w:tc>
          <w:tcPr>
            <w:tcW w:type="dxa" w:w="1650"/>
            <w:vAlign w:val="center"/>
          </w:tcPr>
          <w:p>
            <w:r>
              <w:rPr>
                <w:rFonts w:ascii="Calibri" w:cs="Calibri" w:eastAsia="Calibri" w:hAnsi="Calibri"/>
                <w:b w:val="false"/>
                <w:bCs w:val="false"/>
                <w:color w:val="000000"/>
                <w:sz w:val="20"/>
                <w:szCs w:val="20"/>
              </w:rPr>
              <w:t xml:space="preserve">16,819.95</w:t>
            </w:r>
          </w:p>
        </w:tc>
        <w:tc>
          <w:tcPr>
            <w:tcW w:type="dxa" w:w="1500"/>
            <w:vAlign w:val="center"/>
          </w:tcPr>
          <w:p>
            <w:r>
              <w:rPr>
                <w:rFonts w:ascii="Calibri" w:cs="Calibri" w:eastAsia="Calibri" w:hAnsi="Calibri"/>
                <w:b w:val="false"/>
                <w:bCs w:val="false"/>
                <w:color w:val="000000"/>
                <w:sz w:val="20"/>
                <w:szCs w:val="20"/>
              </w:rPr>
              <w:t xml:space="preserve">71.3</w:t>
            </w:r>
          </w:p>
        </w:tc>
        <w:tc>
          <w:tcPr>
            <w:tcW w:type="dxa" w:w="1500"/>
            <w:vAlign w:val="center"/>
          </w:tcPr>
          <w:p>
            <w:r>
              <w:rPr>
                <w:rFonts w:ascii="Calibri" w:cs="Calibri" w:eastAsia="Calibri" w:hAnsi="Calibri"/>
                <w:b w:val="false"/>
                <w:bCs w:val="false"/>
                <w:color w:val="000000"/>
                <w:sz w:val="20"/>
                <w:szCs w:val="20"/>
              </w:rPr>
              <w:t xml:space="preserve">Star</w:t>
            </w:r>
          </w:p>
        </w:tc>
      </w:tr>
      <w:tr>
        <w:tc>
          <w:tcPr>
            <w:tcW w:type="dxa" w:w="3200"/>
            <w:vAlign w:val="center"/>
          </w:tcPr>
          <w:p>
            <w:r>
              <w:rPr>
                <w:rFonts w:ascii="Calibri" w:cs="Calibri" w:eastAsia="Calibri" w:hAnsi="Calibri"/>
                <w:b w:val="false"/>
                <w:bCs w:val="false"/>
                <w:color w:val="000000"/>
                <w:sz w:val="20"/>
                <w:szCs w:val="20"/>
              </w:rPr>
              <w:t xml:space="preserve">Wonka Bar - Fudge Mallows</w:t>
            </w:r>
          </w:p>
        </w:tc>
        <w:tc>
          <w:tcPr>
            <w:tcW w:type="dxa" w:w="1650"/>
            <w:vAlign w:val="center"/>
          </w:tcPr>
          <w:p>
            <w:r>
              <w:rPr>
                <w:rFonts w:ascii="Calibri" w:cs="Calibri" w:eastAsia="Calibri" w:hAnsi="Calibri"/>
                <w:b w:val="false"/>
                <w:bCs w:val="false"/>
                <w:color w:val="000000"/>
                <w:sz w:val="20"/>
                <w:szCs w:val="20"/>
              </w:rPr>
              <w:t xml:space="preserve">24,890.40</w:t>
            </w:r>
          </w:p>
        </w:tc>
        <w:tc>
          <w:tcPr>
            <w:tcW w:type="dxa" w:w="1650"/>
            <w:vAlign w:val="center"/>
          </w:tcPr>
          <w:p>
            <w:r>
              <w:rPr>
                <w:rFonts w:ascii="Calibri" w:cs="Calibri" w:eastAsia="Calibri" w:hAnsi="Calibri"/>
                <w:b w:val="false"/>
                <w:bCs w:val="false"/>
                <w:color w:val="000000"/>
                <w:sz w:val="20"/>
                <w:szCs w:val="20"/>
              </w:rPr>
              <w:t xml:space="preserve">16,593.60</w:t>
            </w:r>
          </w:p>
        </w:tc>
        <w:tc>
          <w:tcPr>
            <w:tcW w:type="dxa" w:w="1500"/>
            <w:vAlign w:val="center"/>
          </w:tcPr>
          <w:p>
            <w:r>
              <w:rPr>
                <w:rFonts w:ascii="Calibri" w:cs="Calibri" w:eastAsia="Calibri" w:hAnsi="Calibri"/>
                <w:b w:val="false"/>
                <w:bCs w:val="false"/>
                <w:color w:val="000000"/>
                <w:sz w:val="20"/>
                <w:szCs w:val="20"/>
              </w:rPr>
              <w:t xml:space="preserve">66.7</w:t>
            </w:r>
          </w:p>
        </w:tc>
        <w:tc>
          <w:tcPr>
            <w:tcW w:type="dxa" w:w="1500"/>
            <w:vAlign w:val="center"/>
          </w:tcPr>
          <w:p>
            <w:r>
              <w:rPr>
                <w:rFonts w:ascii="Calibri" w:cs="Calibri" w:eastAsia="Calibri" w:hAnsi="Calibri"/>
                <w:b w:val="false"/>
                <w:bCs w:val="false"/>
                <w:color w:val="000000"/>
                <w:sz w:val="20"/>
                <w:szCs w:val="20"/>
              </w:rPr>
              <w:t xml:space="preserve">Star</w:t>
            </w:r>
          </w:p>
        </w:tc>
      </w:tr>
      <w:tr>
        <w:tc>
          <w:tcPr>
            <w:tcW w:type="dxa" w:w="3200"/>
            <w:vAlign w:val="center"/>
          </w:tcPr>
          <w:p>
            <w:r>
              <w:rPr>
                <w:rFonts w:ascii="Calibri" w:cs="Calibri" w:eastAsia="Calibri" w:hAnsi="Calibri"/>
                <w:b w:val="false"/>
                <w:bCs w:val="false"/>
                <w:color w:val="000000"/>
                <w:sz w:val="20"/>
                <w:szCs w:val="20"/>
              </w:rPr>
              <w:t xml:space="preserve">Lickable Wallpaper</w:t>
            </w:r>
          </w:p>
        </w:tc>
        <w:tc>
          <w:tcPr>
            <w:tcW w:type="dxa" w:w="1650"/>
            <w:vAlign w:val="center"/>
          </w:tcPr>
          <w:p>
            <w:r>
              <w:rPr>
                <w:rFonts w:ascii="Calibri" w:cs="Calibri" w:eastAsia="Calibri" w:hAnsi="Calibri"/>
                <w:b w:val="false"/>
                <w:bCs w:val="false"/>
                <w:color w:val="000000"/>
                <w:sz w:val="20"/>
                <w:szCs w:val="20"/>
              </w:rPr>
              <w:t xml:space="preserve">7,860.00</w:t>
            </w:r>
          </w:p>
        </w:tc>
        <w:tc>
          <w:tcPr>
            <w:tcW w:type="dxa" w:w="1650"/>
            <w:vAlign w:val="center"/>
          </w:tcPr>
          <w:p>
            <w:r>
              <w:rPr>
                <w:rFonts w:ascii="Calibri" w:cs="Calibri" w:eastAsia="Calibri" w:hAnsi="Calibri"/>
                <w:b w:val="false"/>
                <w:bCs w:val="false"/>
                <w:color w:val="000000"/>
                <w:sz w:val="20"/>
                <w:szCs w:val="20"/>
              </w:rPr>
              <w:t xml:space="preserve">3,930.00</w:t>
            </w:r>
          </w:p>
        </w:tc>
        <w:tc>
          <w:tcPr>
            <w:tcW w:type="dxa" w:w="1500"/>
            <w:vAlign w:val="center"/>
          </w:tcPr>
          <w:p>
            <w:r>
              <w:rPr>
                <w:rFonts w:ascii="Calibri" w:cs="Calibri" w:eastAsia="Calibri" w:hAnsi="Calibri"/>
                <w:b w:val="false"/>
                <w:bCs w:val="false"/>
                <w:color w:val="000000"/>
                <w:sz w:val="20"/>
                <w:szCs w:val="20"/>
              </w:rPr>
              <w:t xml:space="preserve">50.0</w:t>
            </w:r>
          </w:p>
        </w:tc>
        <w:tc>
          <w:tcPr>
            <w:tcW w:type="dxa" w:w="1500"/>
            <w:vAlign w:val="center"/>
          </w:tcPr>
          <w:p>
            <w:r>
              <w:rPr>
                <w:rFonts w:ascii="Calibri" w:cs="Calibri" w:eastAsia="Calibri" w:hAnsi="Calibri"/>
                <w:b w:val="false"/>
                <w:bCs w:val="false"/>
                <w:color w:val="000000"/>
                <w:sz w:val="20"/>
                <w:szCs w:val="20"/>
              </w:rPr>
              <w:t xml:space="preserve">Weak</w:t>
            </w:r>
          </w:p>
        </w:tc>
      </w:tr>
      <w:tr>
        <w:tc>
          <w:tcPr>
            <w:tcW w:type="dxa" w:w="3200"/>
            <w:vAlign w:val="center"/>
          </w:tcPr>
          <w:p>
            <w:r>
              <w:rPr>
                <w:rFonts w:ascii="Calibri" w:cs="Calibri" w:eastAsia="Calibri" w:hAnsi="Calibri"/>
                <w:b w:val="false"/>
                <w:bCs w:val="false"/>
                <w:color w:val="000000"/>
                <w:sz w:val="20"/>
                <w:szCs w:val="20"/>
              </w:rPr>
              <w:t xml:space="preserve">Wonka Gum</w:t>
            </w:r>
          </w:p>
        </w:tc>
        <w:tc>
          <w:tcPr>
            <w:tcW w:type="dxa" w:w="1650"/>
            <w:vAlign w:val="center"/>
          </w:tcPr>
          <w:p>
            <w:r>
              <w:rPr>
                <w:rFonts w:ascii="Calibri" w:cs="Calibri" w:eastAsia="Calibri" w:hAnsi="Calibri"/>
                <w:b w:val="false"/>
                <w:bCs w:val="false"/>
                <w:color w:val="000000"/>
                <w:sz w:val="20"/>
                <w:szCs w:val="20"/>
              </w:rPr>
              <w:t xml:space="preserve">597.50</w:t>
            </w:r>
          </w:p>
        </w:tc>
        <w:tc>
          <w:tcPr>
            <w:tcW w:type="dxa" w:w="1650"/>
            <w:vAlign w:val="center"/>
          </w:tcPr>
          <w:p>
            <w:r>
              <w:rPr>
                <w:rFonts w:ascii="Calibri" w:cs="Calibri" w:eastAsia="Calibri" w:hAnsi="Calibri"/>
                <w:b w:val="false"/>
                <w:bCs w:val="false"/>
                <w:color w:val="000000"/>
                <w:sz w:val="20"/>
                <w:szCs w:val="20"/>
              </w:rPr>
              <w:t xml:space="preserve">310.70</w:t>
            </w:r>
          </w:p>
        </w:tc>
        <w:tc>
          <w:tcPr>
            <w:tcW w:type="dxa" w:w="1500"/>
            <w:vAlign w:val="center"/>
          </w:tcPr>
          <w:p>
            <w:r>
              <w:rPr>
                <w:rFonts w:ascii="Calibri" w:cs="Calibri" w:eastAsia="Calibri" w:hAnsi="Calibri"/>
                <w:b w:val="false"/>
                <w:bCs w:val="false"/>
                <w:color w:val="000000"/>
                <w:sz w:val="20"/>
                <w:szCs w:val="20"/>
              </w:rPr>
              <w:t xml:space="preserve">52.0</w:t>
            </w:r>
          </w:p>
        </w:tc>
        <w:tc>
          <w:tcPr>
            <w:tcW w:type="dxa" w:w="1500"/>
            <w:vAlign w:val="center"/>
          </w:tcPr>
          <w:p>
            <w:r>
              <w:rPr>
                <w:rFonts w:ascii="Calibri" w:cs="Calibri" w:eastAsia="Calibri" w:hAnsi="Calibri"/>
                <w:b w:val="false"/>
                <w:bCs w:val="false"/>
                <w:color w:val="000000"/>
                <w:sz w:val="20"/>
                <w:szCs w:val="20"/>
              </w:rPr>
              <w:t xml:space="preserve">Weak</w:t>
            </w:r>
          </w:p>
        </w:tc>
      </w:tr>
      <w:tr>
        <w:tc>
          <w:tcPr>
            <w:tcW w:type="dxa" w:w="3200"/>
            <w:vAlign w:val="center"/>
          </w:tcPr>
          <w:p>
            <w:r>
              <w:rPr>
                <w:rFonts w:ascii="Calibri" w:cs="Calibri" w:eastAsia="Calibri" w:hAnsi="Calibri"/>
                <w:b w:val="false"/>
                <w:bCs w:val="false"/>
                <w:color w:val="000000"/>
                <w:sz w:val="20"/>
                <w:szCs w:val="20"/>
              </w:rPr>
              <w:t xml:space="preserve">Everlasting Gobstopper</w:t>
            </w:r>
          </w:p>
        </w:tc>
        <w:tc>
          <w:tcPr>
            <w:tcW w:type="dxa" w:w="1650"/>
            <w:vAlign w:val="center"/>
          </w:tcPr>
          <w:p>
            <w:r>
              <w:rPr>
                <w:rFonts w:ascii="Calibri" w:cs="Calibri" w:eastAsia="Calibri" w:hAnsi="Calibri"/>
                <w:b w:val="false"/>
                <w:bCs w:val="false"/>
                <w:color w:val="000000"/>
                <w:sz w:val="20"/>
                <w:szCs w:val="20"/>
              </w:rPr>
              <w:t xml:space="preserve">130.00</w:t>
            </w:r>
          </w:p>
        </w:tc>
        <w:tc>
          <w:tcPr>
            <w:tcW w:type="dxa" w:w="1650"/>
            <w:vAlign w:val="center"/>
          </w:tcPr>
          <w:p>
            <w:r>
              <w:rPr>
                <w:rFonts w:ascii="Calibri" w:cs="Calibri" w:eastAsia="Calibri" w:hAnsi="Calibri"/>
                <w:b w:val="false"/>
                <w:bCs w:val="false"/>
                <w:color w:val="000000"/>
                <w:sz w:val="20"/>
                <w:szCs w:val="20"/>
              </w:rPr>
              <w:t xml:space="preserve">104.00</w:t>
            </w:r>
          </w:p>
        </w:tc>
        <w:tc>
          <w:tcPr>
            <w:tcW w:type="dxa" w:w="1500"/>
            <w:vAlign w:val="center"/>
          </w:tcPr>
          <w:p>
            <w:r>
              <w:rPr>
                <w:rFonts w:ascii="Calibri" w:cs="Calibri" w:eastAsia="Calibri" w:hAnsi="Calibri"/>
                <w:b w:val="false"/>
                <w:bCs w:val="false"/>
                <w:color w:val="000000"/>
                <w:sz w:val="20"/>
                <w:szCs w:val="20"/>
              </w:rPr>
              <w:t xml:space="preserve">80.0</w:t>
            </w:r>
          </w:p>
        </w:tc>
        <w:tc>
          <w:tcPr>
            <w:tcW w:type="dxa" w:w="1500"/>
            <w:vAlign w:val="center"/>
          </w:tcPr>
          <w:p>
            <w:r>
              <w:rPr>
                <w:rFonts w:ascii="Calibri" w:cs="Calibri" w:eastAsia="Calibri" w:hAnsi="Calibri"/>
                <w:b w:val="false"/>
                <w:bCs w:val="false"/>
                <w:color w:val="000000"/>
                <w:sz w:val="20"/>
                <w:szCs w:val="20"/>
              </w:rPr>
              <w:t xml:space="preserve">Niche</w:t>
            </w:r>
          </w:p>
        </w:tc>
      </w:tr>
      <w:tr>
        <w:tc>
          <w:tcPr>
            <w:tcW w:type="dxa" w:w="3200"/>
            <w:vAlign w:val="center"/>
          </w:tcPr>
          <w:p>
            <w:r>
              <w:rPr>
                <w:rFonts w:ascii="Calibri" w:cs="Calibri" w:eastAsia="Calibri" w:hAnsi="Calibri"/>
                <w:b w:val="false"/>
                <w:bCs w:val="false"/>
                <w:color w:val="000000"/>
                <w:sz w:val="20"/>
                <w:szCs w:val="20"/>
              </w:rPr>
              <w:t xml:space="preserve">Kazookles</w:t>
            </w:r>
          </w:p>
        </w:tc>
        <w:tc>
          <w:tcPr>
            <w:tcW w:type="dxa" w:w="1650"/>
            <w:vAlign w:val="center"/>
          </w:tcPr>
          <w:p>
            <w:r>
              <w:rPr>
                <w:rFonts w:ascii="Calibri" w:cs="Calibri" w:eastAsia="Calibri" w:hAnsi="Calibri"/>
                <w:b w:val="false"/>
                <w:bCs w:val="false"/>
                <w:color w:val="000000"/>
                <w:sz w:val="20"/>
                <w:szCs w:val="20"/>
              </w:rPr>
              <w:t xml:space="preserve">1,205.75</w:t>
            </w:r>
          </w:p>
        </w:tc>
        <w:tc>
          <w:tcPr>
            <w:tcW w:type="dxa" w:w="1650"/>
            <w:vAlign w:val="center"/>
          </w:tcPr>
          <w:p>
            <w:r>
              <w:rPr>
                <w:rFonts w:ascii="Calibri" w:cs="Calibri" w:eastAsia="Calibri" w:hAnsi="Calibri"/>
                <w:b w:val="false"/>
                <w:bCs w:val="false"/>
                <w:color w:val="000000"/>
                <w:sz w:val="20"/>
                <w:szCs w:val="20"/>
              </w:rPr>
              <w:t xml:space="preserve">92.75</w:t>
            </w:r>
          </w:p>
        </w:tc>
        <w:tc>
          <w:tcPr>
            <w:tcW w:type="dxa" w:w="1500"/>
            <w:vAlign w:val="center"/>
          </w:tcPr>
          <w:p>
            <w:r>
              <w:rPr>
                <w:rFonts w:ascii="Calibri" w:cs="Calibri" w:eastAsia="Calibri" w:hAnsi="Calibri"/>
                <w:b w:val="false"/>
                <w:bCs w:val="false"/>
                <w:color w:val="000000"/>
                <w:sz w:val="20"/>
                <w:szCs w:val="20"/>
              </w:rPr>
              <w:t xml:space="preserve">7.7</w:t>
            </w:r>
          </w:p>
        </w:tc>
        <w:tc>
          <w:tcPr>
            <w:tcW w:type="dxa" w:w="1500"/>
            <w:vAlign w:val="center"/>
          </w:tcPr>
          <w:p>
            <w:r>
              <w:rPr>
                <w:rFonts w:ascii="Calibri" w:cs="Calibri" w:eastAsia="Calibri" w:hAnsi="Calibri"/>
                <w:b w:val="false"/>
                <w:bCs w:val="false"/>
                <w:color w:val="000000"/>
                <w:sz w:val="20"/>
                <w:szCs w:val="20"/>
              </w:rPr>
              <w:t xml:space="preserve">Weak</w:t>
            </w:r>
          </w:p>
        </w:tc>
      </w:tr>
      <w:tr>
        <w:tc>
          <w:tcPr>
            <w:tcW w:type="dxa" w:w="3200"/>
            <w:vAlign w:val="center"/>
          </w:tcPr>
          <w:p>
            <w:r>
              <w:rPr>
                <w:rFonts w:ascii="Calibri" w:cs="Calibri" w:eastAsia="Calibri" w:hAnsi="Calibri"/>
                <w:b w:val="false"/>
                <w:bCs w:val="false"/>
                <w:color w:val="000000"/>
                <w:sz w:val="20"/>
                <w:szCs w:val="20"/>
              </w:rPr>
              <w:t xml:space="preserve">Hair Toffee</w:t>
            </w:r>
          </w:p>
        </w:tc>
        <w:tc>
          <w:tcPr>
            <w:tcW w:type="dxa" w:w="1650"/>
            <w:vAlign w:val="center"/>
          </w:tcPr>
          <w:p>
            <w:r>
              <w:rPr>
                <w:rFonts w:ascii="Calibri" w:cs="Calibri" w:eastAsia="Calibri" w:hAnsi="Calibri"/>
                <w:b w:val="false"/>
                <w:bCs w:val="false"/>
                <w:color w:val="000000"/>
                <w:sz w:val="20"/>
                <w:szCs w:val="20"/>
              </w:rPr>
              <w:t xml:space="preserve">76.50</w:t>
            </w:r>
          </w:p>
        </w:tc>
        <w:tc>
          <w:tcPr>
            <w:tcW w:type="dxa" w:w="1650"/>
            <w:vAlign w:val="center"/>
          </w:tcPr>
          <w:p>
            <w:r>
              <w:rPr>
                <w:rFonts w:ascii="Calibri" w:cs="Calibri" w:eastAsia="Calibri" w:hAnsi="Calibri"/>
                <w:b w:val="false"/>
                <w:bCs w:val="false"/>
                <w:color w:val="000000"/>
                <w:sz w:val="20"/>
                <w:szCs w:val="20"/>
              </w:rPr>
              <w:t xml:space="preserve">59.50</w:t>
            </w:r>
          </w:p>
        </w:tc>
        <w:tc>
          <w:tcPr>
            <w:tcW w:type="dxa" w:w="1500"/>
            <w:vAlign w:val="center"/>
          </w:tcPr>
          <w:p>
            <w:r>
              <w:rPr>
                <w:rFonts w:ascii="Calibri" w:cs="Calibri" w:eastAsia="Calibri" w:hAnsi="Calibri"/>
                <w:b w:val="false"/>
                <w:bCs w:val="false"/>
                <w:color w:val="000000"/>
                <w:sz w:val="20"/>
                <w:szCs w:val="20"/>
              </w:rPr>
              <w:t xml:space="preserve">77.8</w:t>
            </w:r>
          </w:p>
        </w:tc>
        <w:tc>
          <w:tcPr>
            <w:tcW w:type="dxa" w:w="1500"/>
            <w:vAlign w:val="center"/>
          </w:tcPr>
          <w:p>
            <w:r>
              <w:rPr>
                <w:rFonts w:ascii="Calibri" w:cs="Calibri" w:eastAsia="Calibri" w:hAnsi="Calibri"/>
                <w:b w:val="false"/>
                <w:bCs w:val="false"/>
                <w:color w:val="000000"/>
                <w:sz w:val="20"/>
                <w:szCs w:val="20"/>
              </w:rPr>
              <w:t xml:space="preserve">Niche</w:t>
            </w:r>
          </w:p>
        </w:tc>
      </w:tr>
      <w:tr>
        <w:tc>
          <w:tcPr>
            <w:tcW w:type="dxa" w:w="3200"/>
            <w:vAlign w:val="center"/>
          </w:tcPr>
          <w:p>
            <w:r>
              <w:rPr>
                <w:rFonts w:ascii="Calibri" w:cs="Calibri" w:eastAsia="Calibri" w:hAnsi="Calibri"/>
                <w:b w:val="false"/>
                <w:bCs w:val="false"/>
                <w:color w:val="000000"/>
                <w:sz w:val="20"/>
                <w:szCs w:val="20"/>
              </w:rPr>
              <w:t xml:space="preserve">Fizzy Lifting Drinks</w:t>
            </w:r>
          </w:p>
        </w:tc>
        <w:tc>
          <w:tcPr>
            <w:tcW w:type="dxa" w:w="1650"/>
            <w:vAlign w:val="center"/>
          </w:tcPr>
          <w:p>
            <w:r>
              <w:rPr>
                <w:rFonts w:ascii="Calibri" w:cs="Calibri" w:eastAsia="Calibri" w:hAnsi="Calibri"/>
                <w:b w:val="false"/>
                <w:bCs w:val="false"/>
                <w:color w:val="000000"/>
                <w:sz w:val="20"/>
                <w:szCs w:val="20"/>
              </w:rPr>
              <w:t xml:space="preserve">78.75</w:t>
            </w:r>
          </w:p>
        </w:tc>
        <w:tc>
          <w:tcPr>
            <w:tcW w:type="dxa" w:w="1650"/>
            <w:vAlign w:val="center"/>
          </w:tcPr>
          <w:p>
            <w:r>
              <w:rPr>
                <w:rFonts w:ascii="Calibri" w:cs="Calibri" w:eastAsia="Calibri" w:hAnsi="Calibri"/>
                <w:b w:val="false"/>
                <w:bCs w:val="false"/>
                <w:color w:val="000000"/>
                <w:sz w:val="20"/>
                <w:szCs w:val="20"/>
              </w:rPr>
              <w:t xml:space="preserve">47.25</w:t>
            </w:r>
          </w:p>
        </w:tc>
        <w:tc>
          <w:tcPr>
            <w:tcW w:type="dxa" w:w="1500"/>
            <w:vAlign w:val="center"/>
          </w:tcPr>
          <w:p>
            <w:r>
              <w:rPr>
                <w:rFonts w:ascii="Calibri" w:cs="Calibri" w:eastAsia="Calibri" w:hAnsi="Calibri"/>
                <w:b w:val="false"/>
                <w:bCs w:val="false"/>
                <w:color w:val="000000"/>
                <w:sz w:val="20"/>
                <w:szCs w:val="20"/>
              </w:rPr>
              <w:t xml:space="preserve">60.0</w:t>
            </w:r>
          </w:p>
        </w:tc>
        <w:tc>
          <w:tcPr>
            <w:tcW w:type="dxa" w:w="1500"/>
            <w:vAlign w:val="center"/>
          </w:tcPr>
          <w:p>
            <w:r>
              <w:rPr>
                <w:rFonts w:ascii="Calibri" w:cs="Calibri" w:eastAsia="Calibri" w:hAnsi="Calibri"/>
                <w:b w:val="false"/>
                <w:bCs w:val="false"/>
                <w:color w:val="000000"/>
                <w:sz w:val="20"/>
                <w:szCs w:val="20"/>
              </w:rPr>
              <w:t xml:space="preserve">Niche</w:t>
            </w:r>
          </w:p>
        </w:tc>
      </w:tr>
      <w:tr>
        <w:tc>
          <w:tcPr>
            <w:tcW w:type="dxa" w:w="3200"/>
            <w:vAlign w:val="center"/>
          </w:tcPr>
          <w:p>
            <w:r>
              <w:rPr>
                <w:rFonts w:ascii="Calibri" w:cs="Calibri" w:eastAsia="Calibri" w:hAnsi="Calibri"/>
                <w:b w:val="false"/>
                <w:bCs w:val="false"/>
                <w:color w:val="000000"/>
                <w:sz w:val="20"/>
                <w:szCs w:val="20"/>
              </w:rPr>
              <w:t xml:space="preserve">Laffy Taffy</w:t>
            </w:r>
          </w:p>
        </w:tc>
        <w:tc>
          <w:tcPr>
            <w:tcW w:type="dxa" w:w="1650"/>
            <w:vAlign w:val="center"/>
          </w:tcPr>
          <w:p>
            <w:r>
              <w:rPr>
                <w:rFonts w:ascii="Calibri" w:cs="Calibri" w:eastAsia="Calibri" w:hAnsi="Calibri"/>
                <w:b w:val="false"/>
                <w:bCs w:val="false"/>
                <w:color w:val="000000"/>
                <w:sz w:val="20"/>
                <w:szCs w:val="20"/>
              </w:rPr>
              <w:t xml:space="preserve">53.73</w:t>
            </w:r>
          </w:p>
        </w:tc>
        <w:tc>
          <w:tcPr>
            <w:tcW w:type="dxa" w:w="1650"/>
            <w:vAlign w:val="center"/>
          </w:tcPr>
          <w:p>
            <w:r>
              <w:rPr>
                <w:rFonts w:ascii="Calibri" w:cs="Calibri" w:eastAsia="Calibri" w:hAnsi="Calibri"/>
                <w:b w:val="false"/>
                <w:bCs w:val="false"/>
                <w:color w:val="000000"/>
                <w:sz w:val="20"/>
                <w:szCs w:val="20"/>
              </w:rPr>
              <w:t xml:space="preserve">33.48</w:t>
            </w:r>
          </w:p>
        </w:tc>
        <w:tc>
          <w:tcPr>
            <w:tcW w:type="dxa" w:w="1500"/>
            <w:vAlign w:val="center"/>
          </w:tcPr>
          <w:p>
            <w:r>
              <w:rPr>
                <w:rFonts w:ascii="Calibri" w:cs="Calibri" w:eastAsia="Calibri" w:hAnsi="Calibri"/>
                <w:b w:val="false"/>
                <w:bCs w:val="false"/>
                <w:color w:val="000000"/>
                <w:sz w:val="20"/>
                <w:szCs w:val="20"/>
              </w:rPr>
              <w:t xml:space="preserve">62.3</w:t>
            </w:r>
          </w:p>
        </w:tc>
        <w:tc>
          <w:tcPr>
            <w:tcW w:type="dxa" w:w="1500"/>
            <w:vAlign w:val="center"/>
          </w:tcPr>
          <w:p>
            <w:r>
              <w:rPr>
                <w:rFonts w:ascii="Calibri" w:cs="Calibri" w:eastAsia="Calibri" w:hAnsi="Calibri"/>
                <w:b w:val="false"/>
                <w:bCs w:val="false"/>
                <w:color w:val="000000"/>
                <w:sz w:val="20"/>
                <w:szCs w:val="20"/>
              </w:rPr>
              <w:t xml:space="preserve">Niche</w:t>
            </w:r>
          </w:p>
        </w:tc>
      </w:tr>
      <w:tr>
        <w:tc>
          <w:tcPr>
            <w:tcW w:type="dxa" w:w="3200"/>
            <w:vAlign w:val="center"/>
          </w:tcPr>
          <w:p>
            <w:r>
              <w:rPr>
                <w:rFonts w:ascii="Calibri" w:cs="Calibri" w:eastAsia="Calibri" w:hAnsi="Calibri"/>
                <w:b w:val="false"/>
                <w:bCs w:val="false"/>
                <w:color w:val="000000"/>
                <w:sz w:val="20"/>
                <w:szCs w:val="20"/>
              </w:rPr>
              <w:t xml:space="preserve">SweeTARTS</w:t>
            </w:r>
          </w:p>
        </w:tc>
        <w:tc>
          <w:tcPr>
            <w:tcW w:type="dxa" w:w="1650"/>
            <w:vAlign w:val="center"/>
          </w:tcPr>
          <w:p>
            <w:r>
              <w:rPr>
                <w:rFonts w:ascii="Calibri" w:cs="Calibri" w:eastAsia="Calibri" w:hAnsi="Calibri"/>
                <w:b w:val="false"/>
                <w:bCs w:val="false"/>
                <w:color w:val="000000"/>
                <w:sz w:val="20"/>
                <w:szCs w:val="20"/>
              </w:rPr>
              <w:t xml:space="preserve">61.50</w:t>
            </w:r>
          </w:p>
        </w:tc>
        <w:tc>
          <w:tcPr>
            <w:tcW w:type="dxa" w:w="1650"/>
            <w:vAlign w:val="center"/>
          </w:tcPr>
          <w:p>
            <w:r>
              <w:rPr>
                <w:rFonts w:ascii="Calibri" w:cs="Calibri" w:eastAsia="Calibri" w:hAnsi="Calibri"/>
                <w:b w:val="false"/>
                <w:bCs w:val="false"/>
                <w:color w:val="000000"/>
                <w:sz w:val="20"/>
                <w:szCs w:val="20"/>
              </w:rPr>
              <w:t xml:space="preserve">28.70</w:t>
            </w:r>
          </w:p>
        </w:tc>
        <w:tc>
          <w:tcPr>
            <w:tcW w:type="dxa" w:w="1500"/>
            <w:vAlign w:val="center"/>
          </w:tcPr>
          <w:p>
            <w:r>
              <w:rPr>
                <w:rFonts w:ascii="Calibri" w:cs="Calibri" w:eastAsia="Calibri" w:hAnsi="Calibri"/>
                <w:b w:val="false"/>
                <w:bCs w:val="false"/>
                <w:color w:val="000000"/>
                <w:sz w:val="20"/>
                <w:szCs w:val="20"/>
              </w:rPr>
              <w:t xml:space="preserve">46.7</w:t>
            </w:r>
          </w:p>
        </w:tc>
        <w:tc>
          <w:tcPr>
            <w:tcW w:type="dxa" w:w="1500"/>
            <w:vAlign w:val="center"/>
          </w:tcPr>
          <w:p>
            <w:r>
              <w:rPr>
                <w:rFonts w:ascii="Calibri" w:cs="Calibri" w:eastAsia="Calibri" w:hAnsi="Calibri"/>
                <w:b w:val="false"/>
                <w:bCs w:val="false"/>
                <w:color w:val="000000"/>
                <w:sz w:val="20"/>
                <w:szCs w:val="20"/>
              </w:rPr>
              <w:t xml:space="preserve">Weak</w:t>
            </w:r>
          </w:p>
        </w:tc>
      </w:tr>
      <w:tr>
        <w:tc>
          <w:tcPr>
            <w:tcW w:type="dxa" w:w="3200"/>
            <w:vAlign w:val="center"/>
          </w:tcPr>
          <w:p>
            <w:r>
              <w:rPr>
                <w:rFonts w:ascii="Calibri" w:cs="Calibri" w:eastAsia="Calibri" w:hAnsi="Calibri"/>
                <w:b w:val="false"/>
                <w:bCs w:val="false"/>
                <w:color w:val="000000"/>
                <w:sz w:val="20"/>
                <w:szCs w:val="20"/>
              </w:rPr>
              <w:t xml:space="preserve">Nerds</w:t>
            </w:r>
          </w:p>
        </w:tc>
        <w:tc>
          <w:tcPr>
            <w:tcW w:type="dxa" w:w="1650"/>
            <w:vAlign w:val="center"/>
          </w:tcPr>
          <w:p>
            <w:r>
              <w:rPr>
                <w:rFonts w:ascii="Calibri" w:cs="Calibri" w:eastAsia="Calibri" w:hAnsi="Calibri"/>
                <w:b w:val="false"/>
                <w:bCs w:val="false"/>
                <w:color w:val="000000"/>
                <w:sz w:val="20"/>
                <w:szCs w:val="20"/>
              </w:rPr>
              <w:t xml:space="preserve">15.00</w:t>
            </w:r>
          </w:p>
        </w:tc>
        <w:tc>
          <w:tcPr>
            <w:tcW w:type="dxa" w:w="1650"/>
            <w:vAlign w:val="center"/>
          </w:tcPr>
          <w:p>
            <w:r>
              <w:rPr>
                <w:rFonts w:ascii="Calibri" w:cs="Calibri" w:eastAsia="Calibri" w:hAnsi="Calibri"/>
                <w:b w:val="false"/>
                <w:bCs w:val="false"/>
                <w:color w:val="000000"/>
                <w:sz w:val="20"/>
                <w:szCs w:val="20"/>
              </w:rPr>
              <w:t xml:space="preserve">7.00</w:t>
            </w:r>
          </w:p>
        </w:tc>
        <w:tc>
          <w:tcPr>
            <w:tcW w:type="dxa" w:w="1500"/>
            <w:vAlign w:val="center"/>
          </w:tcPr>
          <w:p>
            <w:r>
              <w:rPr>
                <w:rFonts w:ascii="Calibri" w:cs="Calibri" w:eastAsia="Calibri" w:hAnsi="Calibri"/>
                <w:b w:val="false"/>
                <w:bCs w:val="false"/>
                <w:color w:val="000000"/>
                <w:sz w:val="20"/>
                <w:szCs w:val="20"/>
              </w:rPr>
              <w:t xml:space="preserve">46.7</w:t>
            </w:r>
          </w:p>
        </w:tc>
        <w:tc>
          <w:tcPr>
            <w:tcW w:type="dxa" w:w="1500"/>
            <w:vAlign w:val="center"/>
          </w:tcPr>
          <w:p>
            <w:r>
              <w:rPr>
                <w:rFonts w:ascii="Calibri" w:cs="Calibri" w:eastAsia="Calibri" w:hAnsi="Calibri"/>
                <w:b w:val="false"/>
                <w:bCs w:val="false"/>
                <w:color w:val="000000"/>
                <w:sz w:val="20"/>
                <w:szCs w:val="20"/>
              </w:rPr>
              <w:t xml:space="preserve">Weak</w:t>
            </w:r>
          </w:p>
        </w:tc>
      </w:tr>
      <w:tr>
        <w:tc>
          <w:tcPr>
            <w:tcW w:type="dxa" w:w="3200"/>
            <w:vAlign w:val="center"/>
          </w:tcPr>
          <w:p>
            <w:r>
              <w:rPr>
                <w:rFonts w:ascii="Calibri" w:cs="Calibri" w:eastAsia="Calibri" w:hAnsi="Calibri"/>
                <w:b w:val="false"/>
                <w:bCs w:val="false"/>
                <w:color w:val="000000"/>
                <w:sz w:val="20"/>
                <w:szCs w:val="20"/>
              </w:rPr>
              <w:t xml:space="preserve">Fun Dip</w:t>
            </w:r>
          </w:p>
        </w:tc>
        <w:tc>
          <w:tcPr>
            <w:tcW w:type="dxa" w:w="1650"/>
            <w:vAlign w:val="center"/>
          </w:tcPr>
          <w:p>
            <w:r>
              <w:rPr>
                <w:rFonts w:ascii="Calibri" w:cs="Calibri" w:eastAsia="Calibri" w:hAnsi="Calibri"/>
                <w:b w:val="false"/>
                <w:bCs w:val="false"/>
                <w:color w:val="000000"/>
                <w:sz w:val="20"/>
                <w:szCs w:val="20"/>
              </w:rPr>
              <w:t xml:space="preserve">12.00</w:t>
            </w:r>
          </w:p>
        </w:tc>
        <w:tc>
          <w:tcPr>
            <w:tcW w:type="dxa" w:w="1650"/>
            <w:vAlign w:val="center"/>
          </w:tcPr>
          <w:p>
            <w:r>
              <w:rPr>
                <w:rFonts w:ascii="Calibri" w:cs="Calibri" w:eastAsia="Calibri" w:hAnsi="Calibri"/>
                <w:b w:val="false"/>
                <w:bCs w:val="false"/>
                <w:color w:val="000000"/>
                <w:sz w:val="20"/>
                <w:szCs w:val="20"/>
              </w:rPr>
              <w:t xml:space="preserve">4.80</w:t>
            </w:r>
          </w:p>
        </w:tc>
        <w:tc>
          <w:tcPr>
            <w:tcW w:type="dxa" w:w="1500"/>
            <w:vAlign w:val="center"/>
          </w:tcPr>
          <w:p>
            <w:r>
              <w:rPr>
                <w:rFonts w:ascii="Calibri" w:cs="Calibri" w:eastAsia="Calibri" w:hAnsi="Calibri"/>
                <w:b w:val="false"/>
                <w:bCs w:val="false"/>
                <w:color w:val="000000"/>
                <w:sz w:val="20"/>
                <w:szCs w:val="20"/>
              </w:rPr>
              <w:t xml:space="preserve">40.0</w:t>
            </w:r>
          </w:p>
        </w:tc>
        <w:tc>
          <w:tcPr>
            <w:tcW w:type="dxa" w:w="1500"/>
            <w:vAlign w:val="center"/>
          </w:tcPr>
          <w:p>
            <w:r>
              <w:rPr>
                <w:rFonts w:ascii="Calibri" w:cs="Calibri" w:eastAsia="Calibri" w:hAnsi="Calibri"/>
                <w:b w:val="false"/>
                <w:bCs w:val="false"/>
                <w:color w:val="000000"/>
                <w:sz w:val="20"/>
                <w:szCs w:val="20"/>
              </w:rPr>
              <w:t xml:space="preserve">Weak</w:t>
            </w:r>
          </w:p>
        </w:tc>
      </w:tr>
    </w:tbl>
    <w:p>
      <w:pPr>
        <w:spacing w:after="120"/>
      </w:pPr>
    </w:p>
    <w:p>
      <w:pPr>
        <w:spacing w:after="8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718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1: Total profit by product, ranked descending. The five Chocolate products form a distinct high-profit cluster.</w:t>
      </w:r>
    </w:p>
    <w:p>
      <w:pPr>
        <w:spacing w:after="160"/>
        <w:jc w:val="both"/>
      </w:pPr>
      <w:r>
        <w:rPr>
          <w:rFonts w:ascii="Calibri" w:cs="Calibri" w:eastAsia="Calibri" w:hAnsi="Calibri"/>
          <w:sz w:val="22"/>
          <w:szCs w:val="22"/>
        </w:rPr>
        <w:t xml:space="preserve">The five Chocolate-division products dominate every ranking, together generating the large majority of company revenue and profit at healthy margins of 65–71%. The most significant risk finding is Kazookles: despite mid-tier sales of $1,205.75 (higher than most Sugar/Other products), its average margin is just 7.7% — far below the 57.4% dataset average — meaning almost the entire sale value is consumed by cost. This is the clearest case in the dataset of a product that appears active in the market while contributing almost nothing to profit. Everlasting Gobstopper and Hair Toffee, by contrast, show very high margins (78–80%) on minimal sales volume, representing under-promoted, high-margin "niche" opportunities.</w:t>
      </w:r>
    </w:p>
    <w:p>
      <w:pPr>
        <w:pStyle w:val="Heading1"/>
        <w:spacing w:after="160" w:before="320"/>
      </w:pPr>
      <w:r>
        <w:t xml:space="preserve">5. Division-Level Performance Analysis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50"/>
        <w:gridCol w:w="1700"/>
        <w:gridCol w:w="1700"/>
        <w:gridCol w:w="1450"/>
        <w:gridCol w:w="1600"/>
        <w:gridCol w:w="1600"/>
      </w:tblGrid>
      <w:tr>
        <w:trPr>
          <w:tblHeader/>
        </w:trPr>
        <w:tc>
          <w:tcPr>
            <w:tcW w:type="dxa" w:w="1650"/>
            <w:shd w:fill="7B3F00" w:val="clear"/>
            <w:vAlign w:val="center"/>
          </w:tcPr>
          <w:p>
            <w:r>
              <w:rPr>
                <w:rFonts w:ascii="Calibri" w:cs="Calibri" w:eastAsia="Calibri" w:hAnsi="Calibri"/>
                <w:b/>
                <w:bCs/>
                <w:color w:val="FFFFFF"/>
                <w:sz w:val="20"/>
                <w:szCs w:val="20"/>
              </w:rPr>
              <w:t xml:space="preserve">Division</w:t>
            </w:r>
          </w:p>
        </w:tc>
        <w:tc>
          <w:tcPr>
            <w:tcW w:type="dxa" w:w="1700"/>
            <w:shd w:fill="7B3F00" w:val="clear"/>
            <w:vAlign w:val="center"/>
          </w:tcPr>
          <w:p>
            <w:r>
              <w:rPr>
                <w:rFonts w:ascii="Calibri" w:cs="Calibri" w:eastAsia="Calibri" w:hAnsi="Calibri"/>
                <w:b/>
                <w:bCs/>
                <w:color w:val="FFFFFF"/>
                <w:sz w:val="20"/>
                <w:szCs w:val="20"/>
              </w:rPr>
              <w:t xml:space="preserve">Total Sales ($)</w:t>
            </w:r>
          </w:p>
        </w:tc>
        <w:tc>
          <w:tcPr>
            <w:tcW w:type="dxa" w:w="1700"/>
            <w:shd w:fill="7B3F00" w:val="clear"/>
            <w:vAlign w:val="center"/>
          </w:tcPr>
          <w:p>
            <w:r>
              <w:rPr>
                <w:rFonts w:ascii="Calibri" w:cs="Calibri" w:eastAsia="Calibri" w:hAnsi="Calibri"/>
                <w:b/>
                <w:bCs/>
                <w:color w:val="FFFFFF"/>
                <w:sz w:val="20"/>
                <w:szCs w:val="20"/>
              </w:rPr>
              <w:t xml:space="preserve">Total Profit ($)</w:t>
            </w:r>
          </w:p>
        </w:tc>
        <w:tc>
          <w:tcPr>
            <w:tcW w:type="dxa" w:w="1450"/>
            <w:shd w:fill="7B3F00" w:val="clear"/>
            <w:vAlign w:val="center"/>
          </w:tcPr>
          <w:p>
            <w:r>
              <w:rPr>
                <w:rFonts w:ascii="Calibri" w:cs="Calibri" w:eastAsia="Calibri" w:hAnsi="Calibri"/>
                <w:b/>
                <w:bCs/>
                <w:color w:val="FFFFFF"/>
                <w:sz w:val="20"/>
                <w:szCs w:val="20"/>
              </w:rPr>
              <w:t xml:space="preserve">Avg Margin (%)</w:t>
            </w:r>
          </w:p>
        </w:tc>
        <w:tc>
          <w:tcPr>
            <w:tcW w:type="dxa" w:w="1600"/>
            <w:shd w:fill="7B3F00" w:val="clear"/>
            <w:vAlign w:val="center"/>
          </w:tcPr>
          <w:p>
            <w:r>
              <w:rPr>
                <w:rFonts w:ascii="Calibri" w:cs="Calibri" w:eastAsia="Calibri" w:hAnsi="Calibri"/>
                <w:b/>
                <w:bCs/>
                <w:color w:val="FFFFFF"/>
                <w:sz w:val="20"/>
                <w:szCs w:val="20"/>
              </w:rPr>
              <w:t xml:space="preserve">Revenue Share (%)</w:t>
            </w:r>
          </w:p>
        </w:tc>
        <w:tc>
          <w:tcPr>
            <w:tcW w:type="dxa" w:w="1600"/>
            <w:shd w:fill="7B3F00" w:val="clear"/>
            <w:vAlign w:val="center"/>
          </w:tcPr>
          <w:p>
            <w:r>
              <w:rPr>
                <w:rFonts w:ascii="Calibri" w:cs="Calibri" w:eastAsia="Calibri" w:hAnsi="Calibri"/>
                <w:b/>
                <w:bCs/>
                <w:color w:val="FFFFFF"/>
                <w:sz w:val="20"/>
                <w:szCs w:val="20"/>
              </w:rPr>
              <w:t xml:space="preserve">Profit Share (%)</w:t>
            </w:r>
          </w:p>
        </w:tc>
      </w:tr>
      <w:tr>
        <w:tc>
          <w:tcPr>
            <w:tcW w:type="dxa" w:w="1650"/>
            <w:vAlign w:val="center"/>
          </w:tcPr>
          <w:p>
            <w:r>
              <w:rPr>
                <w:rFonts w:ascii="Calibri" w:cs="Calibri" w:eastAsia="Calibri" w:hAnsi="Calibri"/>
                <w:b w:val="false"/>
                <w:bCs w:val="false"/>
                <w:color w:val="000000"/>
                <w:sz w:val="20"/>
                <w:szCs w:val="20"/>
              </w:rPr>
              <w:t xml:space="preserve">Chocolate</w:t>
            </w:r>
          </w:p>
        </w:tc>
        <w:tc>
          <w:tcPr>
            <w:tcW w:type="dxa" w:w="1700"/>
            <w:vAlign w:val="center"/>
          </w:tcPr>
          <w:p>
            <w:r>
              <w:rPr>
                <w:rFonts w:ascii="Calibri" w:cs="Calibri" w:eastAsia="Calibri" w:hAnsi="Calibri"/>
                <w:b w:val="false"/>
                <w:bCs w:val="false"/>
                <w:color w:val="000000"/>
                <w:sz w:val="20"/>
                <w:szCs w:val="20"/>
              </w:rPr>
              <w:t xml:space="preserve">131,692.90</w:t>
            </w:r>
          </w:p>
        </w:tc>
        <w:tc>
          <w:tcPr>
            <w:tcW w:type="dxa" w:w="1700"/>
            <w:vAlign w:val="center"/>
          </w:tcPr>
          <w:p>
            <w:r>
              <w:rPr>
                <w:rFonts w:ascii="Calibri" w:cs="Calibri" w:eastAsia="Calibri" w:hAnsi="Calibri"/>
                <w:b w:val="false"/>
                <w:bCs w:val="false"/>
                <w:color w:val="000000"/>
                <w:sz w:val="20"/>
                <w:szCs w:val="20"/>
              </w:rPr>
              <w:t xml:space="preserve">88,824.62</w:t>
            </w:r>
          </w:p>
        </w:tc>
        <w:tc>
          <w:tcPr>
            <w:tcW w:type="dxa" w:w="1450"/>
            <w:vAlign w:val="center"/>
          </w:tcPr>
          <w:p>
            <w:r>
              <w:rPr>
                <w:rFonts w:ascii="Calibri" w:cs="Calibri" w:eastAsia="Calibri" w:hAnsi="Calibri"/>
                <w:b w:val="false"/>
                <w:bCs w:val="false"/>
                <w:color w:val="000000"/>
                <w:sz w:val="20"/>
                <w:szCs w:val="20"/>
              </w:rPr>
              <w:t xml:space="preserve">67.5</w:t>
            </w:r>
          </w:p>
        </w:tc>
        <w:tc>
          <w:tcPr>
            <w:tcW w:type="dxa" w:w="1600"/>
            <w:vAlign w:val="center"/>
          </w:tcPr>
          <w:p>
            <w:r>
              <w:rPr>
                <w:rFonts w:ascii="Calibri" w:cs="Calibri" w:eastAsia="Calibri" w:hAnsi="Calibri"/>
                <w:b w:val="false"/>
                <w:bCs w:val="false"/>
                <w:color w:val="000000"/>
                <w:sz w:val="20"/>
                <w:szCs w:val="20"/>
              </w:rPr>
              <w:t xml:space="preserve">92.9</w:t>
            </w:r>
          </w:p>
        </w:tc>
        <w:tc>
          <w:tcPr>
            <w:tcW w:type="dxa" w:w="1600"/>
            <w:vAlign w:val="center"/>
          </w:tcPr>
          <w:p>
            <w:r>
              <w:rPr>
                <w:rFonts w:ascii="Calibri" w:cs="Calibri" w:eastAsia="Calibri" w:hAnsi="Calibri"/>
                <w:b w:val="false"/>
                <w:bCs w:val="false"/>
                <w:color w:val="000000"/>
                <w:sz w:val="20"/>
                <w:szCs w:val="20"/>
              </w:rPr>
              <w:t xml:space="preserve">95.1</w:t>
            </w:r>
          </w:p>
        </w:tc>
      </w:tr>
      <w:tr>
        <w:tc>
          <w:tcPr>
            <w:tcW w:type="dxa" w:w="1650"/>
            <w:vAlign w:val="center"/>
          </w:tcPr>
          <w:p>
            <w:r>
              <w:rPr>
                <w:rFonts w:ascii="Calibri" w:cs="Calibri" w:eastAsia="Calibri" w:hAnsi="Calibri"/>
                <w:b w:val="false"/>
                <w:bCs w:val="false"/>
                <w:color w:val="000000"/>
                <w:sz w:val="20"/>
                <w:szCs w:val="20"/>
              </w:rPr>
              <w:t xml:space="preserve">Other</w:t>
            </w:r>
          </w:p>
        </w:tc>
        <w:tc>
          <w:tcPr>
            <w:tcW w:type="dxa" w:w="1700"/>
            <w:vAlign w:val="center"/>
          </w:tcPr>
          <w:p>
            <w:r>
              <w:rPr>
                <w:rFonts w:ascii="Calibri" w:cs="Calibri" w:eastAsia="Calibri" w:hAnsi="Calibri"/>
                <w:b w:val="false"/>
                <w:bCs w:val="false"/>
                <w:color w:val="000000"/>
                <w:sz w:val="20"/>
                <w:szCs w:val="20"/>
              </w:rPr>
              <w:t xml:space="preserve">9,663.25</w:t>
            </w:r>
          </w:p>
        </w:tc>
        <w:tc>
          <w:tcPr>
            <w:tcW w:type="dxa" w:w="1700"/>
            <w:vAlign w:val="center"/>
          </w:tcPr>
          <w:p>
            <w:r>
              <w:rPr>
                <w:rFonts w:ascii="Calibri" w:cs="Calibri" w:eastAsia="Calibri" w:hAnsi="Calibri"/>
                <w:b w:val="false"/>
                <w:bCs w:val="false"/>
                <w:color w:val="000000"/>
                <w:sz w:val="20"/>
                <w:szCs w:val="20"/>
              </w:rPr>
              <w:t xml:space="preserve">4,333.45</w:t>
            </w:r>
          </w:p>
        </w:tc>
        <w:tc>
          <w:tcPr>
            <w:tcW w:type="dxa" w:w="1450"/>
            <w:vAlign w:val="center"/>
          </w:tcPr>
          <w:p>
            <w:r>
              <w:rPr>
                <w:rFonts w:ascii="Calibri" w:cs="Calibri" w:eastAsia="Calibri" w:hAnsi="Calibri"/>
                <w:b w:val="false"/>
                <w:bCs w:val="false"/>
                <w:color w:val="000000"/>
                <w:sz w:val="20"/>
                <w:szCs w:val="20"/>
              </w:rPr>
              <w:t xml:space="preserve">37.7</w:t>
            </w:r>
          </w:p>
        </w:tc>
        <w:tc>
          <w:tcPr>
            <w:tcW w:type="dxa" w:w="1600"/>
            <w:vAlign w:val="center"/>
          </w:tcPr>
          <w:p>
            <w:r>
              <w:rPr>
                <w:rFonts w:ascii="Calibri" w:cs="Calibri" w:eastAsia="Calibri" w:hAnsi="Calibri"/>
                <w:b w:val="false"/>
                <w:bCs w:val="false"/>
                <w:color w:val="000000"/>
                <w:sz w:val="20"/>
                <w:szCs w:val="20"/>
              </w:rPr>
              <w:t xml:space="preserve">6.8</w:t>
            </w:r>
          </w:p>
        </w:tc>
        <w:tc>
          <w:tcPr>
            <w:tcW w:type="dxa" w:w="1600"/>
            <w:vAlign w:val="center"/>
          </w:tcPr>
          <w:p>
            <w:r>
              <w:rPr>
                <w:rFonts w:ascii="Calibri" w:cs="Calibri" w:eastAsia="Calibri" w:hAnsi="Calibri"/>
                <w:b w:val="false"/>
                <w:bCs w:val="false"/>
                <w:color w:val="000000"/>
                <w:sz w:val="20"/>
                <w:szCs w:val="20"/>
              </w:rPr>
              <w:t xml:space="preserve">4.6</w:t>
            </w:r>
          </w:p>
        </w:tc>
      </w:tr>
      <w:tr>
        <w:tc>
          <w:tcPr>
            <w:tcW w:type="dxa" w:w="1650"/>
            <w:vAlign w:val="center"/>
          </w:tcPr>
          <w:p>
            <w:r>
              <w:rPr>
                <w:rFonts w:ascii="Calibri" w:cs="Calibri" w:eastAsia="Calibri" w:hAnsi="Calibri"/>
                <w:b w:val="false"/>
                <w:bCs w:val="false"/>
                <w:color w:val="000000"/>
                <w:sz w:val="20"/>
                <w:szCs w:val="20"/>
              </w:rPr>
              <w:t xml:space="preserve">Sugar</w:t>
            </w:r>
          </w:p>
        </w:tc>
        <w:tc>
          <w:tcPr>
            <w:tcW w:type="dxa" w:w="1700"/>
            <w:vAlign w:val="center"/>
          </w:tcPr>
          <w:p>
            <w:r>
              <w:rPr>
                <w:rFonts w:ascii="Calibri" w:cs="Calibri" w:eastAsia="Calibri" w:hAnsi="Calibri"/>
                <w:b w:val="false"/>
                <w:bCs w:val="false"/>
                <w:color w:val="000000"/>
                <w:sz w:val="20"/>
                <w:szCs w:val="20"/>
              </w:rPr>
              <w:t xml:space="preserve">427.48</w:t>
            </w:r>
          </w:p>
        </w:tc>
        <w:tc>
          <w:tcPr>
            <w:tcW w:type="dxa" w:w="1700"/>
            <w:vAlign w:val="center"/>
          </w:tcPr>
          <w:p>
            <w:r>
              <w:rPr>
                <w:rFonts w:ascii="Calibri" w:cs="Calibri" w:eastAsia="Calibri" w:hAnsi="Calibri"/>
                <w:b w:val="false"/>
                <w:bCs w:val="false"/>
                <w:color w:val="000000"/>
                <w:sz w:val="20"/>
                <w:szCs w:val="20"/>
              </w:rPr>
              <w:t xml:space="preserve">284.73</w:t>
            </w:r>
          </w:p>
        </w:tc>
        <w:tc>
          <w:tcPr>
            <w:tcW w:type="dxa" w:w="1450"/>
            <w:vAlign w:val="center"/>
          </w:tcPr>
          <w:p>
            <w:r>
              <w:rPr>
                <w:rFonts w:ascii="Calibri" w:cs="Calibri" w:eastAsia="Calibri" w:hAnsi="Calibri"/>
                <w:b w:val="false"/>
                <w:bCs w:val="false"/>
                <w:color w:val="000000"/>
                <w:sz w:val="20"/>
                <w:szCs w:val="20"/>
              </w:rPr>
              <w:t xml:space="preserve">57.7</w:t>
            </w:r>
          </w:p>
        </w:tc>
        <w:tc>
          <w:tcPr>
            <w:tcW w:type="dxa" w:w="1600"/>
            <w:vAlign w:val="center"/>
          </w:tcPr>
          <w:p>
            <w:r>
              <w:rPr>
                <w:rFonts w:ascii="Calibri" w:cs="Calibri" w:eastAsia="Calibri" w:hAnsi="Calibri"/>
                <w:b w:val="false"/>
                <w:bCs w:val="false"/>
                <w:color w:val="000000"/>
                <w:sz w:val="20"/>
                <w:szCs w:val="20"/>
              </w:rPr>
              <w:t xml:space="preserve">0.3</w:t>
            </w:r>
          </w:p>
        </w:tc>
        <w:tc>
          <w:tcPr>
            <w:tcW w:type="dxa" w:w="1600"/>
            <w:vAlign w:val="center"/>
          </w:tcPr>
          <w:p>
            <w:r>
              <w:rPr>
                <w:rFonts w:ascii="Calibri" w:cs="Calibri" w:eastAsia="Calibri" w:hAnsi="Calibri"/>
                <w:b w:val="false"/>
                <w:bCs w:val="false"/>
                <w:color w:val="000000"/>
                <w:sz w:val="20"/>
                <w:szCs w:val="20"/>
              </w:rPr>
              <w:t xml:space="preserve">0.3</w:t>
            </w:r>
          </w:p>
        </w:tc>
      </w:tr>
    </w:tbl>
    <w:p>
      <w:pPr>
        <w:spacing w:after="120"/>
      </w:pPr>
    </w:p>
    <w:p>
      <w:pPr>
        <w:spacing w:after="80" w:before="120"/>
        <w:jc w:val="center"/>
      </w:pPr>
      <w:r>
        <w:drawing>
          <wp:inline distT="0" distB="0" distL="0" distR="0">
            <wp:extent cx="5238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37185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2: Revenue vs profit by division. Chocolate's profit bar proportionally exceeds its sales bar; Other shows the reverse pattern.</w:t>
      </w:r>
    </w:p>
    <w:p>
      <w:pPr>
        <w:spacing w:after="160"/>
        <w:jc w:val="both"/>
      </w:pPr>
      <w:r>
        <w:rPr>
          <w:rFonts w:ascii="Calibri" w:cs="Calibri" w:eastAsia="Calibri" w:hAnsi="Calibri"/>
          <w:sz w:val="22"/>
          <w:szCs w:val="22"/>
        </w:rPr>
        <w:t xml:space="preserve">Chocolate is not only the largest division by revenue (92.9% of sales) but is proportionally even stronger in profit (95.1% of profit) — its Profit Share exceeds its Revenue Share, indicating an efficient, high-margin division. The Other division shows the inverse and more concerning pattern: it accounts for 6.8% of revenue but only 4.6% of profit, and its average margin (37.7%) is the lowest of the three divisions — a structural margin inefficiency rather than a one-product problem. Sugar's contribution to overall results is negligible (0.3% of both revenue and profit) and does not materially affect company performance in either direction.</w:t>
      </w:r>
    </w:p>
    <w:p>
      <w:pPr>
        <w:pStyle w:val="Heading1"/>
        <w:spacing w:after="160" w:before="320"/>
      </w:pPr>
      <w:r>
        <w:t xml:space="preserve">6. Profit Concentration (Pareto) Analysis</w:t>
      </w:r>
    </w:p>
    <w:p>
      <w:pPr>
        <w:spacing w:after="160"/>
        <w:jc w:val="both"/>
      </w:pPr>
      <w:r>
        <w:rPr>
          <w:rFonts w:ascii="Calibri" w:cs="Calibri" w:eastAsia="Calibri" w:hAnsi="Calibri"/>
          <w:sz w:val="22"/>
          <w:szCs w:val="22"/>
        </w:rPr>
        <w:t xml:space="preserve">Cumulative profit contribution was calculated after ranking all 15 products by profit in descending order, to test for over-dependency on a small number of products.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500"/>
      </w:tblGrid>
      <w:tr>
        <w:trPr>
          <w:tblHeader/>
        </w:trPr>
        <w:tc>
          <w:tcPr>
            <w:tcW w:type="dxa" w:w="900"/>
            <w:shd w:fill="7B3F00" w:val="clear"/>
            <w:vAlign w:val="center"/>
          </w:tcPr>
          <w:p>
            <w:r>
              <w:rPr>
                <w:rFonts w:ascii="Calibri" w:cs="Calibri" w:eastAsia="Calibri" w:hAnsi="Calibri"/>
                <w:b/>
                <w:bCs/>
                <w:color w:val="FFFFFF"/>
                <w:sz w:val="20"/>
                <w:szCs w:val="20"/>
              </w:rPr>
              <w:t xml:space="preserve">Rank</w:t>
            </w:r>
          </w:p>
        </w:tc>
        <w:tc>
          <w:tcPr>
            <w:tcW w:type="dxa" w:w="5100"/>
            <w:shd w:fill="7B3F00" w:val="clear"/>
            <w:vAlign w:val="center"/>
          </w:tcPr>
          <w:p>
            <w:r>
              <w:rPr>
                <w:rFonts w:ascii="Calibri" w:cs="Calibri" w:eastAsia="Calibri" w:hAnsi="Calibri"/>
                <w:b/>
                <w:bCs/>
                <w:color w:val="FFFFFF"/>
                <w:sz w:val="20"/>
                <w:szCs w:val="20"/>
              </w:rPr>
              <w:t xml:space="preserve">Product</w:t>
            </w:r>
          </w:p>
        </w:tc>
        <w:tc>
          <w:tcPr>
            <w:tcW w:type="dxa" w:w="2500"/>
            <w:shd w:fill="7B3F00" w:val="clear"/>
            <w:vAlign w:val="center"/>
          </w:tcPr>
          <w:p>
            <w:r>
              <w:rPr>
                <w:rFonts w:ascii="Calibri" w:cs="Calibri" w:eastAsia="Calibri" w:hAnsi="Calibri"/>
                <w:b/>
                <w:bCs/>
                <w:color w:val="FFFFFF"/>
                <w:sz w:val="20"/>
                <w:szCs w:val="20"/>
              </w:rPr>
              <w:t xml:space="preserve">Cumulative Profit (%)</w:t>
            </w:r>
          </w:p>
        </w:tc>
      </w:tr>
      <w:tr>
        <w:tc>
          <w:tcPr>
            <w:tcW w:type="dxa" w:w="900"/>
            <w:vAlign w:val="center"/>
          </w:tcPr>
          <w:p>
            <w:r>
              <w:rPr>
                <w:rFonts w:ascii="Calibri" w:cs="Calibri" w:eastAsia="Calibri" w:hAnsi="Calibri"/>
                <w:b w:val="false"/>
                <w:bCs w:val="false"/>
                <w:color w:val="000000"/>
                <w:sz w:val="20"/>
                <w:szCs w:val="20"/>
              </w:rPr>
              <w:t xml:space="preserve">1</w:t>
            </w:r>
          </w:p>
        </w:tc>
        <w:tc>
          <w:tcPr>
            <w:tcW w:type="dxa" w:w="5100"/>
            <w:vAlign w:val="center"/>
          </w:tcPr>
          <w:p>
            <w:r>
              <w:rPr>
                <w:rFonts w:ascii="Calibri" w:cs="Calibri" w:eastAsia="Calibri" w:hAnsi="Calibri"/>
                <w:b w:val="false"/>
                <w:bCs w:val="false"/>
                <w:color w:val="000000"/>
                <w:sz w:val="20"/>
                <w:szCs w:val="20"/>
              </w:rPr>
              <w:t xml:space="preserve">Wonka Bar - Scrumdiddlyumptious</w:t>
            </w:r>
          </w:p>
        </w:tc>
        <w:tc>
          <w:tcPr>
            <w:tcW w:type="dxa" w:w="2500"/>
            <w:vAlign w:val="center"/>
          </w:tcPr>
          <w:p>
            <w:r>
              <w:rPr>
                <w:rFonts w:ascii="Calibri" w:cs="Calibri" w:eastAsia="Calibri" w:hAnsi="Calibri"/>
                <w:b w:val="false"/>
                <w:bCs w:val="false"/>
                <w:color w:val="000000"/>
                <w:sz w:val="20"/>
                <w:szCs w:val="20"/>
              </w:rPr>
              <w:t xml:space="preserve">20.7</w:t>
            </w:r>
          </w:p>
        </w:tc>
      </w:tr>
      <w:tr>
        <w:tc>
          <w:tcPr>
            <w:tcW w:type="dxa" w:w="900"/>
            <w:vAlign w:val="center"/>
          </w:tcPr>
          <w:p>
            <w:r>
              <w:rPr>
                <w:rFonts w:ascii="Calibri" w:cs="Calibri" w:eastAsia="Calibri" w:hAnsi="Calibri"/>
                <w:b w:val="false"/>
                <w:bCs w:val="false"/>
                <w:color w:val="000000"/>
                <w:sz w:val="20"/>
                <w:szCs w:val="20"/>
              </w:rPr>
              <w:t xml:space="preserve">2</w:t>
            </w:r>
          </w:p>
        </w:tc>
        <w:tc>
          <w:tcPr>
            <w:tcW w:type="dxa" w:w="5100"/>
            <w:vAlign w:val="center"/>
          </w:tcPr>
          <w:p>
            <w:r>
              <w:rPr>
                <w:rFonts w:ascii="Calibri" w:cs="Calibri" w:eastAsia="Calibri" w:hAnsi="Calibri"/>
                <w:b w:val="false"/>
                <w:bCs w:val="false"/>
                <w:color w:val="000000"/>
                <w:sz w:val="20"/>
                <w:szCs w:val="20"/>
              </w:rPr>
              <w:t xml:space="preserve">Wonka Bar - Triple Dazzle Caramel</w:t>
            </w:r>
          </w:p>
        </w:tc>
        <w:tc>
          <w:tcPr>
            <w:tcW w:type="dxa" w:w="2500"/>
            <w:vAlign w:val="center"/>
          </w:tcPr>
          <w:p>
            <w:r>
              <w:rPr>
                <w:rFonts w:ascii="Calibri" w:cs="Calibri" w:eastAsia="Calibri" w:hAnsi="Calibri"/>
                <w:b w:val="false"/>
                <w:bCs w:val="false"/>
                <w:color w:val="000000"/>
                <w:sz w:val="20"/>
                <w:szCs w:val="20"/>
              </w:rPr>
              <w:t xml:space="preserve">40.6</w:t>
            </w:r>
          </w:p>
        </w:tc>
      </w:tr>
      <w:tr>
        <w:tc>
          <w:tcPr>
            <w:tcW w:type="dxa" w:w="900"/>
            <w:vAlign w:val="center"/>
          </w:tcPr>
          <w:p>
            <w:r>
              <w:rPr>
                <w:rFonts w:ascii="Calibri" w:cs="Calibri" w:eastAsia="Calibri" w:hAnsi="Calibri"/>
                <w:b w:val="false"/>
                <w:bCs w:val="false"/>
                <w:color w:val="000000"/>
                <w:sz w:val="20"/>
                <w:szCs w:val="20"/>
              </w:rPr>
              <w:t xml:space="preserve">3</w:t>
            </w:r>
          </w:p>
        </w:tc>
        <w:tc>
          <w:tcPr>
            <w:tcW w:type="dxa" w:w="5100"/>
            <w:vAlign w:val="center"/>
          </w:tcPr>
          <w:p>
            <w:r>
              <w:rPr>
                <w:rFonts w:ascii="Calibri" w:cs="Calibri" w:eastAsia="Calibri" w:hAnsi="Calibri"/>
                <w:b w:val="false"/>
                <w:bCs w:val="false"/>
                <w:color w:val="000000"/>
                <w:sz w:val="20"/>
                <w:szCs w:val="20"/>
              </w:rPr>
              <w:t xml:space="preserve">Wonka Bar - Milk Chocolate</w:t>
            </w:r>
          </w:p>
        </w:tc>
        <w:tc>
          <w:tcPr>
            <w:tcW w:type="dxa" w:w="2500"/>
            <w:vAlign w:val="center"/>
          </w:tcPr>
          <w:p>
            <w:r>
              <w:rPr>
                <w:rFonts w:ascii="Calibri" w:cs="Calibri" w:eastAsia="Calibri" w:hAnsi="Calibri"/>
                <w:b w:val="false"/>
                <w:bCs w:val="false"/>
                <w:color w:val="000000"/>
                <w:sz w:val="20"/>
                <w:szCs w:val="20"/>
              </w:rPr>
              <w:t xml:space="preserve">59.3</w:t>
            </w:r>
          </w:p>
        </w:tc>
      </w:tr>
      <w:tr>
        <w:tc>
          <w:tcPr>
            <w:tcW w:type="dxa" w:w="900"/>
            <w:vAlign w:val="center"/>
          </w:tcPr>
          <w:p>
            <w:r>
              <w:rPr>
                <w:rFonts w:ascii="Calibri" w:cs="Calibri" w:eastAsia="Calibri" w:hAnsi="Calibri"/>
                <w:b w:val="false"/>
                <w:bCs w:val="false"/>
                <w:color w:val="000000"/>
                <w:sz w:val="20"/>
                <w:szCs w:val="20"/>
              </w:rPr>
              <w:t xml:space="preserve">4</w:t>
            </w:r>
          </w:p>
        </w:tc>
        <w:tc>
          <w:tcPr>
            <w:tcW w:type="dxa" w:w="5100"/>
            <w:vAlign w:val="center"/>
          </w:tcPr>
          <w:p>
            <w:r>
              <w:rPr>
                <w:rFonts w:ascii="Calibri" w:cs="Calibri" w:eastAsia="Calibri" w:hAnsi="Calibri"/>
                <w:b w:val="false"/>
                <w:bCs w:val="false"/>
                <w:color w:val="000000"/>
                <w:sz w:val="20"/>
                <w:szCs w:val="20"/>
              </w:rPr>
              <w:t xml:space="preserve">Wonka Bar - Nutty Crunch Surprise</w:t>
            </w:r>
          </w:p>
        </w:tc>
        <w:tc>
          <w:tcPr>
            <w:tcW w:type="dxa" w:w="2500"/>
            <w:vAlign w:val="center"/>
          </w:tcPr>
          <w:p>
            <w:r>
              <w:rPr>
                <w:rFonts w:ascii="Calibri" w:cs="Calibri" w:eastAsia="Calibri" w:hAnsi="Calibri"/>
                <w:b w:val="false"/>
                <w:bCs w:val="false"/>
                <w:color w:val="000000"/>
                <w:sz w:val="20"/>
                <w:szCs w:val="20"/>
              </w:rPr>
              <w:t xml:space="preserve">77.3</w:t>
            </w:r>
          </w:p>
        </w:tc>
      </w:tr>
      <w:tr>
        <w:tc>
          <w:tcPr>
            <w:tcW w:type="dxa" w:w="900"/>
            <w:vAlign w:val="center"/>
          </w:tcPr>
          <w:p>
            <w:r>
              <w:rPr>
                <w:rFonts w:ascii="Calibri" w:cs="Calibri" w:eastAsia="Calibri" w:hAnsi="Calibri"/>
                <w:b w:val="false"/>
                <w:bCs w:val="false"/>
                <w:color w:val="000000"/>
                <w:sz w:val="20"/>
                <w:szCs w:val="20"/>
              </w:rPr>
              <w:t xml:space="preserve">5</w:t>
            </w:r>
          </w:p>
        </w:tc>
        <w:tc>
          <w:tcPr>
            <w:tcW w:type="dxa" w:w="5100"/>
            <w:vAlign w:val="center"/>
          </w:tcPr>
          <w:p>
            <w:r>
              <w:rPr>
                <w:rFonts w:ascii="Calibri" w:cs="Calibri" w:eastAsia="Calibri" w:hAnsi="Calibri"/>
                <w:b w:val="false"/>
                <w:bCs w:val="false"/>
                <w:color w:val="000000"/>
                <w:sz w:val="20"/>
                <w:szCs w:val="20"/>
              </w:rPr>
              <w:t xml:space="preserve">Wonka Bar - Fudge Mallows</w:t>
            </w:r>
          </w:p>
        </w:tc>
        <w:tc>
          <w:tcPr>
            <w:tcW w:type="dxa" w:w="2500"/>
            <w:vAlign w:val="center"/>
          </w:tcPr>
          <w:p>
            <w:r>
              <w:rPr>
                <w:rFonts w:ascii="Calibri" w:cs="Calibri" w:eastAsia="Calibri" w:hAnsi="Calibri"/>
                <w:b w:val="false"/>
                <w:bCs w:val="false"/>
                <w:color w:val="000000"/>
                <w:sz w:val="20"/>
                <w:szCs w:val="20"/>
              </w:rPr>
              <w:t xml:space="preserve">95.1</w:t>
            </w:r>
          </w:p>
        </w:tc>
      </w:tr>
    </w:tbl>
    <w:p>
      <w:pPr>
        <w:spacing w:after="120"/>
      </w:pPr>
    </w:p>
    <w:p>
      <w:pPr>
        <w:spacing w:after="8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3: Cumulative profit contribution by product. The curve crosses the 80% threshold at just the 4th product.</w:t>
      </w:r>
    </w:p>
    <w:p>
      <w:pPr>
        <w:spacing w:after="160"/>
        <w:jc w:val="both"/>
      </w:pPr>
      <w:r>
        <w:rPr>
          <w:rFonts w:ascii="Calibri" w:cs="Calibri" w:eastAsia="Calibri" w:hAnsi="Calibri"/>
          <w:sz w:val="22"/>
          <w:szCs w:val="22"/>
        </w:rPr>
        <w:t xml:space="preserve">The result is a sharper concentration than the conventional 80/20 Pareto pattern: just 5 of 15 products (33% of the product line) generate 95.1% of total profit, and the top 4 products alone already cross the 80% threshold. The remaining 10 products (67% of the catalog) collectively contribute under 5% of profit. This represents a significant business concentration risk — a supply disruption, cost increase, or demand shift affecting any one of these five Chocolate products would have an outsized impact on total company profitability, far greater than its single-product weight would suggest.</w:t>
      </w:r>
    </w:p>
    <w:p>
      <w:pPr>
        <w:pStyle w:val="Heading2"/>
        <w:spacing w:after="120" w:before="240"/>
      </w:pPr>
      <w:r>
        <w:t xml:space="preserve">6.1 Revenue vs Profit Concentration</w:t>
      </w:r>
    </w:p>
    <w:p>
      <w:pPr>
        <w:spacing w:after="160"/>
        <w:jc w:val="both"/>
      </w:pPr>
      <w:r>
        <w:rPr>
          <w:rFonts w:ascii="Calibri" w:cs="Calibri" w:eastAsia="Calibri" w:hAnsi="Calibri"/>
          <w:sz w:val="22"/>
          <w:szCs w:val="22"/>
        </w:rPr>
        <w:t xml:space="preserve">The same top 5 products account for 92.9% of total revenue, slightly below their 95.1% share of profit. This small gap (92.9% vs 95.1%) confirms these products are not just the biggest sellers but also the most efficient — they convert revenue into profit at a better-than-average rate, reinforcing the Division-level finding in Section 5 that Chocolate's profit share exceeds its revenue share.</w:t>
      </w:r>
    </w:p>
    <w:p>
      <w:pPr>
        <w:pStyle w:val="Heading2"/>
        <w:spacing w:after="120" w:before="240"/>
      </w:pPr>
      <w:r>
        <w:t xml:space="preserve">6.2 Margin Volatility</w:t>
      </w:r>
    </w:p>
    <w:p>
      <w:pPr>
        <w:spacing w:after="160"/>
        <w:jc w:val="both"/>
      </w:pPr>
      <w:r>
        <w:rPr>
          <w:rFonts w:ascii="Calibri" w:cs="Calibri" w:eastAsia="Calibri" w:hAnsi="Calibri"/>
          <w:sz w:val="22"/>
          <w:szCs w:val="22"/>
        </w:rPr>
        <w:t xml:space="preserve">Month-over-month margin volatility was calculated for every product (standard deviation of monthly Gross Margin % across its active months). The result was effectively zero for all 15 products (on the order of 10⁻¹⁴–10⁻¹⁵, i.e. floating-point noise rather than real variation). This indicates each product's margin is fixed and consistent every month it was sold, with no seasonal or month-to-month erosion. Practically, this means the margin risks identified in this report (Kazookles, the Other division, The Other Factory) are structural and pricing-based rather than caused by cost fluctuation over time — a one-time pricing or sourcing correction, rather than ongoing monitoring for drift, is the appropriate response.</w:t>
      </w:r>
    </w:p>
    <w:p>
      <w:pPr>
        <w:pStyle w:val="Heading1"/>
        <w:spacing w:after="160" w:before="320"/>
      </w:pPr>
      <w:r>
        <w:t xml:space="preserve">7. Factory-Level Profitability Analysis</w:t>
      </w:r>
    </w:p>
    <w:p>
      <w:pPr>
        <w:spacing w:after="160"/>
        <w:jc w:val="both"/>
      </w:pPr>
      <w:r>
        <w:rPr>
          <w:rFonts w:ascii="Calibri" w:cs="Calibri" w:eastAsia="Calibri" w:hAnsi="Calibri"/>
          <w:sz w:val="22"/>
          <w:szCs w:val="22"/>
        </w:rPr>
        <w:t xml:space="preserve">Using the product-to-factory reference table supplied with the dataset, product results were aggregated by manufacturing factory to test whether cost or margin problems trace back to a specific production site rather than to individual 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200"/>
        <w:gridCol w:w="1200"/>
        <w:gridCol w:w="1300"/>
      </w:tblGrid>
      <w:tr>
        <w:trPr>
          <w:tblHeader/>
        </w:trPr>
        <w:tc>
          <w:tcPr>
            <w:tcW w:type="dxa" w:w="1800"/>
            <w:shd w:fill="7B3F00" w:val="clear"/>
            <w:vAlign w:val="center"/>
          </w:tcPr>
          <w:p>
            <w:r>
              <w:rPr>
                <w:rFonts w:ascii="Calibri" w:cs="Calibri" w:eastAsia="Calibri" w:hAnsi="Calibri"/>
                <w:b/>
                <w:bCs/>
                <w:color w:val="FFFFFF"/>
                <w:sz w:val="20"/>
                <w:szCs w:val="20"/>
              </w:rPr>
              <w:t xml:space="preserve">Factory</w:t>
            </w:r>
          </w:p>
        </w:tc>
        <w:tc>
          <w:tcPr>
            <w:tcW w:type="dxa" w:w="3500"/>
            <w:shd w:fill="7B3F00" w:val="clear"/>
            <w:vAlign w:val="center"/>
          </w:tcPr>
          <w:p>
            <w:r>
              <w:rPr>
                <w:rFonts w:ascii="Calibri" w:cs="Calibri" w:eastAsia="Calibri" w:hAnsi="Calibri"/>
                <w:b/>
                <w:bCs/>
                <w:color w:val="FFFFFF"/>
                <w:sz w:val="20"/>
                <w:szCs w:val="20"/>
              </w:rPr>
              <w:t xml:space="preserve">Products Made</w:t>
            </w:r>
          </w:p>
        </w:tc>
        <w:tc>
          <w:tcPr>
            <w:tcW w:type="dxa" w:w="1200"/>
            <w:shd w:fill="7B3F00" w:val="clear"/>
            <w:vAlign w:val="center"/>
          </w:tcPr>
          <w:p>
            <w:r>
              <w:rPr>
                <w:rFonts w:ascii="Calibri" w:cs="Calibri" w:eastAsia="Calibri" w:hAnsi="Calibri"/>
                <w:b/>
                <w:bCs/>
                <w:color w:val="FFFFFF"/>
                <w:sz w:val="20"/>
                <w:szCs w:val="20"/>
              </w:rPr>
              <w:t xml:space="preserve">Sales ($)</w:t>
            </w:r>
          </w:p>
        </w:tc>
        <w:tc>
          <w:tcPr>
            <w:tcW w:type="dxa" w:w="1200"/>
            <w:shd w:fill="7B3F00" w:val="clear"/>
            <w:vAlign w:val="center"/>
          </w:tcPr>
          <w:p>
            <w:r>
              <w:rPr>
                <w:rFonts w:ascii="Calibri" w:cs="Calibri" w:eastAsia="Calibri" w:hAnsi="Calibri"/>
                <w:b/>
                <w:bCs/>
                <w:color w:val="FFFFFF"/>
                <w:sz w:val="20"/>
                <w:szCs w:val="20"/>
              </w:rPr>
              <w:t xml:space="preserve">Profit ($)</w:t>
            </w:r>
          </w:p>
        </w:tc>
        <w:tc>
          <w:tcPr>
            <w:tcW w:type="dxa" w:w="1300"/>
            <w:shd w:fill="7B3F00" w:val="clear"/>
            <w:vAlign w:val="center"/>
          </w:tcPr>
          <w:p>
            <w:r>
              <w:rPr>
                <w:rFonts w:ascii="Calibri" w:cs="Calibri" w:eastAsia="Calibri" w:hAnsi="Calibri"/>
                <w:b/>
                <w:bCs/>
                <w:color w:val="FFFFFF"/>
                <w:sz w:val="20"/>
                <w:szCs w:val="20"/>
              </w:rPr>
              <w:t xml:space="preserve">Margin (%)</w:t>
            </w:r>
          </w:p>
        </w:tc>
      </w:tr>
      <w:tr>
        <w:tc>
          <w:tcPr>
            <w:tcW w:type="dxa" w:w="1800"/>
            <w:vAlign w:val="center"/>
          </w:tcPr>
          <w:p>
            <w:r>
              <w:rPr>
                <w:rFonts w:ascii="Calibri" w:cs="Calibri" w:eastAsia="Calibri" w:hAnsi="Calibri"/>
                <w:b w:val="false"/>
                <w:bCs w:val="false"/>
                <w:color w:val="000000"/>
                <w:sz w:val="20"/>
                <w:szCs w:val="20"/>
              </w:rPr>
              <w:t xml:space="preserve">Lot's O' Nuts</w:t>
            </w:r>
          </w:p>
        </w:tc>
        <w:tc>
          <w:tcPr>
            <w:tcW w:type="dxa" w:w="3500"/>
            <w:vAlign w:val="center"/>
          </w:tcPr>
          <w:p>
            <w:r>
              <w:rPr>
                <w:rFonts w:ascii="Calibri" w:cs="Calibri" w:eastAsia="Calibri" w:hAnsi="Calibri"/>
                <w:b w:val="false"/>
                <w:bCs w:val="false"/>
                <w:color w:val="000000"/>
                <w:sz w:val="20"/>
                <w:szCs w:val="20"/>
              </w:rPr>
              <w:t xml:space="preserve">Nutty Crunch, Fudge Mallows, Scrumdiddlyumptious</w:t>
            </w:r>
          </w:p>
        </w:tc>
        <w:tc>
          <w:tcPr>
            <w:tcW w:type="dxa" w:w="1200"/>
            <w:vAlign w:val="center"/>
          </w:tcPr>
          <w:p>
            <w:r>
              <w:rPr>
                <w:rFonts w:ascii="Calibri" w:cs="Calibri" w:eastAsia="Calibri" w:hAnsi="Calibri"/>
                <w:b w:val="false"/>
                <w:bCs w:val="false"/>
                <w:color w:val="000000"/>
                <w:sz w:val="20"/>
                <w:szCs w:val="20"/>
              </w:rPr>
              <w:t xml:space="preserve">76,340</w:t>
            </w:r>
          </w:p>
        </w:tc>
        <w:tc>
          <w:tcPr>
            <w:tcW w:type="dxa" w:w="1200"/>
            <w:vAlign w:val="center"/>
          </w:tcPr>
          <w:p>
            <w:r>
              <w:rPr>
                <w:rFonts w:ascii="Calibri" w:cs="Calibri" w:eastAsia="Calibri" w:hAnsi="Calibri"/>
                <w:b w:val="false"/>
                <w:bCs w:val="false"/>
                <w:color w:val="000000"/>
                <w:sz w:val="20"/>
                <w:szCs w:val="20"/>
              </w:rPr>
              <w:t xml:space="preserve">52,771</w:t>
            </w:r>
          </w:p>
        </w:tc>
        <w:tc>
          <w:tcPr>
            <w:tcW w:type="dxa" w:w="1300"/>
            <w:vAlign w:val="center"/>
          </w:tcPr>
          <w:p>
            <w:r>
              <w:rPr>
                <w:rFonts w:ascii="Calibri" w:cs="Calibri" w:eastAsia="Calibri" w:hAnsi="Calibri"/>
                <w:b w:val="false"/>
                <w:bCs w:val="false"/>
                <w:color w:val="000000"/>
                <w:sz w:val="20"/>
                <w:szCs w:val="20"/>
              </w:rPr>
              <w:t xml:space="preserve">69.1</w:t>
            </w:r>
          </w:p>
        </w:tc>
      </w:tr>
      <w:tr>
        <w:tc>
          <w:tcPr>
            <w:tcW w:type="dxa" w:w="1800"/>
            <w:vAlign w:val="center"/>
          </w:tcPr>
          <w:p>
            <w:r>
              <w:rPr>
                <w:rFonts w:ascii="Calibri" w:cs="Calibri" w:eastAsia="Calibri" w:hAnsi="Calibri"/>
                <w:b w:val="false"/>
                <w:bCs w:val="false"/>
                <w:color w:val="000000"/>
                <w:sz w:val="20"/>
                <w:szCs w:val="20"/>
              </w:rPr>
              <w:t xml:space="preserve">Wicked Choccy's</w:t>
            </w:r>
          </w:p>
        </w:tc>
        <w:tc>
          <w:tcPr>
            <w:tcW w:type="dxa" w:w="3500"/>
            <w:vAlign w:val="center"/>
          </w:tcPr>
          <w:p>
            <w:r>
              <w:rPr>
                <w:rFonts w:ascii="Calibri" w:cs="Calibri" w:eastAsia="Calibri" w:hAnsi="Calibri"/>
                <w:b w:val="false"/>
                <w:bCs w:val="false"/>
                <w:color w:val="000000"/>
                <w:sz w:val="20"/>
                <w:szCs w:val="20"/>
              </w:rPr>
              <w:t xml:space="preserve">Milk Chocolate, Triple Dazzle Caramel</w:t>
            </w:r>
          </w:p>
        </w:tc>
        <w:tc>
          <w:tcPr>
            <w:tcW w:type="dxa" w:w="1200"/>
            <w:vAlign w:val="center"/>
          </w:tcPr>
          <w:p>
            <w:r>
              <w:rPr>
                <w:rFonts w:ascii="Calibri" w:cs="Calibri" w:eastAsia="Calibri" w:hAnsi="Calibri"/>
                <w:b w:val="false"/>
                <w:bCs w:val="false"/>
                <w:color w:val="000000"/>
                <w:sz w:val="20"/>
                <w:szCs w:val="20"/>
              </w:rPr>
              <w:t xml:space="preserve">55,353</w:t>
            </w:r>
          </w:p>
        </w:tc>
        <w:tc>
          <w:tcPr>
            <w:tcW w:type="dxa" w:w="1200"/>
            <w:vAlign w:val="center"/>
          </w:tcPr>
          <w:p>
            <w:r>
              <w:rPr>
                <w:rFonts w:ascii="Calibri" w:cs="Calibri" w:eastAsia="Calibri" w:hAnsi="Calibri"/>
                <w:b w:val="false"/>
                <w:bCs w:val="false"/>
                <w:color w:val="000000"/>
                <w:sz w:val="20"/>
                <w:szCs w:val="20"/>
              </w:rPr>
              <w:t xml:space="preserve">36,054</w:t>
            </w:r>
          </w:p>
        </w:tc>
        <w:tc>
          <w:tcPr>
            <w:tcW w:type="dxa" w:w="1300"/>
            <w:vAlign w:val="center"/>
          </w:tcPr>
          <w:p>
            <w:r>
              <w:rPr>
                <w:rFonts w:ascii="Calibri" w:cs="Calibri" w:eastAsia="Calibri" w:hAnsi="Calibri"/>
                <w:b w:val="false"/>
                <w:bCs w:val="false"/>
                <w:color w:val="000000"/>
                <w:sz w:val="20"/>
                <w:szCs w:val="20"/>
              </w:rPr>
              <w:t xml:space="preserve">65.1</w:t>
            </w:r>
          </w:p>
        </w:tc>
      </w:tr>
      <w:tr>
        <w:tc>
          <w:tcPr>
            <w:tcW w:type="dxa" w:w="1800"/>
            <w:vAlign w:val="center"/>
          </w:tcPr>
          <w:p>
            <w:r>
              <w:rPr>
                <w:rFonts w:ascii="Calibri" w:cs="Calibri" w:eastAsia="Calibri" w:hAnsi="Calibri"/>
                <w:b w:val="false"/>
                <w:bCs w:val="false"/>
                <w:color w:val="000000"/>
                <w:sz w:val="20"/>
                <w:szCs w:val="20"/>
              </w:rPr>
              <w:t xml:space="preserve">Sugar Shack</w:t>
            </w:r>
          </w:p>
        </w:tc>
        <w:tc>
          <w:tcPr>
            <w:tcW w:type="dxa" w:w="3500"/>
            <w:vAlign w:val="center"/>
          </w:tcPr>
          <w:p>
            <w:r>
              <w:rPr>
                <w:rFonts w:ascii="Calibri" w:cs="Calibri" w:eastAsia="Calibri" w:hAnsi="Calibri"/>
                <w:b w:val="false"/>
                <w:bCs w:val="false"/>
                <w:color w:val="000000"/>
                <w:sz w:val="20"/>
                <w:szCs w:val="20"/>
              </w:rPr>
              <w:t xml:space="preserve">Laffy Taffy, SweeTARTS, Nerds, Fun Dip, Fizzy Lifting Drinks</w:t>
            </w:r>
          </w:p>
        </w:tc>
        <w:tc>
          <w:tcPr>
            <w:tcW w:type="dxa" w:w="1200"/>
            <w:vAlign w:val="center"/>
          </w:tcPr>
          <w:p>
            <w:r>
              <w:rPr>
                <w:rFonts w:ascii="Calibri" w:cs="Calibri" w:eastAsia="Calibri" w:hAnsi="Calibri"/>
                <w:b w:val="false"/>
                <w:bCs w:val="false"/>
                <w:color w:val="000000"/>
                <w:sz w:val="20"/>
                <w:szCs w:val="20"/>
              </w:rPr>
              <w:t xml:space="preserve">221</w:t>
            </w:r>
          </w:p>
        </w:tc>
        <w:tc>
          <w:tcPr>
            <w:tcW w:type="dxa" w:w="1200"/>
            <w:vAlign w:val="center"/>
          </w:tcPr>
          <w:p>
            <w:r>
              <w:rPr>
                <w:rFonts w:ascii="Calibri" w:cs="Calibri" w:eastAsia="Calibri" w:hAnsi="Calibri"/>
                <w:b w:val="false"/>
                <w:bCs w:val="false"/>
                <w:color w:val="000000"/>
                <w:sz w:val="20"/>
                <w:szCs w:val="20"/>
              </w:rPr>
              <w:t xml:space="preserve">121</w:t>
            </w:r>
          </w:p>
        </w:tc>
        <w:tc>
          <w:tcPr>
            <w:tcW w:type="dxa" w:w="1300"/>
            <w:vAlign w:val="center"/>
          </w:tcPr>
          <w:p>
            <w:r>
              <w:rPr>
                <w:rFonts w:ascii="Calibri" w:cs="Calibri" w:eastAsia="Calibri" w:hAnsi="Calibri"/>
                <w:b w:val="false"/>
                <w:bCs w:val="false"/>
                <w:color w:val="000000"/>
                <w:sz w:val="20"/>
                <w:szCs w:val="20"/>
              </w:rPr>
              <w:t xml:space="preserve">54.9</w:t>
            </w:r>
          </w:p>
        </w:tc>
      </w:tr>
      <w:tr>
        <w:tc>
          <w:tcPr>
            <w:tcW w:type="dxa" w:w="1800"/>
            <w:vAlign w:val="center"/>
          </w:tcPr>
          <w:p>
            <w:r>
              <w:rPr>
                <w:rFonts w:ascii="Calibri" w:cs="Calibri" w:eastAsia="Calibri" w:hAnsi="Calibri"/>
                <w:b w:val="false"/>
                <w:bCs w:val="false"/>
                <w:color w:val="000000"/>
                <w:sz w:val="20"/>
                <w:szCs w:val="20"/>
              </w:rPr>
              <w:t xml:space="preserve">Secret Factory</w:t>
            </w:r>
          </w:p>
        </w:tc>
        <w:tc>
          <w:tcPr>
            <w:tcW w:type="dxa" w:w="3500"/>
            <w:vAlign w:val="center"/>
          </w:tcPr>
          <w:p>
            <w:r>
              <w:rPr>
                <w:rFonts w:ascii="Calibri" w:cs="Calibri" w:eastAsia="Calibri" w:hAnsi="Calibri"/>
                <w:b w:val="false"/>
                <w:bCs w:val="false"/>
                <w:color w:val="000000"/>
                <w:sz w:val="20"/>
                <w:szCs w:val="20"/>
              </w:rPr>
              <w:t xml:space="preserve">Everlasting Gobstopper, Lickable Wallpaper, Wonka Gum</w:t>
            </w:r>
          </w:p>
        </w:tc>
        <w:tc>
          <w:tcPr>
            <w:tcW w:type="dxa" w:w="1200"/>
            <w:vAlign w:val="center"/>
          </w:tcPr>
          <w:p>
            <w:r>
              <w:rPr>
                <w:rFonts w:ascii="Calibri" w:cs="Calibri" w:eastAsia="Calibri" w:hAnsi="Calibri"/>
                <w:b w:val="false"/>
                <w:bCs w:val="false"/>
                <w:color w:val="000000"/>
                <w:sz w:val="20"/>
                <w:szCs w:val="20"/>
              </w:rPr>
              <w:t xml:space="preserve">8,588</w:t>
            </w:r>
          </w:p>
        </w:tc>
        <w:tc>
          <w:tcPr>
            <w:tcW w:type="dxa" w:w="1200"/>
            <w:vAlign w:val="center"/>
          </w:tcPr>
          <w:p>
            <w:r>
              <w:rPr>
                <w:rFonts w:ascii="Calibri" w:cs="Calibri" w:eastAsia="Calibri" w:hAnsi="Calibri"/>
                <w:b w:val="false"/>
                <w:bCs w:val="false"/>
                <w:color w:val="000000"/>
                <w:sz w:val="20"/>
                <w:szCs w:val="20"/>
              </w:rPr>
              <w:t xml:space="preserve">4,345</w:t>
            </w:r>
          </w:p>
        </w:tc>
        <w:tc>
          <w:tcPr>
            <w:tcW w:type="dxa" w:w="1300"/>
            <w:vAlign w:val="center"/>
          </w:tcPr>
          <w:p>
            <w:r>
              <w:rPr>
                <w:rFonts w:ascii="Calibri" w:cs="Calibri" w:eastAsia="Calibri" w:hAnsi="Calibri"/>
                <w:b w:val="false"/>
                <w:bCs w:val="false"/>
                <w:color w:val="000000"/>
                <w:sz w:val="20"/>
                <w:szCs w:val="20"/>
              </w:rPr>
              <w:t xml:space="preserve">50.6</w:t>
            </w:r>
          </w:p>
        </w:tc>
      </w:tr>
      <w:tr>
        <w:tc>
          <w:tcPr>
            <w:tcW w:type="dxa" w:w="1800"/>
            <w:vAlign w:val="center"/>
          </w:tcPr>
          <w:p>
            <w:r>
              <w:rPr>
                <w:rFonts w:ascii="Calibri" w:cs="Calibri" w:eastAsia="Calibri" w:hAnsi="Calibri"/>
                <w:b w:val="false"/>
                <w:bCs w:val="false"/>
                <w:color w:val="000000"/>
                <w:sz w:val="20"/>
                <w:szCs w:val="20"/>
              </w:rPr>
              <w:t xml:space="preserve">The Other Factory</w:t>
            </w:r>
          </w:p>
        </w:tc>
        <w:tc>
          <w:tcPr>
            <w:tcW w:type="dxa" w:w="3500"/>
            <w:vAlign w:val="center"/>
          </w:tcPr>
          <w:p>
            <w:r>
              <w:rPr>
                <w:rFonts w:ascii="Calibri" w:cs="Calibri" w:eastAsia="Calibri" w:hAnsi="Calibri"/>
                <w:b w:val="false"/>
                <w:bCs w:val="false"/>
                <w:color w:val="000000"/>
                <w:sz w:val="20"/>
                <w:szCs w:val="20"/>
              </w:rPr>
              <w:t xml:space="preserve">Hair Toffee, Kazookles</w:t>
            </w:r>
          </w:p>
        </w:tc>
        <w:tc>
          <w:tcPr>
            <w:tcW w:type="dxa" w:w="1200"/>
            <w:vAlign w:val="center"/>
          </w:tcPr>
          <w:p>
            <w:r>
              <w:rPr>
                <w:rFonts w:ascii="Calibri" w:cs="Calibri" w:eastAsia="Calibri" w:hAnsi="Calibri"/>
                <w:b w:val="false"/>
                <w:bCs w:val="false"/>
                <w:color w:val="000000"/>
                <w:sz w:val="20"/>
                <w:szCs w:val="20"/>
              </w:rPr>
              <w:t xml:space="preserve">1,282</w:t>
            </w:r>
          </w:p>
        </w:tc>
        <w:tc>
          <w:tcPr>
            <w:tcW w:type="dxa" w:w="1200"/>
            <w:vAlign w:val="center"/>
          </w:tcPr>
          <w:p>
            <w:r>
              <w:rPr>
                <w:rFonts w:ascii="Calibri" w:cs="Calibri" w:eastAsia="Calibri" w:hAnsi="Calibri"/>
                <w:b w:val="false"/>
                <w:bCs w:val="false"/>
                <w:color w:val="000000"/>
                <w:sz w:val="20"/>
                <w:szCs w:val="20"/>
              </w:rPr>
              <w:t xml:space="preserve">152</w:t>
            </w:r>
          </w:p>
        </w:tc>
        <w:tc>
          <w:tcPr>
            <w:tcW w:type="dxa" w:w="1300"/>
            <w:vAlign w:val="center"/>
          </w:tcPr>
          <w:p>
            <w:r>
              <w:rPr>
                <w:rFonts w:ascii="Calibri" w:cs="Calibri" w:eastAsia="Calibri" w:hAnsi="Calibri"/>
                <w:b w:val="false"/>
                <w:bCs w:val="false"/>
                <w:color w:val="000000"/>
                <w:sz w:val="20"/>
                <w:szCs w:val="20"/>
              </w:rPr>
              <w:t xml:space="preserve">11.9</w:t>
            </w:r>
          </w:p>
        </w:tc>
      </w:tr>
    </w:tbl>
    <w:p>
      <w:pPr>
        <w:spacing w:after="120"/>
      </w:pPr>
    </w:p>
    <w:p>
      <w:pPr>
        <w:spacing w:after="8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908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4: Gross margin by factory. The dashed line marks the dataset average margin (57.4%).</w:t>
      </w:r>
    </w:p>
    <w:p>
      <w:pPr>
        <w:spacing w:after="160"/>
        <w:jc w:val="both"/>
      </w:pPr>
      <w:r>
        <w:rPr>
          <w:rFonts w:ascii="Calibri" w:cs="Calibri" w:eastAsia="Calibri" w:hAnsi="Calibri"/>
          <w:sz w:val="22"/>
          <w:szCs w:val="22"/>
        </w:rPr>
        <w:t xml:space="preserve">The two Chocolate factories (Lot's O' Nuts and Wicked Choccy's) are the strongest, at 69.1% and 65.1% margin, and together produce all five top-profit products. The Other Factory is the clear weak point at 11.9%, and the cause is Kazookles: with a 7.7% product margin and far more sales than its sister product Hair Toffee, it pulls the whole factory down. This links the product-level Kazookles finding to a specific production site, which strengthens the case for a cost renegotiation conversation with that factory rather than only a price change. The factory coordinates supplied with the dataset relate to shipping-route analysis and were not needed for this profitability study.</w:t>
      </w:r>
    </w:p>
    <w:p>
      <w:pPr>
        <w:pStyle w:val="Heading1"/>
        <w:spacing w:after="160" w:before="320"/>
      </w:pPr>
      <w:r>
        <w:t xml:space="preserve">8. Cost Structure Diagnostics</w:t>
      </w:r>
    </w:p>
    <w:p>
      <w:pPr>
        <w:spacing w:after="160"/>
        <w:jc w:val="both"/>
      </w:pPr>
      <w:r>
        <w:rPr>
          <w:rFonts w:ascii="Calibri" w:cs="Calibri" w:eastAsia="Calibri" w:hAnsi="Calibri"/>
          <w:sz w:val="22"/>
          <w:szCs w:val="22"/>
        </w:rPr>
        <w:t xml:space="preserve">A cost-vs-margin scatter analysis (by division) was used to visually separate cost-heavy, margin-poor products from the rest of the catalog. The five Chocolate products cluster tightly in a high-cost, high-margin band (65–71% margin), confirming that their cost structure is well matched to pricing. Sugar-division products split into two distinct clusters: a high-margin group (78–80%, minimal cost) and a lower-margin group (40–47%). Kazookles is a clear outlier within the Other division, sitting far below the average-margin line despite a mid-range cost base — the strongest visual and statistical case in the dataset for repricing or cost renegotiation.</w:t>
      </w:r>
    </w:p>
    <w:p>
      <w:pPr>
        <w:spacing w:after="80" w:before="120"/>
        <w:jc w:val="center"/>
      </w:pPr>
      <w:r>
        <w:drawing>
          <wp:inline distT="0" distB="0" distL="0" distR="0">
            <wp:extent cx="5238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2766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Figure 5: Sales vs average margin by product, colored by division. Kazookles sits well below the average-margin line despite mid-tier sales.</w:t>
      </w:r>
    </w:p>
    <w:p>
      <w:pPr>
        <w:pStyle w:val="Heading1"/>
        <w:spacing w:after="160" w:before="320"/>
      </w:pPr>
      <w:r>
        <w:t xml:space="preserve">9. Key Findings Summary</w:t>
      </w:r>
    </w:p>
    <w:p>
      <w:pPr>
        <w:pStyle w:val="ListParagraph"/>
        <w:numPr>
          <w:ilvl w:val="0"/>
          <w:numId w:val="1"/>
        </w:numPr>
        <w:spacing w:after="80"/>
      </w:pPr>
      <w:r>
        <w:rPr>
          <w:rFonts w:ascii="Calibri" w:cs="Calibri" w:eastAsia="Calibri" w:hAnsi="Calibri"/>
          <w:sz w:val="22"/>
          <w:szCs w:val="22"/>
        </w:rPr>
        <w:t xml:space="preserve">The Chocolate division drives the business: 92.9% of revenue and 95.1% of profit, at a healthy 67.5% average margin.</w:t>
      </w:r>
    </w:p>
    <w:p>
      <w:pPr>
        <w:pStyle w:val="ListParagraph"/>
        <w:numPr>
          <w:ilvl w:val="0"/>
          <w:numId w:val="1"/>
        </w:numPr>
        <w:spacing w:after="80"/>
      </w:pPr>
      <w:r>
        <w:rPr>
          <w:rFonts w:ascii="Calibri" w:cs="Calibri" w:eastAsia="Calibri" w:hAnsi="Calibri"/>
          <w:sz w:val="22"/>
          <w:szCs w:val="22"/>
        </w:rPr>
        <w:t xml:space="preserve">Profit is highly concentrated: 5 of 15 products (33%) generate 95.1% of total profit — a significant single-category dependency risk.</w:t>
      </w:r>
    </w:p>
    <w:p>
      <w:pPr>
        <w:pStyle w:val="ListParagraph"/>
        <w:numPr>
          <w:ilvl w:val="0"/>
          <w:numId w:val="1"/>
        </w:numPr>
        <w:spacing w:after="80"/>
      </w:pPr>
      <w:r>
        <w:rPr>
          <w:rFonts w:ascii="Calibri" w:cs="Calibri" w:eastAsia="Calibri" w:hAnsi="Calibri"/>
          <w:sz w:val="22"/>
          <w:szCs w:val="22"/>
        </w:rPr>
        <w:t xml:space="preserve">The Other division shows a structural margin problem: its revenue share (6.8%) exceeds its profit share (4.6%), and its average margin (37.7%) is the lowest of the three divisions.</w:t>
      </w:r>
    </w:p>
    <w:p>
      <w:pPr>
        <w:pStyle w:val="ListParagraph"/>
        <w:numPr>
          <w:ilvl w:val="0"/>
          <w:numId w:val="1"/>
        </w:numPr>
        <w:spacing w:after="80"/>
      </w:pPr>
      <w:r>
        <w:rPr>
          <w:rFonts w:ascii="Calibri" w:cs="Calibri" w:eastAsia="Calibri" w:hAnsi="Calibri"/>
          <w:sz w:val="22"/>
          <w:szCs w:val="22"/>
        </w:rPr>
        <w:t xml:space="preserve">Kazookles is the clearest individual risk product: mid-tier sales ($1,205.75) but only 7.7% margin — sales volume without corresponding profitability.</w:t>
      </w:r>
    </w:p>
    <w:p>
      <w:pPr>
        <w:pStyle w:val="ListParagraph"/>
        <w:numPr>
          <w:ilvl w:val="0"/>
          <w:numId w:val="1"/>
        </w:numPr>
        <w:spacing w:after="80"/>
      </w:pPr>
      <w:r>
        <w:rPr>
          <w:rFonts w:ascii="Calibri" w:cs="Calibri" w:eastAsia="Calibri" w:hAnsi="Calibri"/>
          <w:sz w:val="22"/>
          <w:szCs w:val="22"/>
        </w:rPr>
        <w:t xml:space="preserve">Everlasting Gobstopper and Hair Toffee are high-margin (78–80%) but low-volume — under-leveraged growth opportunities rather than risks.</w:t>
      </w:r>
    </w:p>
    <w:p>
      <w:pPr>
        <w:pStyle w:val="ListParagraph"/>
        <w:numPr>
          <w:ilvl w:val="0"/>
          <w:numId w:val="1"/>
        </w:numPr>
        <w:spacing w:after="80"/>
      </w:pPr>
      <w:r>
        <w:rPr>
          <w:rFonts w:ascii="Calibri" w:cs="Calibri" w:eastAsia="Calibri" w:hAnsi="Calibri"/>
          <w:sz w:val="22"/>
          <w:szCs w:val="22"/>
        </w:rPr>
        <w:t xml:space="preserve">Factory-level results locate the problem: The Other Factory earns only an 11.9% margin versus 65–69% at the two Chocolate factories, driven by Kazookles.</w:t>
      </w:r>
    </w:p>
    <w:p>
      <w:pPr>
        <w:pStyle w:val="ListParagraph"/>
        <w:numPr>
          <w:ilvl w:val="0"/>
          <w:numId w:val="1"/>
        </w:numPr>
        <w:spacing w:after="80"/>
      </w:pPr>
      <w:r>
        <w:rPr>
          <w:rFonts w:ascii="Calibri" w:cs="Calibri" w:eastAsia="Calibri" w:hAnsi="Calibri"/>
          <w:sz w:val="22"/>
          <w:szCs w:val="22"/>
        </w:rPr>
        <w:t xml:space="preserve">The Sugar division is financially negligible (0.3% of revenue and profit) and does not meaningfully affect overall results.</w:t>
      </w:r>
    </w:p>
    <w:p>
      <w:pPr>
        <w:pStyle w:val="Heading1"/>
        <w:spacing w:after="160" w:before="320"/>
      </w:pPr>
      <w:r>
        <w:t xml:space="preserve">10. Recommendations</w:t>
      </w:r>
    </w:p>
    <w:p>
      <w:pPr>
        <w:pStyle w:val="ListParagraph"/>
        <w:numPr>
          <w:ilvl w:val="0"/>
          <w:numId w:val="1"/>
        </w:numPr>
        <w:spacing w:after="80"/>
      </w:pPr>
      <w:r>
        <w:rPr>
          <w:rFonts w:ascii="Calibri" w:cs="Calibri" w:eastAsia="Calibri" w:hAnsi="Calibri"/>
          <w:sz w:val="22"/>
          <w:szCs w:val="22"/>
        </w:rPr>
        <w:t xml:space="preserve">Protect and reinforce the five top Chocolate products through supply-chain prioritization, given their disproportionate share of total profit.</w:t>
      </w:r>
    </w:p>
    <w:p>
      <w:pPr>
        <w:pStyle w:val="ListParagraph"/>
        <w:numPr>
          <w:ilvl w:val="0"/>
          <w:numId w:val="1"/>
        </w:numPr>
        <w:spacing w:after="80"/>
      </w:pPr>
      <w:r>
        <w:rPr>
          <w:rFonts w:ascii="Calibri" w:cs="Calibri" w:eastAsia="Calibri" w:hAnsi="Calibri"/>
          <w:sz w:val="22"/>
          <w:szCs w:val="22"/>
        </w:rPr>
        <w:t xml:space="preserve">Initiate a cost or pricing review specifically for Kazookles — its margin is an outlier low even within its own division, and a modest price or cost correction would materially improve its contribution.</w:t>
      </w:r>
    </w:p>
    <w:p>
      <w:pPr>
        <w:pStyle w:val="ListParagraph"/>
        <w:numPr>
          <w:ilvl w:val="0"/>
          <w:numId w:val="1"/>
        </w:numPr>
        <w:spacing w:after="80"/>
      </w:pPr>
      <w:r>
        <w:rPr>
          <w:rFonts w:ascii="Calibri" w:cs="Calibri" w:eastAsia="Calibri" w:hAnsi="Calibri"/>
          <w:sz w:val="22"/>
          <w:szCs w:val="22"/>
        </w:rPr>
        <w:t xml:space="preserve">Open a cost renegotiation discussion with The Other Factory, since its 11.9% margin is driven by Kazookles and points to a sourcing issue rather than a demand issue.</w:t>
      </w:r>
    </w:p>
    <w:p>
      <w:pPr>
        <w:pStyle w:val="ListParagraph"/>
        <w:numPr>
          <w:ilvl w:val="0"/>
          <w:numId w:val="1"/>
        </w:numPr>
        <w:spacing w:after="80"/>
      </w:pPr>
      <w:r>
        <w:rPr>
          <w:rFonts w:ascii="Calibri" w:cs="Calibri" w:eastAsia="Calibri" w:hAnsi="Calibri"/>
          <w:sz w:val="22"/>
          <w:szCs w:val="22"/>
        </w:rPr>
        <w:t xml:space="preserve">Investigate the Other division's cost structure as a whole, rather than product-by-product, since its margin gap is structural rather than isolated to a single item.</w:t>
      </w:r>
    </w:p>
    <w:p>
      <w:pPr>
        <w:pStyle w:val="ListParagraph"/>
        <w:numPr>
          <w:ilvl w:val="0"/>
          <w:numId w:val="1"/>
        </w:numPr>
        <w:spacing w:after="80"/>
      </w:pPr>
      <w:r>
        <w:rPr>
          <w:rFonts w:ascii="Calibri" w:cs="Calibri" w:eastAsia="Calibri" w:hAnsi="Calibri"/>
          <w:sz w:val="22"/>
          <w:szCs w:val="22"/>
        </w:rPr>
        <w:t xml:space="preserve">Trial increased marketing or distribution investment in Everlasting Gobstopper and Hair Toffee, where margin already supports profitable growth if volume increases.</w:t>
      </w:r>
    </w:p>
    <w:p>
      <w:pPr>
        <w:pStyle w:val="ListParagraph"/>
        <w:numPr>
          <w:ilvl w:val="0"/>
          <w:numId w:val="1"/>
        </w:numPr>
        <w:spacing w:after="80"/>
      </w:pPr>
      <w:r>
        <w:rPr>
          <w:rFonts w:ascii="Calibri" w:cs="Calibri" w:eastAsia="Calibri" w:hAnsi="Calibri"/>
          <w:sz w:val="22"/>
          <w:szCs w:val="22"/>
        </w:rPr>
        <w:t xml:space="preserve">Re-evaluate the Sugar division's continued strategic priority given its negligible scale, unless it serves a non-financial purpose (e.g. shelf-space or customer-acquisition role) not captured in this dataset.</w:t>
      </w:r>
    </w:p>
    <w:p>
      <w:pPr>
        <w:pStyle w:val="ListParagraph"/>
        <w:numPr>
          <w:ilvl w:val="0"/>
          <w:numId w:val="1"/>
        </w:numPr>
        <w:spacing w:after="80"/>
      </w:pPr>
      <w:r>
        <w:rPr>
          <w:rFonts w:ascii="Calibri" w:cs="Calibri" w:eastAsia="Calibri" w:hAnsi="Calibri"/>
          <w:sz w:val="22"/>
          <w:szCs w:val="22"/>
        </w:rPr>
        <w:t xml:space="preserve">Monitor product-level concentration on an ongoing basis using the accompanying dashboard, since a 33%-of-catalog / 95%-of-profit ratio warrants continuous tracking rather than a one-time assessment.</w:t>
      </w:r>
    </w:p>
    <w:p>
      <w:pPr>
        <w:pStyle w:val="Heading1"/>
        <w:spacing w:after="160" w:before="320"/>
      </w:pPr>
      <w:r>
        <w:t xml:space="preserve">11. Conclusion</w:t>
      </w:r>
    </w:p>
    <w:p>
      <w:pPr>
        <w:spacing w:after="160"/>
        <w:jc w:val="both"/>
      </w:pPr>
      <w:r>
        <w:rPr>
          <w:rFonts w:ascii="Calibri" w:cs="Calibri" w:eastAsia="Calibri" w:hAnsi="Calibri"/>
          <w:sz w:val="22"/>
          <w:szCs w:val="22"/>
        </w:rPr>
        <w:t xml:space="preserve">This analysis confirms that sales volume is not a reliable proxy for profitability at Nassau Candy Distributor. A small set of Chocolate products carries the business, one division (Other) shows a structural margin problem independent of any single product, and one product (Kazookles) stands out as a clear repricing candidate. Transforming raw order data into these product- and division-level metrics — and operationalizing them in the accompanying interactive dashboard — gives the organization a repeatable, data-driven basis for pricing, sourcing, and product-portfolio decisions, replacing the previously reactive, intuition-based approach.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7B3F00"/>
      <w:sz w:val="30"/>
      <w:szCs w:val="30"/>
    </w:rPr>
  </w:style>
  <w:style w:type="paragraph" w:styleId="Heading2">
    <w:name w:val="Heading 2"/>
    <w:basedOn w:val="Normal"/>
    <w:next w:val="Normal"/>
    <w:qFormat/>
    <w:rPr>
      <w:rFonts w:ascii="Calibri" w:cs="Calibri" w:eastAsia="Calibri" w:hAnsi="Calibri"/>
      <w:b/>
      <w:bCs/>
      <w:color w:val="333333"/>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6188aa963eef4e414151d22a99971e8a9bd499.png"/><Relationship Id="rId8" Type="http://schemas.openxmlformats.org/officeDocument/2006/relationships/image" Target="media/fa6228e1b13062ae80c26c92daf26054acdcd2bf.png"/><Relationship Id="rId9" Type="http://schemas.openxmlformats.org/officeDocument/2006/relationships/image" Target="media/1dac6774b51de03c59526dc0a25576eb230d86e1.png"/><Relationship Id="rId10" Type="http://schemas.openxmlformats.org/officeDocument/2006/relationships/image" Target="media/36a6a5c3ea113204aaa1a58d9bb4646a6e10e48a.png"/><Relationship Id="rId11" Type="http://schemas.openxmlformats.org/officeDocument/2006/relationships/image" Target="media/6a79fdaf8716fa826829011646f9067a1fbd7f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2026-10-01T04:28:36.815Z</dcterms:created>
  <dcterms:modified xsi:type="dcterms:W3CDTF">2026-10-01T04:28:36.819Z</dcterms:modified>
</cp:coreProperties>
</file>

<file path=docProps/custom.xml><?xml version="1.0" encoding="utf-8"?>
<Properties xmlns="http://schemas.openxmlformats.org/officeDocument/2006/custom-properties" xmlns:vt="http://schemas.openxmlformats.org/officeDocument/2006/docPropsVTypes"/>
</file>