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F4C81"/>
          <w:sz w:val="42"/>
          <w:szCs w:val="42"/>
        </w:rPr>
        <w:t xml:space="preserve">2026 Goals Grid</w:t>
      </w:r>
    </w:p>
    <w:p>
      <w:pPr>
        <w:spacing w:after="30"/>
        <w:jc w:val="left"/>
      </w:pPr>
      <w:r>
        <w:rPr>
          <w:rFonts w:ascii="Calibri" w:cs="Calibri" w:eastAsia="Calibri" w:hAnsi="Calibri"/>
          <w:color w:val="1A1A1A"/>
          <w:sz w:val="26"/>
          <w:szCs w:val="26"/>
        </w:rPr>
        <w:t xml:space="preserve">WI &amp; HCG UXD Dev Transformation</w:t>
      </w:r>
    </w:p>
    <w:p>
      <w:pPr>
        <w:spacing w:after="180"/>
        <w:jc w:val="left"/>
      </w:pPr>
      <w:r>
        <w:rPr>
          <w:rFonts w:ascii="Calibri" w:cs="Calibri" w:eastAsia="Calibri" w:hAnsi="Calibri"/>
          <w:color w:val="3D3D3D"/>
          <w:sz w:val="20"/>
          <w:szCs w:val="20"/>
        </w:rPr>
        <w:t xml:space="preserve">Kalyan Katika  |  Director, UX Development</w:t>
      </w:r>
    </w:p>
    <w:p>
      <w:pPr>
        <w:spacing w:after="200"/>
      </w:pPr>
      <w:r>
        <w:rPr>
          <w:rFonts w:ascii="Calibri" w:cs="Calibri" w:eastAsia="Calibri" w:hAnsi="Calibri"/>
          <w:b/>
          <w:bCs/>
          <w:color w:val="0F4C81"/>
          <w:sz w:val="18"/>
          <w:szCs w:val="18"/>
        </w:rPr>
        <w:t xml:space="preserve">Strategic Context: </w:t>
      </w:r>
      <w:r>
        <w:rPr>
          <w:rFonts w:ascii="Calibri" w:cs="Calibri" w:eastAsia="Calibri" w:hAnsi="Calibri"/>
          <w:color w:val="3D3D3D"/>
          <w:sz w:val="18"/>
          <w:szCs w:val="18"/>
        </w:rPr>
        <w:t xml:space="preserve">These priorities advance UXD's mission to drive measurable business value through FDS adoption, digital scale, and AI-led transformation—while developing talent and fostering a culture of innovation.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900"/>
        <w:gridCol w:w="3200"/>
        <w:gridCol w:w="1000"/>
        <w:gridCol w:w="2100"/>
      </w:tblGrid>
      <w:tr>
        <w:trPr>
          <w:tblHeader/>
        </w:trPr>
        <w:tc>
          <w:tcPr>
            <w:tcW w:type="dxa" w:w="5400"/>
            <w:tcBorders>
              <w:top w:val="single" w:color="B8C4CE" w:sz="6"/>
              <w:left w:val="single" w:color="B8C4CE" w:sz="6"/>
              <w:bottom w:val="single" w:color="B8C4CE" w:sz="6"/>
              <w:right w:val="single" w:color="B8C4CE" w:sz="6"/>
            </w:tcBorders>
            <w:shd w:fill="0F4C81" w:val="clear"/>
            <w:tcMar>
              <w:top w:type="dxa" w:w="110"/>
              <w:left w:type="dxa" w:w="100"/>
              <w:bottom w:type="dxa" w:w="110"/>
              <w:right w:type="dxa" w:w="100"/>
            </w:tcMar>
            <w:vAlign w:val="center"/>
          </w:tcPr>
          <w:p>
            <w:pPr>
              <w:jc w:val="center"/>
            </w:pPr>
            <w:r>
              <w:rPr>
                <w:rFonts w:ascii="Calibri" w:cs="Calibri" w:eastAsia="Calibri" w:hAnsi="Calibri"/>
                <w:b/>
                <w:bCs/>
                <w:color w:val="FFFFFF"/>
                <w:sz w:val="18"/>
                <w:szCs w:val="18"/>
              </w:rPr>
              <w:t xml:space="preserve">2026 Priority</w:t>
            </w:r>
          </w:p>
        </w:tc>
        <w:tc>
          <w:tcPr>
            <w:tcW w:type="dxa" w:w="1200"/>
            <w:tcBorders>
              <w:top w:val="single" w:color="B8C4CE" w:sz="6"/>
              <w:left w:val="single" w:color="B8C4CE" w:sz="6"/>
              <w:bottom w:val="single" w:color="B8C4CE" w:sz="6"/>
              <w:right w:val="single" w:color="B8C4CE" w:sz="6"/>
            </w:tcBorders>
            <w:shd w:fill="0F4C81" w:val="clear"/>
            <w:tcMar>
              <w:top w:type="dxa" w:w="110"/>
              <w:left w:type="dxa" w:w="100"/>
              <w:bottom w:type="dxa" w:w="110"/>
              <w:right w:type="dxa" w:w="100"/>
            </w:tcMar>
            <w:vAlign w:val="center"/>
          </w:tcPr>
          <w:p>
            <w:pPr>
              <w:jc w:val="center"/>
            </w:pPr>
            <w:r>
              <w:rPr>
                <w:rFonts w:ascii="Calibri" w:cs="Calibri" w:eastAsia="Calibri" w:hAnsi="Calibri"/>
                <w:b/>
                <w:bCs/>
                <w:color w:val="FFFFFF"/>
                <w:sz w:val="18"/>
                <w:szCs w:val="18"/>
              </w:rPr>
              <w:t xml:space="preserve">BU</w:t>
            </w:r>
          </w:p>
        </w:tc>
        <w:tc>
          <w:tcPr>
            <w:tcW w:type="dxa" w:w="900"/>
            <w:tcBorders>
              <w:top w:val="single" w:color="B8C4CE" w:sz="6"/>
              <w:left w:val="single" w:color="B8C4CE" w:sz="6"/>
              <w:bottom w:val="single" w:color="B8C4CE" w:sz="6"/>
              <w:right w:val="single" w:color="B8C4CE" w:sz="6"/>
            </w:tcBorders>
            <w:shd w:fill="0F4C81" w:val="clear"/>
            <w:tcMar>
              <w:top w:type="dxa" w:w="110"/>
              <w:left w:type="dxa" w:w="100"/>
              <w:bottom w:type="dxa" w:w="110"/>
              <w:right w:type="dxa" w:w="100"/>
            </w:tcMar>
            <w:vAlign w:val="center"/>
          </w:tcPr>
          <w:p>
            <w:pPr>
              <w:jc w:val="center"/>
            </w:pPr>
            <w:r>
              <w:rPr>
                <w:rFonts w:ascii="Calibri" w:cs="Calibri" w:eastAsia="Calibri" w:hAnsi="Calibri"/>
                <w:b/>
                <w:bCs/>
                <w:color w:val="FFFFFF"/>
                <w:sz w:val="18"/>
                <w:szCs w:val="18"/>
              </w:rPr>
              <w:t xml:space="preserve">Status</w:t>
            </w:r>
          </w:p>
        </w:tc>
        <w:tc>
          <w:tcPr>
            <w:tcW w:type="dxa" w:w="3200"/>
            <w:tcBorders>
              <w:top w:val="single" w:color="B8C4CE" w:sz="6"/>
              <w:left w:val="single" w:color="B8C4CE" w:sz="6"/>
              <w:bottom w:val="single" w:color="B8C4CE" w:sz="6"/>
              <w:right w:val="single" w:color="B8C4CE" w:sz="6"/>
            </w:tcBorders>
            <w:shd w:fill="0F4C81" w:val="clear"/>
            <w:tcMar>
              <w:top w:type="dxa" w:w="110"/>
              <w:left w:type="dxa" w:w="100"/>
              <w:bottom w:type="dxa" w:w="110"/>
              <w:right w:type="dxa" w:w="100"/>
            </w:tcMar>
            <w:vAlign w:val="center"/>
          </w:tcPr>
          <w:p>
            <w:pPr>
              <w:jc w:val="center"/>
            </w:pPr>
            <w:r>
              <w:rPr>
                <w:rFonts w:ascii="Calibri" w:cs="Calibri" w:eastAsia="Calibri" w:hAnsi="Calibri"/>
                <w:b/>
                <w:bCs/>
                <w:color w:val="FFFFFF"/>
                <w:sz w:val="18"/>
                <w:szCs w:val="18"/>
              </w:rPr>
              <w:t xml:space="preserve">Key Results</w:t>
            </w:r>
          </w:p>
        </w:tc>
        <w:tc>
          <w:tcPr>
            <w:tcW w:type="dxa" w:w="1000"/>
            <w:tcBorders>
              <w:top w:val="single" w:color="B8C4CE" w:sz="6"/>
              <w:left w:val="single" w:color="B8C4CE" w:sz="6"/>
              <w:bottom w:val="single" w:color="B8C4CE" w:sz="6"/>
              <w:right w:val="single" w:color="B8C4CE" w:sz="6"/>
            </w:tcBorders>
            <w:shd w:fill="0F4C81" w:val="clear"/>
            <w:tcMar>
              <w:top w:type="dxa" w:w="110"/>
              <w:left w:type="dxa" w:w="100"/>
              <w:bottom w:type="dxa" w:w="110"/>
              <w:right w:type="dxa" w:w="100"/>
            </w:tcMar>
            <w:vAlign w:val="center"/>
          </w:tcPr>
          <w:p>
            <w:pPr>
              <w:jc w:val="center"/>
            </w:pPr>
            <w:r>
              <w:rPr>
                <w:rFonts w:ascii="Calibri" w:cs="Calibri" w:eastAsia="Calibri" w:hAnsi="Calibri"/>
                <w:b/>
                <w:bCs/>
                <w:color w:val="FFFFFF"/>
                <w:sz w:val="18"/>
                <w:szCs w:val="18"/>
              </w:rPr>
              <w:t xml:space="preserve">Target</w:t>
            </w:r>
          </w:p>
        </w:tc>
        <w:tc>
          <w:tcPr>
            <w:tcW w:type="dxa" w:w="2100"/>
            <w:tcBorders>
              <w:top w:val="single" w:color="B8C4CE" w:sz="6"/>
              <w:left w:val="single" w:color="B8C4CE" w:sz="6"/>
              <w:bottom w:val="single" w:color="B8C4CE" w:sz="6"/>
              <w:right w:val="single" w:color="B8C4CE" w:sz="6"/>
            </w:tcBorders>
            <w:shd w:fill="0F4C81" w:val="clear"/>
            <w:tcMar>
              <w:top w:type="dxa" w:w="110"/>
              <w:left w:type="dxa" w:w="100"/>
              <w:bottom w:type="dxa" w:w="110"/>
              <w:right w:type="dxa" w:w="100"/>
            </w:tcMar>
            <w:vAlign w:val="center"/>
          </w:tcPr>
          <w:p>
            <w:pPr>
              <w:jc w:val="center"/>
            </w:pPr>
            <w:r>
              <w:rPr>
                <w:rFonts w:ascii="Calibri" w:cs="Calibri" w:eastAsia="Calibri" w:hAnsi="Calibri"/>
                <w:b/>
                <w:bCs/>
                <w:color w:val="FFFFFF"/>
                <w:sz w:val="18"/>
                <w:szCs w:val="18"/>
              </w:rPr>
              <w:t xml:space="preserve">Accountability</w:t>
            </w:r>
          </w:p>
        </w:tc>
      </w:tr>
      <w:tr>
        <w:tc>
          <w:tcPr>
            <w:tcW w:type="dxa" w:w="5400"/>
            <w:tcBorders>
              <w:top w:val="single" w:color="B8C4CE" w:sz="6"/>
              <w:left w:val="single" w:color="B8C4CE" w:sz="6"/>
              <w:bottom w:val="single" w:color="B8C4CE" w:sz="6"/>
              <w:right w:val="single" w:color="B8C4CE" w:sz="6"/>
            </w:tcBorders>
            <w:shd w:fill="EDF4F9" w:val="clear"/>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Sales Enablement Platform Modernization</w:t>
            </w:r>
          </w:p>
          <w:p>
            <w:pPr>
              <w:spacing w:before="0" w:after="0" w:line="276"/>
            </w:pPr>
            <w:r>
              <w:rPr>
                <w:rFonts w:ascii="Calibri" w:cs="Calibri" w:eastAsia="Calibri" w:hAnsi="Calibri"/>
                <w:color w:val="3D3D3D"/>
                <w:sz w:val="17"/>
                <w:szCs w:val="17"/>
              </w:rPr>
              <w:t xml:space="preserve">Transform our sales demo capabilities from a resource-intensive, production-mirroring approach to an AI-powered, experience-focused platform. This initiative will dramatically reduce demo creation time while enabling field teams with scalable, self-service tools that drive measurable improvements in win rates and deal velocity.</w:t>
            </w:r>
          </w:p>
        </w:tc>
        <w:tc>
          <w:tcPr>
            <w:tcW w:type="dxa" w:w="12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shd w:fill="EDF4F9" w:val="clear"/>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Demo creation time</w:t>
            </w:r>
          </w:p>
          <w:p>
            <w:pPr>
              <w:spacing w:before="20" w:after="20"/>
            </w:pPr>
            <w:r>
              <w:rPr>
                <w:rFonts w:ascii="Calibri" w:cs="Calibri" w:eastAsia="Calibri" w:hAnsi="Calibri"/>
                <w:color w:val="3D3D3D"/>
                <w:sz w:val="16"/>
                <w:szCs w:val="16"/>
              </w:rPr>
              <w:t xml:space="preserve">• Sales velocity</w:t>
            </w:r>
          </w:p>
          <w:p>
            <w:pPr>
              <w:spacing w:before="20" w:after="20"/>
            </w:pPr>
            <w:r>
              <w:rPr>
                <w:rFonts w:ascii="Calibri" w:cs="Calibri" w:eastAsia="Calibri" w:hAnsi="Calibri"/>
                <w:color w:val="3D3D3D"/>
                <w:sz w:val="16"/>
                <w:szCs w:val="16"/>
              </w:rPr>
              <w:t xml:space="preserve">• Win rate impact</w:t>
            </w:r>
          </w:p>
          <w:p>
            <w:pPr>
              <w:spacing w:before="20" w:after="20"/>
            </w:pPr>
            <w:r>
              <w:rPr>
                <w:rFonts w:ascii="Calibri" w:cs="Calibri" w:eastAsia="Calibri" w:hAnsi="Calibri"/>
                <w:color w:val="3D3D3D"/>
                <w:sz w:val="16"/>
                <w:szCs w:val="16"/>
              </w:rPr>
              <w:t xml:space="preserve">• Platform adoption</w:t>
            </w:r>
          </w:p>
        </w:tc>
        <w:tc>
          <w:tcPr>
            <w:tcW w:type="dxa" w:w="10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Q3 2026</w:t>
            </w:r>
          </w:p>
        </w:tc>
        <w:tc>
          <w:tcPr>
            <w:tcW w:type="dxa" w:w="21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r>
        <w:tc>
          <w:tcPr>
            <w:tcW w:type="dxa" w:w="5400"/>
            <w:tcBorders>
              <w:top w:val="single" w:color="B8C4CE" w:sz="6"/>
              <w:left w:val="single" w:color="B8C4CE" w:sz="6"/>
              <w:bottom w:val="single" w:color="B8C4CE" w:sz="6"/>
              <w:right w:val="single" w:color="B8C4CE" w:sz="6"/>
            </w:tcBorders>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Enterprise FDS Adoption &amp; Integration</w:t>
            </w:r>
          </w:p>
          <w:p>
            <w:pPr>
              <w:spacing w:before="0" w:after="0" w:line="276"/>
            </w:pPr>
            <w:r>
              <w:rPr>
                <w:rFonts w:ascii="Calibri" w:cs="Calibri" w:eastAsia="Calibri" w:hAnsi="Calibri"/>
                <w:color w:val="3D3D3D"/>
                <w:sz w:val="17"/>
                <w:szCs w:val="17"/>
              </w:rPr>
              <w:t xml:space="preserve">Establish Fidelity Design System as the foundational layer across all WI digital channels—NB.com, Mobile, PSW, SPS, and Healthcare. Through unified architecture and streamlined design-to-dev handoffs, we will deliver consistent multi-product experiences that elevate customer satisfaction and reduce operational overhead.</w:t>
            </w:r>
          </w:p>
        </w:tc>
        <w:tc>
          <w:tcPr>
            <w:tcW w:type="dxa" w:w="12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FDS adoption 85%+</w:t>
            </w:r>
          </w:p>
          <w:p>
            <w:pPr>
              <w:spacing w:before="20" w:after="20"/>
            </w:pPr>
            <w:r>
              <w:rPr>
                <w:rFonts w:ascii="Calibri" w:cs="Calibri" w:eastAsia="Calibri" w:hAnsi="Calibri"/>
                <w:color w:val="3D3D3D"/>
                <w:sz w:val="16"/>
                <w:szCs w:val="16"/>
              </w:rPr>
              <w:t xml:space="preserve">• CEI score 86%+</w:t>
            </w:r>
          </w:p>
          <w:p>
            <w:pPr>
              <w:spacing w:before="20" w:after="20"/>
            </w:pPr>
            <w:r>
              <w:rPr>
                <w:rFonts w:ascii="Calibri" w:cs="Calibri" w:eastAsia="Calibri" w:hAnsi="Calibri"/>
                <w:color w:val="3D3D3D"/>
                <w:sz w:val="16"/>
                <w:szCs w:val="16"/>
              </w:rPr>
              <w:t xml:space="preserve">• Design cycle time</w:t>
            </w:r>
          </w:p>
          <w:p>
            <w:pPr>
              <w:spacing w:before="20" w:after="20"/>
            </w:pPr>
            <w:r>
              <w:rPr>
                <w:rFonts w:ascii="Calibri" w:cs="Calibri" w:eastAsia="Calibri" w:hAnsi="Calibri"/>
                <w:color w:val="3D3D3D"/>
                <w:sz w:val="16"/>
                <w:szCs w:val="16"/>
              </w:rPr>
              <w:t xml:space="preserve">• Channel consistency</w:t>
            </w:r>
          </w:p>
        </w:tc>
        <w:tc>
          <w:tcPr>
            <w:tcW w:type="dxa" w:w="10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Multi-year</w:t>
            </w:r>
          </w:p>
        </w:tc>
        <w:tc>
          <w:tcPr>
            <w:tcW w:type="dxa" w:w="21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r>
        <w:tc>
          <w:tcPr>
            <w:tcW w:type="dxa" w:w="5400"/>
            <w:tcBorders>
              <w:top w:val="single" w:color="B8C4CE" w:sz="6"/>
              <w:left w:val="single" w:color="B8C4CE" w:sz="6"/>
              <w:bottom w:val="single" w:color="B8C4CE" w:sz="6"/>
              <w:right w:val="single" w:color="B8C4CE" w:sz="6"/>
            </w:tcBorders>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AI-Powered Design System Automation</w:t>
            </w:r>
          </w:p>
          <w:p>
            <w:pPr>
              <w:spacing w:before="0" w:after="0" w:line="276"/>
            </w:pPr>
            <w:r>
              <w:rPr>
                <w:rFonts w:ascii="Calibri" w:cs="Calibri" w:eastAsia="Calibri" w:hAnsi="Calibri"/>
                <w:color w:val="3D3D3D"/>
                <w:sz w:val="17"/>
                <w:szCs w:val="17"/>
              </w:rPr>
              <w:t xml:space="preserve">Deploy intelligent automation to scale FDS adoption enterprise-wide. This includes AI-driven pattern generation, automated legacy-to-FDS migration tooling, and real-time compliance monitoring—fundamentally shifting from manual oversight to systematic, scalable governance.</w:t>
            </w:r>
          </w:p>
        </w:tc>
        <w:tc>
          <w:tcPr>
            <w:tcW w:type="dxa" w:w="12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Automation coverage</w:t>
            </w:r>
          </w:p>
          <w:p>
            <w:pPr>
              <w:spacing w:before="20" w:after="20"/>
            </w:pPr>
            <w:r>
              <w:rPr>
                <w:rFonts w:ascii="Calibri" w:cs="Calibri" w:eastAsia="Calibri" w:hAnsi="Calibri"/>
                <w:color w:val="3D3D3D"/>
                <w:sz w:val="16"/>
                <w:szCs w:val="16"/>
              </w:rPr>
              <w:t xml:space="preserve">• Migration velocity</w:t>
            </w:r>
          </w:p>
          <w:p>
            <w:pPr>
              <w:spacing w:before="20" w:after="20"/>
            </w:pPr>
            <w:r>
              <w:rPr>
                <w:rFonts w:ascii="Calibri" w:cs="Calibri" w:eastAsia="Calibri" w:hAnsi="Calibri"/>
                <w:color w:val="3D3D3D"/>
                <w:sz w:val="16"/>
                <w:szCs w:val="16"/>
              </w:rPr>
              <w:t xml:space="preserve">• Compliance rate</w:t>
            </w:r>
          </w:p>
          <w:p>
            <w:pPr>
              <w:spacing w:before="20" w:after="20"/>
            </w:pPr>
            <w:r>
              <w:rPr>
                <w:rFonts w:ascii="Calibri" w:cs="Calibri" w:eastAsia="Calibri" w:hAnsi="Calibri"/>
                <w:color w:val="3D3D3D"/>
                <w:sz w:val="16"/>
                <w:szCs w:val="16"/>
              </w:rPr>
              <w:t xml:space="preserve">• Dev productivity</w:t>
            </w:r>
          </w:p>
        </w:tc>
        <w:tc>
          <w:tcPr>
            <w:tcW w:type="dxa" w:w="10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Multi-year</w:t>
            </w:r>
          </w:p>
        </w:tc>
        <w:tc>
          <w:tcPr>
            <w:tcW w:type="dxa" w:w="21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r>
        <w:tc>
          <w:tcPr>
            <w:tcW w:type="dxa" w:w="5400"/>
            <w:tcBorders>
              <w:top w:val="single" w:color="B8C4CE" w:sz="6"/>
              <w:left w:val="single" w:color="B8C4CE" w:sz="6"/>
              <w:bottom w:val="single" w:color="B8C4CE" w:sz="6"/>
              <w:right w:val="single" w:color="B8C4CE" w:sz="6"/>
            </w:tcBorders>
            <w:shd w:fill="EDF4F9" w:val="clear"/>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Generative AI &amp; Agentic Architecture</w:t>
            </w:r>
          </w:p>
          <w:p>
            <w:pPr>
              <w:spacing w:before="0" w:after="0" w:line="276"/>
            </w:pPr>
            <w:r>
              <w:rPr>
                <w:rFonts w:ascii="Calibri" w:cs="Calibri" w:eastAsia="Calibri" w:hAnsi="Calibri"/>
                <w:color w:val="3D3D3D"/>
                <w:sz w:val="17"/>
                <w:szCs w:val="17"/>
              </w:rPr>
              <w:t xml:space="preserve">Define and implement enterprise AI architecture standards that position UXD at the forefront of the organization's AI transformation. Through agentic workflow pilots and an AI Center of Excellence, we will establish the frameworks, governance, and capabilities to achieve 10x productivity multipliers across design and development.</w:t>
            </w:r>
          </w:p>
        </w:tc>
        <w:tc>
          <w:tcPr>
            <w:tcW w:type="dxa" w:w="12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shd w:fill="EDF4F9" w:val="clear"/>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AI maturity index</w:t>
            </w:r>
          </w:p>
          <w:p>
            <w:pPr>
              <w:spacing w:before="20" w:after="20"/>
            </w:pPr>
            <w:r>
              <w:rPr>
                <w:rFonts w:ascii="Calibri" w:cs="Calibri" w:eastAsia="Calibri" w:hAnsi="Calibri"/>
                <w:color w:val="3D3D3D"/>
                <w:sz w:val="16"/>
                <w:szCs w:val="16"/>
              </w:rPr>
              <w:t xml:space="preserve">• Productivity gains</w:t>
            </w:r>
          </w:p>
          <w:p>
            <w:pPr>
              <w:spacing w:before="20" w:after="20"/>
            </w:pPr>
            <w:r>
              <w:rPr>
                <w:rFonts w:ascii="Calibri" w:cs="Calibri" w:eastAsia="Calibri" w:hAnsi="Calibri"/>
                <w:color w:val="3D3D3D"/>
                <w:sz w:val="16"/>
                <w:szCs w:val="16"/>
              </w:rPr>
              <w:t xml:space="preserve">• Innovation pipeline</w:t>
            </w:r>
          </w:p>
          <w:p>
            <w:pPr>
              <w:spacing w:before="20" w:after="20"/>
            </w:pPr>
            <w:r>
              <w:rPr>
                <w:rFonts w:ascii="Calibri" w:cs="Calibri" w:eastAsia="Calibri" w:hAnsi="Calibri"/>
                <w:color w:val="3D3D3D"/>
                <w:sz w:val="16"/>
                <w:szCs w:val="16"/>
              </w:rPr>
              <w:t xml:space="preserve">• Time-to-market</w:t>
            </w:r>
          </w:p>
        </w:tc>
        <w:tc>
          <w:tcPr>
            <w:tcW w:type="dxa" w:w="10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Multi-year</w:t>
            </w:r>
          </w:p>
        </w:tc>
        <w:tc>
          <w:tcPr>
            <w:tcW w:type="dxa" w:w="2100"/>
            <w:tcBorders>
              <w:top w:val="single" w:color="B8C4CE" w:sz="6"/>
              <w:left w:val="single" w:color="B8C4CE" w:sz="6"/>
              <w:bottom w:val="single" w:color="B8C4CE" w:sz="6"/>
              <w:right w:val="single" w:color="B8C4CE" w:sz="6"/>
            </w:tcBorders>
            <w:shd w:fill="EDF4F9" w:val="clear"/>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r>
        <w:tc>
          <w:tcPr>
            <w:tcW w:type="dxa" w:w="5400"/>
            <w:tcBorders>
              <w:top w:val="single" w:color="B8C4CE" w:sz="6"/>
              <w:left w:val="single" w:color="B8C4CE" w:sz="6"/>
              <w:bottom w:val="single" w:color="B8C4CE" w:sz="6"/>
              <w:right w:val="single" w:color="B8C4CE" w:sz="6"/>
            </w:tcBorders>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Operating Model Transformation</w:t>
            </w:r>
          </w:p>
          <w:p>
            <w:pPr>
              <w:spacing w:before="0" w:after="0" w:line="276"/>
            </w:pPr>
            <w:r>
              <w:rPr>
                <w:rFonts w:ascii="Calibri" w:cs="Calibri" w:eastAsia="Calibri" w:hAnsi="Calibri"/>
                <w:color w:val="3D3D3D"/>
                <w:sz w:val="17"/>
                <w:szCs w:val="17"/>
              </w:rPr>
              <w:t xml:space="preserve">Redesign our organizational structure and processes for AI-native delivery. This encompasses scalable resource allocation, excellence standards with clear quality gates, and strategic workforce planning—ensuring our operating model evolves in lockstep with our technological capabilities.</w:t>
            </w:r>
          </w:p>
        </w:tc>
        <w:tc>
          <w:tcPr>
            <w:tcW w:type="dxa" w:w="12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Team efficiency</w:t>
            </w:r>
          </w:p>
          <w:p>
            <w:pPr>
              <w:spacing w:before="20" w:after="20"/>
            </w:pPr>
            <w:r>
              <w:rPr>
                <w:rFonts w:ascii="Calibri" w:cs="Calibri" w:eastAsia="Calibri" w:hAnsi="Calibri"/>
                <w:color w:val="3D3D3D"/>
                <w:sz w:val="16"/>
                <w:szCs w:val="16"/>
              </w:rPr>
              <w:t xml:space="preserve">• Delivery predictability</w:t>
            </w:r>
          </w:p>
          <w:p>
            <w:pPr>
              <w:spacing w:before="20" w:after="20"/>
            </w:pPr>
            <w:r>
              <w:rPr>
                <w:rFonts w:ascii="Calibri" w:cs="Calibri" w:eastAsia="Calibri" w:hAnsi="Calibri"/>
                <w:color w:val="3D3D3D"/>
                <w:sz w:val="16"/>
                <w:szCs w:val="16"/>
              </w:rPr>
              <w:t xml:space="preserve">• Quality metrics</w:t>
            </w:r>
          </w:p>
          <w:p>
            <w:pPr>
              <w:spacing w:before="20" w:after="20"/>
            </w:pPr>
            <w:r>
              <w:rPr>
                <w:rFonts w:ascii="Calibri" w:cs="Calibri" w:eastAsia="Calibri" w:hAnsi="Calibri"/>
                <w:color w:val="3D3D3D"/>
                <w:sz w:val="16"/>
                <w:szCs w:val="16"/>
              </w:rPr>
              <w:t xml:space="preserve">• Utilization</w:t>
            </w:r>
          </w:p>
        </w:tc>
        <w:tc>
          <w:tcPr>
            <w:tcW w:type="dxa" w:w="10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Multi-year</w:t>
            </w:r>
          </w:p>
        </w:tc>
        <w:tc>
          <w:tcPr>
            <w:tcW w:type="dxa" w:w="21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r>
        <w:tc>
          <w:tcPr>
            <w:tcW w:type="dxa" w:w="5400"/>
            <w:tcBorders>
              <w:top w:val="single" w:color="B8C4CE" w:sz="6"/>
              <w:left w:val="single" w:color="B8C4CE" w:sz="6"/>
              <w:bottom w:val="single" w:color="B8C4CE" w:sz="6"/>
              <w:right w:val="single" w:color="B8C4CE" w:sz="6"/>
            </w:tcBorders>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Technical Leadership &amp; Talent Development</w:t>
            </w:r>
          </w:p>
          <w:p>
            <w:pPr>
              <w:spacing w:before="0" w:after="0" w:line="276"/>
            </w:pPr>
            <w:r>
              <w:rPr>
                <w:rFonts w:ascii="Calibri" w:cs="Calibri" w:eastAsia="Calibri" w:hAnsi="Calibri"/>
                <w:color w:val="3D3D3D"/>
                <w:sz w:val="17"/>
                <w:szCs w:val="17"/>
              </w:rPr>
              <w:t xml:space="preserve">Build and mentor a high-performing architect team while cultivating AI fluency across the broader UXD organization. Through the AI Champion Network and Future of Work initiatives, we will foster an innovation culture where continuous learning and R&amp;D are embedded in how we operate.</w:t>
            </w:r>
          </w:p>
        </w:tc>
        <w:tc>
          <w:tcPr>
            <w:tcW w:type="dxa" w:w="12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Capability growth</w:t>
            </w:r>
          </w:p>
          <w:p>
            <w:pPr>
              <w:spacing w:before="20" w:after="20"/>
            </w:pPr>
            <w:r>
              <w:rPr>
                <w:rFonts w:ascii="Calibri" w:cs="Calibri" w:eastAsia="Calibri" w:hAnsi="Calibri"/>
                <w:color w:val="3D3D3D"/>
                <w:sz w:val="16"/>
                <w:szCs w:val="16"/>
              </w:rPr>
              <w:t xml:space="preserve">• Innovation index</w:t>
            </w:r>
          </w:p>
          <w:p>
            <w:pPr>
              <w:spacing w:before="20" w:after="20"/>
            </w:pPr>
            <w:r>
              <w:rPr>
                <w:rFonts w:ascii="Calibri" w:cs="Calibri" w:eastAsia="Calibri" w:hAnsi="Calibri"/>
                <w:color w:val="3D3D3D"/>
                <w:sz w:val="16"/>
                <w:szCs w:val="16"/>
              </w:rPr>
              <w:t xml:space="preserve">• Knowledge transfer</w:t>
            </w:r>
          </w:p>
          <w:p>
            <w:pPr>
              <w:spacing w:before="20" w:after="20"/>
            </w:pPr>
            <w:r>
              <w:rPr>
                <w:rFonts w:ascii="Calibri" w:cs="Calibri" w:eastAsia="Calibri" w:hAnsi="Calibri"/>
                <w:color w:val="3D3D3D"/>
                <w:sz w:val="16"/>
                <w:szCs w:val="16"/>
              </w:rPr>
              <w:t xml:space="preserve">• Retention</w:t>
            </w:r>
          </w:p>
        </w:tc>
        <w:tc>
          <w:tcPr>
            <w:tcW w:type="dxa" w:w="10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Multi-year</w:t>
            </w:r>
          </w:p>
        </w:tc>
        <w:tc>
          <w:tcPr>
            <w:tcW w:type="dxa" w:w="21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r>
        <w:tc>
          <w:tcPr>
            <w:tcW w:type="dxa" w:w="5400"/>
            <w:tcBorders>
              <w:top w:val="single" w:color="B8C4CE" w:sz="6"/>
              <w:left w:val="single" w:color="B8C4CE" w:sz="6"/>
              <w:bottom w:val="single" w:color="B8C4CE" w:sz="6"/>
              <w:right w:val="single" w:color="B8C4CE" w:sz="6"/>
            </w:tcBorders>
            <w:tcMar>
              <w:top w:type="dxa" w:w="100"/>
              <w:left w:type="dxa" w:w="120"/>
              <w:bottom w:type="dxa" w:w="100"/>
              <w:right w:type="dxa" w:w="120"/>
            </w:tcMar>
            <w:vAlign w:val="top"/>
          </w:tcPr>
          <w:p>
            <w:pPr>
              <w:spacing w:after="60"/>
            </w:pPr>
            <w:r>
              <w:rPr>
                <w:rFonts w:ascii="Calibri" w:cs="Calibri" w:eastAsia="Calibri" w:hAnsi="Calibri"/>
                <w:b/>
                <w:bCs/>
                <w:color w:val="1A1A1A"/>
                <w:sz w:val="19"/>
                <w:szCs w:val="19"/>
              </w:rPr>
              <w:t xml:space="preserve">Cross-functional Strategic Alignment</w:t>
            </w:r>
          </w:p>
          <w:p>
            <w:pPr>
              <w:spacing w:before="0" w:after="0" w:line="276"/>
            </w:pPr>
            <w:r>
              <w:rPr>
                <w:rFonts w:ascii="Calibri" w:cs="Calibri" w:eastAsia="Calibri" w:hAnsi="Calibri"/>
                <w:color w:val="3D3D3D"/>
                <w:sz w:val="17"/>
                <w:szCs w:val="17"/>
              </w:rPr>
              <w:t xml:space="preserve">Partner with enterprise architecture, product leadership, and executive stakeholders to ensure our AI transformation roadmap is tightly aligned with business strategy. Success means translating complex technical initiatives into clear business value and maintaining strong sponsorship for our transformation agenda.</w:t>
            </w:r>
          </w:p>
        </w:tc>
        <w:tc>
          <w:tcPr>
            <w:tcW w:type="dxa" w:w="12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WI &amp; HCG</w:t>
            </w:r>
          </w:p>
        </w:tc>
        <w:tc>
          <w:tcPr>
            <w:tcW w:type="dxa" w:w="9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In Progress</w:t>
            </w:r>
          </w:p>
        </w:tc>
        <w:tc>
          <w:tcPr>
            <w:tcW w:type="dxa" w:w="3200"/>
            <w:tcBorders>
              <w:top w:val="single" w:color="B8C4CE" w:sz="6"/>
              <w:left w:val="single" w:color="B8C4CE" w:sz="6"/>
              <w:bottom w:val="single" w:color="B8C4CE" w:sz="6"/>
              <w:right w:val="single" w:color="B8C4CE" w:sz="6"/>
            </w:tcBorders>
            <w:tcMar>
              <w:top w:type="dxa" w:w="100"/>
              <w:left w:type="dxa" w:w="100"/>
              <w:bottom w:type="dxa" w:w="100"/>
              <w:right w:type="dxa" w:w="100"/>
            </w:tcMar>
            <w:vAlign w:val="top"/>
          </w:tcPr>
          <w:p>
            <w:pPr>
              <w:spacing w:before="20" w:after="20"/>
            </w:pPr>
            <w:r>
              <w:rPr>
                <w:rFonts w:ascii="Calibri" w:cs="Calibri" w:eastAsia="Calibri" w:hAnsi="Calibri"/>
                <w:color w:val="3D3D3D"/>
                <w:sz w:val="16"/>
                <w:szCs w:val="16"/>
              </w:rPr>
              <w:t xml:space="preserve">• Stakeholder NPS</w:t>
            </w:r>
          </w:p>
          <w:p>
            <w:pPr>
              <w:spacing w:before="20" w:after="20"/>
            </w:pPr>
            <w:r>
              <w:rPr>
                <w:rFonts w:ascii="Calibri" w:cs="Calibri" w:eastAsia="Calibri" w:hAnsi="Calibri"/>
                <w:color w:val="3D3D3D"/>
                <w:sz w:val="16"/>
                <w:szCs w:val="16"/>
              </w:rPr>
              <w:t xml:space="preserve">• Strategic alignment</w:t>
            </w:r>
          </w:p>
          <w:p>
            <w:pPr>
              <w:spacing w:before="20" w:after="20"/>
            </w:pPr>
            <w:r>
              <w:rPr>
                <w:rFonts w:ascii="Calibri" w:cs="Calibri" w:eastAsia="Calibri" w:hAnsi="Calibri"/>
                <w:color w:val="3D3D3D"/>
                <w:sz w:val="16"/>
                <w:szCs w:val="16"/>
              </w:rPr>
              <w:t xml:space="preserve">• Exec sponsorship</w:t>
            </w:r>
          </w:p>
          <w:p>
            <w:pPr>
              <w:spacing w:before="20" w:after="20"/>
            </w:pPr>
            <w:r>
              <w:rPr>
                <w:rFonts w:ascii="Calibri" w:cs="Calibri" w:eastAsia="Calibri" w:hAnsi="Calibri"/>
                <w:color w:val="3D3D3D"/>
                <w:sz w:val="16"/>
                <w:szCs w:val="16"/>
              </w:rPr>
              <w:t xml:space="preserve">• Business impact</w:t>
            </w:r>
          </w:p>
        </w:tc>
        <w:tc>
          <w:tcPr>
            <w:tcW w:type="dxa" w:w="10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Multi-year</w:t>
            </w:r>
          </w:p>
        </w:tc>
        <w:tc>
          <w:tcPr>
            <w:tcW w:type="dxa" w:w="2100"/>
            <w:tcBorders>
              <w:top w:val="single" w:color="B8C4CE" w:sz="6"/>
              <w:left w:val="single" w:color="B8C4CE" w:sz="6"/>
              <w:bottom w:val="single" w:color="B8C4CE" w:sz="6"/>
              <w:right w:val="single" w:color="B8C4CE" w:sz="6"/>
            </w:tcBorders>
            <w:tcMar>
              <w:top w:type="dxa" w:w="80"/>
              <w:left w:type="dxa" w:w="80"/>
              <w:bottom w:type="dxa" w:w="80"/>
              <w:right w:type="dxa" w:w="80"/>
            </w:tcMar>
            <w:vAlign w:val="center"/>
          </w:tcPr>
          <w:p>
            <w:pPr>
              <w:jc w:val="center"/>
            </w:pPr>
            <w:r>
              <w:rPr>
                <w:rFonts w:ascii="Calibri" w:cs="Calibri" w:eastAsia="Calibri" w:hAnsi="Calibri"/>
                <w:color w:val="3D3D3D"/>
                <w:sz w:val="16"/>
                <w:szCs w:val="16"/>
              </w:rPr>
              <w:t xml:space="preserve">Owner</w:t>
            </w:r>
          </w:p>
        </w:tc>
      </w:tr>
    </w:tbl>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2026-01-29T19:19:37.293Z</dcterms:created>
  <dcterms:modified xsi:type="dcterms:W3CDTF">2026-01-29T19:19:37.294Z</dcterms:modified>
</cp:coreProperties>
</file>

<file path=docProps/custom.xml><?xml version="1.0" encoding="utf-8"?>
<Properties xmlns="http://schemas.openxmlformats.org/officeDocument/2006/custom-properties" xmlns:vt="http://schemas.openxmlformats.org/officeDocument/2006/docPropsVTypes"/>
</file>