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0F4C81"/>
          <w:sz w:val="44"/>
          <w:szCs w:val="44"/>
        </w:rPr>
        <w:t xml:space="preserve">2026 Goals Grid</w:t>
      </w:r>
    </w:p>
    <w:p>
      <w:pPr>
        <w:spacing w:after="40"/>
        <w:jc w:val="left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WI &amp; HCG UXD Dev Transformation</w:t>
      </w:r>
    </w:p>
    <w:p>
      <w:pPr>
        <w:spacing w:after="240"/>
        <w:jc w:val="left"/>
      </w:pPr>
      <w:r>
        <w:rPr>
          <w:rFonts w:ascii="Calibri" w:cs="Calibri" w:eastAsia="Calibri" w:hAnsi="Calibri"/>
          <w:color w:val="505050"/>
          <w:sz w:val="22"/>
          <w:szCs w:val="22"/>
        </w:rPr>
        <w:t xml:space="preserve">Kalyan Katika | Director, UX Development</w:t>
      </w:r>
    </w:p>
    <w:p>
      <w:pPr>
        <w:shd w:fill="D0E4F0" w:val="clear"/>
        <w:spacing w:after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  Strategic Alignment:  </w:t>
      </w:r>
      <w:r>
        <w:rPr>
          <w:rFonts w:ascii="Calibri" w:cs="Calibri" w:eastAsia="Calibri" w:hAnsi="Calibri"/>
          <w:color w:val="505050"/>
          <w:sz w:val="18"/>
          <w:szCs w:val="18"/>
        </w:rPr>
        <w:t xml:space="preserve">Advance Business Value  |  Drive FDS Adoption  |  Scale with Digital  |  Lead AI Transformation  |  Develop Talent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000"/>
        <w:gridCol w:w="3400"/>
        <w:gridCol w:w="1100"/>
        <w:gridCol w:w="2300"/>
      </w:tblGrid>
      <w:tr>
        <w:trPr>
          <w:tblHeader/>
        </w:trPr>
        <w:tc>
          <w:tcPr>
            <w:tcW w:type="dxa" w:w="52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0F4C8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2026 Priority</w:t>
            </w:r>
          </w:p>
        </w:tc>
        <w:tc>
          <w:tcPr>
            <w:tcW w:type="dxa" w:w="14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0F4C8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</w:t>
            </w:r>
          </w:p>
        </w:tc>
        <w:tc>
          <w:tcPr>
            <w:tcW w:type="dxa" w:w="1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0F4C8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0F4C8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Results</w:t>
            </w:r>
          </w:p>
        </w:tc>
        <w:tc>
          <w:tcPr>
            <w:tcW w:type="dxa" w:w="11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0F4C8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3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0F4C81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Accountability</w:t>
            </w:r>
          </w:p>
        </w:tc>
      </w:tr>
      <w:tr>
        <w:tc>
          <w:tcPr>
            <w:tcW w:type="dxa" w:w="52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7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Sales Enablement Platform Modernization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Architect next-gen demo platform to accelerate sales velocity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Reduce demo creation time by 60% through AI-powered tooling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Enable scalable, self-service demo capabilities for field teams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Drive measurable improvement in win rates and deal acceleration</w:t>
            </w:r>
          </w:p>
        </w:tc>
        <w:tc>
          <w:tcPr>
            <w:tcW w:type="dxa" w:w="14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7F1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WI &amp; HCG</w:t>
            </w:r>
          </w:p>
        </w:tc>
        <w:tc>
          <w:tcPr>
            <w:tcW w:type="dxa" w:w="1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7F1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34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Demo creation time reduction</w:t>
            </w:r>
          </w:p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Sales velocity improvement</w:t>
            </w:r>
          </w:p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Win rate impact</w:t>
            </w:r>
          </w:p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Platform adoption rate</w:t>
            </w:r>
          </w:p>
        </w:tc>
        <w:tc>
          <w:tcPr>
            <w:tcW w:type="dxa" w:w="11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7F1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Q3 2026</w:t>
            </w:r>
          </w:p>
        </w:tc>
        <w:tc>
          <w:tcPr>
            <w:tcW w:type="dxa" w:w="23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7F1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52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Enterprise FDS Adoption &amp; Integration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Drive 85%+ FDS adoption across all WI digital channels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Establish unified multi-product experience architecture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Reduce design-to-development handoff time by 40%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Enable seamless cross-channel customer journeys</w:t>
            </w:r>
          </w:p>
        </w:tc>
        <w:tc>
          <w:tcPr>
            <w:tcW w:type="dxa" w:w="14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WI &amp; HCG</w:t>
            </w:r>
          </w:p>
        </w:tc>
        <w:tc>
          <w:tcPr>
            <w:tcW w:type="dxa" w:w="1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34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FDS adoption rate</w:t>
            </w:r>
          </w:p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CEI score: 86%+</w:t>
            </w:r>
          </w:p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Design cycle time</w:t>
            </w:r>
          </w:p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Cross-channel consistency</w:t>
            </w:r>
          </w:p>
        </w:tc>
        <w:tc>
          <w:tcPr>
            <w:tcW w:type="dxa" w:w="11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Multi-year</w:t>
            </w:r>
          </w:p>
        </w:tc>
        <w:tc>
          <w:tcPr>
            <w:tcW w:type="dxa" w:w="23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52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AI-Powered Design System Automation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Deploy intelligent pattern generation and code synthesis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Automate legacy-to-FDS migration at scale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Implement real-time FDS compliance monitoring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Establish AI-augmented design-dev workflow</w:t>
            </w:r>
          </w:p>
        </w:tc>
        <w:tc>
          <w:tcPr>
            <w:tcW w:type="dxa" w:w="14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WI &amp; HCG</w:t>
            </w:r>
          </w:p>
        </w:tc>
        <w:tc>
          <w:tcPr>
            <w:tcW w:type="dxa" w:w="1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34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Automation coverage</w:t>
            </w:r>
          </w:p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Migration velocity</w:t>
            </w:r>
          </w:p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Compliance rate</w:t>
            </w:r>
          </w:p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Developer productivity</w:t>
            </w:r>
          </w:p>
        </w:tc>
        <w:tc>
          <w:tcPr>
            <w:tcW w:type="dxa" w:w="11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Multi-year</w:t>
            </w:r>
          </w:p>
        </w:tc>
        <w:tc>
          <w:tcPr>
            <w:tcW w:type="dxa" w:w="23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52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7F1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Generative AI &amp; Agentic Architecture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Define enterprise AI architecture standards and governance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Pilot agentic workflows for design-dev acceleration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Establish AI Center of Excellence for UXD practice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Drive 10x productivity gains through AI augmentation</w:t>
            </w:r>
          </w:p>
        </w:tc>
        <w:tc>
          <w:tcPr>
            <w:tcW w:type="dxa" w:w="14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7F1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WI &amp; HCG</w:t>
            </w:r>
          </w:p>
        </w:tc>
        <w:tc>
          <w:tcPr>
            <w:tcW w:type="dxa" w:w="1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7F1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34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AI adoption maturity</w:t>
            </w:r>
          </w:p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Productivity multiplier</w:t>
            </w:r>
          </w:p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Innovation pipeline</w:t>
            </w:r>
          </w:p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Time-to-market</w:t>
            </w:r>
          </w:p>
        </w:tc>
        <w:tc>
          <w:tcPr>
            <w:tcW w:type="dxa" w:w="11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7F1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Multi-year</w:t>
            </w:r>
          </w:p>
        </w:tc>
        <w:tc>
          <w:tcPr>
            <w:tcW w:type="dxa" w:w="23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shd w:fill="E7F1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52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Operating Model Transformation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Redesign org structure for AI-native delivery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Implement scalable resource allocation framework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Establish excellence standards and quality gates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Optimize capacity planning and workforce strategy</w:t>
            </w:r>
          </w:p>
        </w:tc>
        <w:tc>
          <w:tcPr>
            <w:tcW w:type="dxa" w:w="14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WI &amp; HCG</w:t>
            </w:r>
          </w:p>
        </w:tc>
        <w:tc>
          <w:tcPr>
            <w:tcW w:type="dxa" w:w="1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34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Team efficiency</w:t>
            </w:r>
          </w:p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Delivery predictability</w:t>
            </w:r>
          </w:p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Quality metrics</w:t>
            </w:r>
          </w:p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Resource utilization</w:t>
            </w:r>
          </w:p>
        </w:tc>
        <w:tc>
          <w:tcPr>
            <w:tcW w:type="dxa" w:w="11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Multi-year</w:t>
            </w:r>
          </w:p>
        </w:tc>
        <w:tc>
          <w:tcPr>
            <w:tcW w:type="dxa" w:w="23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52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Technical Leadership &amp; Talent Development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Build and mentor high-performing architect team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Launch AI Champion Network across UXD organization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Drive Future of Work transformation initiatives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Foster innovation culture through R&amp;D programs</w:t>
            </w:r>
          </w:p>
        </w:tc>
        <w:tc>
          <w:tcPr>
            <w:tcW w:type="dxa" w:w="14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WI &amp; HCG</w:t>
            </w:r>
          </w:p>
        </w:tc>
        <w:tc>
          <w:tcPr>
            <w:tcW w:type="dxa" w:w="1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34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Team capability growth</w:t>
            </w:r>
          </w:p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Innovation contributions</w:t>
            </w:r>
          </w:p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Knowledge transfer</w:t>
            </w:r>
          </w:p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Talent retention</w:t>
            </w:r>
          </w:p>
        </w:tc>
        <w:tc>
          <w:tcPr>
            <w:tcW w:type="dxa" w:w="11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Multi-year</w:t>
            </w:r>
          </w:p>
        </w:tc>
        <w:tc>
          <w:tcPr>
            <w:tcW w:type="dxa" w:w="23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52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Cross-functional Strategic Alignment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Partner with enterprise architecture on AI roadmap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Align with product leadership on digital strategy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Drive executive visibility on transformation outcomes</w:t>
            </w:r>
          </w:p>
          <w:p>
            <w:pPr>
              <w:spacing w:before="30" w:after="30"/>
              <w:ind w:left="20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7"/>
                <w:szCs w:val="17"/>
              </w:rPr>
              <w:t xml:space="preserve">› </w:t>
            </w: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Enable business stakeholder success through technology</w:t>
            </w:r>
          </w:p>
        </w:tc>
        <w:tc>
          <w:tcPr>
            <w:tcW w:type="dxa" w:w="14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WI &amp; HCG</w:t>
            </w:r>
          </w:p>
        </w:tc>
        <w:tc>
          <w:tcPr>
            <w:tcW w:type="dxa" w:w="10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34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Stakeholder NPS</w:t>
            </w:r>
          </w:p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Strategic alignment</w:t>
            </w:r>
          </w:p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Executive sponsorship</w:t>
            </w:r>
          </w:p>
          <w:p>
            <w:pPr>
              <w:spacing w:before="25" w:after="25"/>
            </w:pPr>
            <w:r>
              <w:rPr>
                <w:rFonts w:ascii="Calibri" w:cs="Calibri" w:eastAsia="Calibri" w:hAnsi="Calibri"/>
                <w:color w:val="0F4C81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505050"/>
                <w:sz w:val="16"/>
                <w:szCs w:val="16"/>
              </w:rPr>
              <w:t xml:space="preserve">Business impact</w:t>
            </w:r>
          </w:p>
        </w:tc>
        <w:tc>
          <w:tcPr>
            <w:tcW w:type="dxa" w:w="11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Multi-year</w:t>
            </w:r>
          </w:p>
        </w:tc>
        <w:tc>
          <w:tcPr>
            <w:tcW w:type="dxa" w:w="2300"/>
            <w:tcBorders>
              <w:top w:val="single" w:color="C0C0C0" w:sz="6"/>
              <w:left w:val="single" w:color="C0C0C0" w:sz="6"/>
              <w:bottom w:val="single" w:color="C0C0C0" w:sz="6"/>
              <w:right w:val="single" w:color="C0C0C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05050"/>
                <w:sz w:val="17"/>
                <w:szCs w:val="17"/>
              </w:rPr>
              <w:t xml:space="preserve">Owner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2026-01-29T18:43:05.680Z</dcterms:created>
  <dcterms:modified xsi:type="dcterms:W3CDTF">2026-01-29T18:43:05.681Z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