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44"/>
          <w:szCs w:val="44"/>
        </w:rPr>
        <w:t xml:space="preserve">EMPLOYEE ATTRITION ANALYSIS</w:t>
      </w:r>
    </w:p>
    <w:p>
      <w:pPr>
        <w:spacing w:after="60" w:before="0"/>
        <w:jc w:val="center"/>
      </w:pPr>
      <w:r>
        <w:rPr>
          <w:rFonts w:ascii="Arial" w:cs="Arial" w:eastAsia="Arial" w:hAnsi="Arial"/>
          <w:color w:val="E74C3C"/>
          <w:sz w:val="28"/>
          <w:szCs w:val="28"/>
        </w:rPr>
        <w:t xml:space="preserve">Key Findings &amp; HR Recommendations</w:t>
      </w:r>
    </w:p>
    <w:p>
      <w:pPr>
        <w:spacing w:after="0" w:before="0"/>
        <w:jc w:val="center"/>
      </w:pPr>
      <w:r>
        <w:rPr>
          <w:rFonts w:ascii="Arial" w:cs="Arial" w:eastAsia="Arial" w:hAnsi="Arial"/>
          <w:color w:val="888888"/>
          <w:sz w:val="20"/>
          <w:szCs w:val="20"/>
        </w:rPr>
        <w:t xml:space="preserve">Prepared for: HR Director  |  Week 2 Internship Project  |  June 2026</w:t>
      </w:r>
    </w:p>
    <w:p>
      <w:pPr>
        <w:spacing w:after="0" w:before="0"/>
      </w:pPr>
      <w:r>
        <w:t xml:space="preserve"/>
      </w:r>
    </w:p>
    <w:p>
      <w:pPr>
        <w:pBdr>
          <w:bottom w:val="single" w:color="1F4E79" w:sz="6" w:space="1"/>
        </w:pBdr>
        <w:spacing w:after="120" w:before="320"/>
      </w:pPr>
      <w:r>
        <w:rPr>
          <w:rFonts w:ascii="Arial" w:cs="Arial" w:eastAsia="Arial" w:hAnsi="Arial"/>
          <w:b/>
          <w:bCs/>
          <w:color w:val="1F4E79"/>
          <w:sz w:val="36"/>
          <w:szCs w:val="36"/>
        </w:rPr>
        <w:t xml:space="preserve">Executive Summary</w:t>
      </w:r>
    </w:p>
    <w:p>
      <w:pPr>
        <w:spacing w:after="120" w:before="100"/>
        <w:jc w:val="left"/>
      </w:pPr>
      <w:r>
        <w:rPr>
          <w:rFonts w:ascii="Arial" w:cs="Arial" w:eastAsia="Arial" w:hAnsi="Arial"/>
          <w:b w:val="false"/>
          <w:bCs w:val="false"/>
          <w:color w:val="2C3E50"/>
          <w:sz w:val="22"/>
          <w:szCs w:val="22"/>
        </w:rPr>
        <w:t xml:space="preserve">Our analysis of 1,470 employee records reveals that approximately 16% of the workforce is at risk of leaving — a rate that, if unaddressed, represents significant costs in recruiting, onboarding, and lost productivity. Using machine learning, we identified the key factors that drive employees to resign and built a model that can flag high-risk individuals before they hand in their notice.</w:t>
      </w:r>
    </w:p>
    <w:p>
      <w:pPr>
        <w:spacing w:after="160" w:before="0"/>
        <w:jc w:val="left"/>
      </w:pPr>
      <w:r>
        <w:rPr>
          <w:rFonts w:ascii="Arial" w:cs="Arial" w:eastAsia="Arial" w:hAnsi="Arial"/>
          <w:b w:val="false"/>
          <w:bCs w:val="false"/>
          <w:color w:val="2C3E50"/>
          <w:sz w:val="22"/>
          <w:szCs w:val="22"/>
        </w:rPr>
        <w:t xml:space="preserve">Three findings stand out clearly: employees asked to work excessive overtime are far more likely to leave, lower-paid employees exit at higher rates, and the first five years of tenure are the most critical retention window for any new hire.</w:t>
      </w:r>
    </w:p>
    <w:p>
      <w:pPr>
        <w:spacing w:after="120" w:before="240"/>
      </w:pPr>
      <w:r>
        <w:rPr>
          <w:rFonts w:ascii="Arial" w:cs="Arial" w:eastAsia="Arial" w:hAnsi="Arial"/>
          <w:b/>
          <w:bCs/>
          <w:color w:val="1F4E79"/>
          <w:sz w:val="26"/>
          <w:szCs w:val="26"/>
        </w:rPr>
        <w:t xml:space="preserve">At a Glance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Dataset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1,470 IBM employee records</w:t>
            </w:r>
          </w:p>
        </w:tc>
      </w:tr>
      <w:tr>
        <w:tc>
          <w:tcPr>
            <w:tcW w:type="dxa" w:w="3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F4E79"/>
                <w:sz w:val="22"/>
                <w:szCs w:val="22"/>
              </w:rPr>
              <w:t xml:space="preserve">Attrition Rate</w:t>
            </w:r>
          </w:p>
        </w:tc>
        <w:tc>
          <w:tcPr>
            <w:tcW w:type="dxa" w:w="6360"/>
            <w:tcBorders>
              <w:top w:val="single" w:color="CCCCCC" w:sz="1"/>
              <w:left w:val="single" w:color="CCCCCC" w:sz="1"/>
              <w:bottom w:val="single" w:color="CCCCCC" w:sz="1"/>
              <w:right w:val="single" w:color="CCCCCC" w:sz="1"/>
            </w:tcBorders>
            <w:shd w:fill="F7FBFE" w:val="clear"/>
            <w:tcMar>
              <w:top w:type="dxa" w:w="80"/>
              <w:left w:type="dxa" w:w="120"/>
              <w:bottom w:type="dxa" w:w="80"/>
              <w:right w:type="dxa" w:w="120"/>
            </w:tcMar>
          </w:tcPr>
          <w:p>
            <w:r>
              <w:rPr>
                <w:rFonts w:ascii="Arial" w:cs="Arial" w:eastAsia="Arial" w:hAnsi="Arial"/>
                <w:color w:val="595959"/>
                <w:sz w:val="22"/>
                <w:szCs w:val="22"/>
              </w:rPr>
              <w:t xml:space="preserve">~16.1% of employees left the company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Highest-Risk Role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Sales Representative (~40% attrition rate)</w:t>
            </w:r>
          </w:p>
        </w:tc>
      </w:tr>
      <w:tr>
        <w:tc>
          <w:tcPr>
            <w:tcW w:type="dxa" w:w="3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F4E79"/>
                <w:sz w:val="22"/>
                <w:szCs w:val="22"/>
              </w:rPr>
              <w:t xml:space="preserve">Highest-Risk Dept</w:t>
            </w:r>
          </w:p>
        </w:tc>
        <w:tc>
          <w:tcPr>
            <w:tcW w:type="dxa" w:w="6360"/>
            <w:tcBorders>
              <w:top w:val="single" w:color="CCCCCC" w:sz="1"/>
              <w:left w:val="single" w:color="CCCCCC" w:sz="1"/>
              <w:bottom w:val="single" w:color="CCCCCC" w:sz="1"/>
              <w:right w:val="single" w:color="CCCCCC" w:sz="1"/>
            </w:tcBorders>
            <w:shd w:fill="F7FBFE" w:val="clear"/>
            <w:tcMar>
              <w:top w:type="dxa" w:w="80"/>
              <w:left w:type="dxa" w:w="120"/>
              <w:bottom w:type="dxa" w:w="80"/>
              <w:right w:type="dxa" w:w="120"/>
            </w:tcMar>
          </w:tcPr>
          <w:p>
            <w:r>
              <w:rPr>
                <w:rFonts w:ascii="Arial" w:cs="Arial" w:eastAsia="Arial" w:hAnsi="Arial"/>
                <w:color w:val="595959"/>
                <w:sz w:val="22"/>
                <w:szCs w:val="22"/>
              </w:rPr>
              <w:t xml:space="preserve">Sales department (~20% attrition rate)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Best ML 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Random Forest / Gradient Boosting (ROC-AUC ~0.83)</w:t>
            </w:r>
          </w:p>
        </w:tc>
      </w:tr>
      <w:tr>
        <w:tc>
          <w:tcPr>
            <w:tcW w:type="dxa" w:w="3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F4E79"/>
                <w:sz w:val="22"/>
                <w:szCs w:val="22"/>
              </w:rPr>
              <w:t xml:space="preserve">Top Exit Driver</w:t>
            </w:r>
          </w:p>
        </w:tc>
        <w:tc>
          <w:tcPr>
            <w:tcW w:type="dxa" w:w="6360"/>
            <w:tcBorders>
              <w:top w:val="single" w:color="CCCCCC" w:sz="1"/>
              <w:left w:val="single" w:color="CCCCCC" w:sz="1"/>
              <w:bottom w:val="single" w:color="CCCCCC" w:sz="1"/>
              <w:right w:val="single" w:color="CCCCCC" w:sz="1"/>
            </w:tcBorders>
            <w:shd w:fill="F7FBFE" w:val="clear"/>
            <w:tcMar>
              <w:top w:type="dxa" w:w="80"/>
              <w:left w:type="dxa" w:w="120"/>
              <w:bottom w:type="dxa" w:w="80"/>
              <w:right w:type="dxa" w:w="120"/>
            </w:tcMar>
          </w:tcPr>
          <w:p>
            <w:r>
              <w:rPr>
                <w:rFonts w:ascii="Arial" w:cs="Arial" w:eastAsia="Arial" w:hAnsi="Arial"/>
                <w:color w:val="595959"/>
                <w:sz w:val="22"/>
                <w:szCs w:val="22"/>
              </w:rPr>
              <w:t xml:space="preserve">Overtime work — strongest single predictor of leaving</w:t>
            </w:r>
          </w:p>
        </w:tc>
      </w:tr>
    </w:tbl>
    <w:p>
      <w:pPr>
        <w:spacing w:after="0" w:before="0"/>
      </w:pPr>
      <w:r>
        <w:t xml:space="preserve"/>
      </w:r>
    </w:p>
    <w:p>
      <w:pPr>
        <w:pBdr>
          <w:bottom w:val="single" w:color="1F4E79" w:sz="6" w:space="1"/>
        </w:pBdr>
        <w:spacing w:after="120" w:before="320"/>
      </w:pPr>
      <w:r>
        <w:rPr>
          <w:rFonts w:ascii="Arial" w:cs="Arial" w:eastAsia="Arial" w:hAnsi="Arial"/>
          <w:b/>
          <w:bCs/>
          <w:color w:val="1F4E79"/>
          <w:sz w:val="36"/>
          <w:szCs w:val="36"/>
        </w:rPr>
        <w:t xml:space="preserve">What the Data Tells Us</w:t>
      </w:r>
    </w:p>
    <w:p>
      <w:pPr>
        <w:spacing w:after="120" w:before="240"/>
      </w:pPr>
      <w:r>
        <w:rPr>
          <w:rFonts w:ascii="Arial" w:cs="Arial" w:eastAsia="Arial" w:hAnsi="Arial"/>
          <w:b/>
          <w:bCs/>
          <w:color w:val="1F4E79"/>
          <w:sz w:val="26"/>
          <w:szCs w:val="26"/>
        </w:rPr>
        <w:t xml:space="preserve">1. Overtime is the Biggest Warning Sign</w:t>
      </w:r>
    </w:p>
    <w:p>
      <w:pPr>
        <w:spacing w:after="80" w:before="80"/>
        <w:jc w:val="left"/>
      </w:pPr>
      <w:r>
        <w:rPr>
          <w:rFonts w:ascii="Arial" w:cs="Arial" w:eastAsia="Arial" w:hAnsi="Arial"/>
          <w:b w:val="false"/>
          <w:bCs w:val="false"/>
          <w:color w:val="2C3E50"/>
          <w:sz w:val="22"/>
          <w:szCs w:val="22"/>
        </w:rPr>
        <w:t xml:space="preserve">Employees who regularly work overtime are significantly more likely to resign. This is not just a correlation — overtime appears across multiple analyses as the strongest single predictor of attrition. When employees are consistently asked to work beyond contracted hours, they signal dissatisfaction through departure.</w:t>
      </w:r>
    </w:p>
    <w:p>
      <w:pPr>
        <w:spacing w:after="0" w:before="0"/>
      </w:pPr>
      <w:r>
        <w:t xml:space="preserve"/>
      </w:r>
    </w:p>
    <w:p>
      <w:pPr>
        <w:spacing w:after="120" w:before="240"/>
      </w:pPr>
      <w:r>
        <w:rPr>
          <w:rFonts w:ascii="Arial" w:cs="Arial" w:eastAsia="Arial" w:hAnsi="Arial"/>
          <w:b/>
          <w:bCs/>
          <w:color w:val="1F4E79"/>
          <w:sz w:val="26"/>
          <w:szCs w:val="26"/>
        </w:rPr>
        <w:t xml:space="preserve">2. Salary Matters — But It Is Not the Whole Story</w:t>
      </w:r>
    </w:p>
    <w:p>
      <w:pPr>
        <w:spacing w:after="80" w:before="80"/>
        <w:jc w:val="left"/>
      </w:pPr>
      <w:r>
        <w:rPr>
          <w:rFonts w:ascii="Arial" w:cs="Arial" w:eastAsia="Arial" w:hAnsi="Arial"/>
          <w:b w:val="false"/>
          <w:bCs w:val="false"/>
          <w:color w:val="2C3E50"/>
          <w:sz w:val="22"/>
          <w:szCs w:val="22"/>
        </w:rPr>
        <w:t xml:space="preserve">Employees who left earned roughly 20% less per month on average than those who stayed. However, salary alone does not explain attrition. An employee earning a competitive wage but experiencing poor work-life balance is still a high exit risk. Both compensation and working conditions must be addressed together.</w:t>
      </w:r>
    </w:p>
    <w:p>
      <w:pPr>
        <w:spacing w:after="0" w:before="0"/>
      </w:pPr>
      <w:r>
        <w:t xml:space="preserve"/>
      </w:r>
    </w:p>
    <w:p>
      <w:pPr>
        <w:spacing w:after="120" w:before="240"/>
      </w:pPr>
      <w:r>
        <w:rPr>
          <w:rFonts w:ascii="Arial" w:cs="Arial" w:eastAsia="Arial" w:hAnsi="Arial"/>
          <w:b/>
          <w:bCs/>
          <w:color w:val="1F4E79"/>
          <w:sz w:val="26"/>
          <w:szCs w:val="26"/>
        </w:rPr>
        <w:t xml:space="preserve">3. Early-Career Employees Leave Most</w:t>
      </w:r>
    </w:p>
    <w:p>
      <w:pPr>
        <w:spacing w:after="80" w:before="80"/>
        <w:jc w:val="left"/>
      </w:pPr>
      <w:r>
        <w:rPr>
          <w:rFonts w:ascii="Arial" w:cs="Arial" w:eastAsia="Arial" w:hAnsi="Arial"/>
          <w:b w:val="false"/>
          <w:bCs w:val="false"/>
          <w:color w:val="2C3E50"/>
          <w:sz w:val="22"/>
          <w:szCs w:val="22"/>
        </w:rPr>
        <w:t xml:space="preserve">Employees who exited averaged only 5 years of tenure — two years less than those who stayed. Junior employees and those in their first three years are particularly vulnerable. Without clear career progression, competitive pay reviews, and adequate support, new hires disengage quickly.</w:t>
      </w:r>
    </w:p>
    <w:p>
      <w:pPr>
        <w:spacing w:after="0" w:before="0"/>
      </w:pPr>
      <w:r>
        <w:t xml:space="preserve"/>
      </w:r>
    </w:p>
    <w:p>
      <w:pPr>
        <w:spacing w:after="120" w:before="240"/>
      </w:pPr>
      <w:r>
        <w:rPr>
          <w:rFonts w:ascii="Arial" w:cs="Arial" w:eastAsia="Arial" w:hAnsi="Arial"/>
          <w:b/>
          <w:bCs/>
          <w:color w:val="1F4E79"/>
          <w:sz w:val="26"/>
          <w:szCs w:val="26"/>
        </w:rPr>
        <w:t xml:space="preserve">4. Sales Teams Need Immediate Attention</w:t>
      </w:r>
    </w:p>
    <w:p>
      <w:pPr>
        <w:spacing w:after="80" w:before="80"/>
        <w:jc w:val="left"/>
      </w:pPr>
      <w:r>
        <w:rPr>
          <w:rFonts w:ascii="Arial" w:cs="Arial" w:eastAsia="Arial" w:hAnsi="Arial"/>
          <w:b w:val="false"/>
          <w:bCs w:val="false"/>
          <w:color w:val="2C3E50"/>
          <w:sz w:val="22"/>
          <w:szCs w:val="22"/>
        </w:rPr>
        <w:t xml:space="preserve">Sales Representatives have an attrition rate of approximately 40% — nearly one in two Sales Reps leaves within a short period. The Sales department overall sits at 20% attrition, well above the company average. These roles combine high performance pressure, frequent overtime, and limited work-life balance — a combination that makes them the top priority for retention action.</w:t>
      </w:r>
    </w:p>
    <w:p>
      <w:pPr>
        <w:spacing w:after="0" w:before="0"/>
      </w:pPr>
      <w:r>
        <w:t xml:space="preserve"/>
      </w:r>
    </w:p>
    <w:p>
      <w:pPr>
        <w:pBdr>
          <w:bottom w:val="single" w:color="1F4E79" w:sz="6" w:space="1"/>
        </w:pBdr>
        <w:spacing w:after="120" w:before="320"/>
      </w:pPr>
      <w:r>
        <w:rPr>
          <w:rFonts w:ascii="Arial" w:cs="Arial" w:eastAsia="Arial" w:hAnsi="Arial"/>
          <w:b/>
          <w:bCs/>
          <w:color w:val="1F4E79"/>
          <w:sz w:val="36"/>
          <w:szCs w:val="36"/>
        </w:rPr>
        <w:t xml:space="preserve">What We Recommend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pPr>
              <w:spacing w:after="60" w:before="0"/>
            </w:pPr>
            <w:r>
              <w:rPr>
                <w:rFonts w:ascii="Arial" w:cs="Arial" w:eastAsia="Arial" w:hAnsi="Arial"/>
                <w:b/>
                <w:bCs/>
                <w:color w:val="1F4E79"/>
                <w:sz w:val="24"/>
                <w:szCs w:val="24"/>
              </w:rPr>
              <w:t xml:space="preserve">✅  Recommendation 1 — Introduce an Overtime Monitoring System</w:t>
            </w:r>
          </w:p>
          <w:p>
            <w:pPr>
              <w:spacing w:after="0" w:before="0"/>
            </w:pPr>
            <w:r>
              <w:rPr>
                <w:rFonts w:ascii="Arial" w:cs="Arial" w:eastAsia="Arial" w:hAnsi="Arial"/>
                <w:color w:val="2C3E50"/>
                <w:sz w:val="22"/>
                <w:szCs w:val="22"/>
              </w:rPr>
              <w:t xml:space="preserve">Build a monthly HR dashboard that flags any employee who has exceeded their overtime threshold for three or more consecutive months. Their line manager should be required to hold a structured one-on-one conversation within two weeks — focused on workload redistribution, role re-scoping, or short-term relief. Priority departments: Sales and Human Resources. This single intervention targets the strongest predictor of attrition identified in our analysis.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60"/>
              <w:left w:type="dxa" w:w="200"/>
              <w:bottom w:type="dxa" w:w="160"/>
              <w:right w:type="dxa" w:w="200"/>
            </w:tcMar>
          </w:tcPr>
          <w:p>
            <w:pPr>
              <w:spacing w:after="60" w:before="0"/>
            </w:pPr>
            <w:r>
              <w:rPr>
                <w:rFonts w:ascii="Arial" w:cs="Arial" w:eastAsia="Arial" w:hAnsi="Arial"/>
                <w:b/>
                <w:bCs/>
                <w:color w:val="1F4E79"/>
                <w:sz w:val="24"/>
                <w:szCs w:val="24"/>
              </w:rPr>
              <w:t xml:space="preserve">✅  Recommendation 2 — Guaranteed Salary &amp; Career Reviews at 12 and 36 Months</w:t>
            </w:r>
          </w:p>
          <w:p>
            <w:pPr>
              <w:spacing w:after="0" w:before="0"/>
            </w:pPr>
            <w:r>
              <w:rPr>
                <w:rFonts w:ascii="Arial" w:cs="Arial" w:eastAsia="Arial" w:hAnsi="Arial"/>
                <w:color w:val="2C3E50"/>
                <w:sz w:val="22"/>
                <w:szCs w:val="22"/>
              </w:rPr>
              <w:t xml:space="preserve">Implement automatic salary reviews at the 12-month and 36-month milestones for every new hire in their first five years. Pair each review with a career-path conversation where the employee can see a realistic promotion timeline. Our model shows that younger employees without a visible path forward leave at disproportionately high rates — especially in Sales and HR. This programme directly addresses the early-tenure attrition window identified in the data.</w:t>
            </w:r>
          </w:p>
        </w:tc>
      </w:tr>
    </w:tbl>
    <w:p>
      <w:pPr>
        <w:spacing w:after="0" w:before="0"/>
      </w:pPr>
      <w:r>
        <w:t xml:space="preserve"/>
      </w:r>
    </w:p>
    <w:p>
      <w:pPr>
        <w:spacing w:after="120" w:before="240"/>
      </w:pPr>
      <w:r>
        <w:rPr>
          <w:rFonts w:ascii="Arial" w:cs="Arial" w:eastAsia="Arial" w:hAnsi="Arial"/>
          <w:b/>
          <w:bCs/>
          <w:color w:val="1F4E79"/>
          <w:sz w:val="26"/>
          <w:szCs w:val="26"/>
        </w:rPr>
        <w:t xml:space="preserve">Important Caveat for HR Leadership</w:t>
      </w:r>
    </w:p>
    <w:p>
      <w:pPr>
        <w:spacing w:after="80" w:before="80"/>
        <w:jc w:val="left"/>
      </w:pPr>
      <w:r>
        <w:rPr>
          <w:rFonts w:ascii="Arial" w:cs="Arial" w:eastAsia="Arial" w:hAnsi="Arial"/>
          <w:b w:val="false"/>
          <w:bCs w:val="false"/>
          <w:color w:val="E74C3C"/>
          <w:sz w:val="22"/>
          <w:szCs w:val="22"/>
        </w:rPr>
        <w:t xml:space="preserve">This model was trained on historical IBM HR data. Before deploying it to flag employees at your company, it must be retrained on your own internal records to reflect your industry, salary norms, and organisational culture. Model predictions should always be treated as early warning signals — not final verdicts. Combine them with direct manager feedback and engagement survey results before taking any action on an individual employee.</w:t>
      </w:r>
    </w:p>
    <w:p>
      <w:pPr>
        <w:spacing w:after="0" w:before="0"/>
      </w:pPr>
      <w:r>
        <w:t xml:space="preserve"/>
      </w:r>
    </w:p>
    <w:p>
      <w:pPr>
        <w:spacing w:after="0" w:before="0"/>
      </w:pPr>
      <w:r>
        <w:t xml:space="preserve"/>
      </w:r>
    </w:p>
    <w:p>
      <w:pPr>
        <w:jc w:val="center"/>
      </w:pPr>
      <w:r>
        <w:rPr>
          <w:rFonts w:ascii="Arial" w:cs="Arial" w:eastAsia="Arial" w:hAnsi="Arial"/>
          <w:i/>
          <w:iCs/>
          <w:color w:val="AAAAAA"/>
          <w:sz w:val="20"/>
          <w:szCs w:val="20"/>
        </w:rPr>
        <w:t xml:space="preserve">— End of Summary Report —</w:t>
      </w:r>
    </w:p>
    <w:sectPr>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Employee Attrition Analysis  |  Confidential HR Report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2026-06-25T07:14:48.316Z</dcterms:created>
  <dcterms:modified xsi:type="dcterms:W3CDTF">2026-06-25T07:14:48.316Z</dcterms:modified>
</cp:coreProperties>
</file>

<file path=docProps/custom.xml><?xml version="1.0" encoding="utf-8"?>
<Properties xmlns="http://schemas.openxmlformats.org/officeDocument/2006/custom-properties" xmlns:vt="http://schemas.openxmlformats.org/officeDocument/2006/docPropsVTypes"/>
</file>