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Crop Price Prediction: Statistical Analysis &amp; Visualizations Report</w:t>
      </w:r>
    </w:p>
    <w:p>
      <w:pPr>
        <w:jc w:val="center"/>
      </w:pPr>
      <w:r>
        <w:rPr>
          <w:b/>
        </w:rPr>
        <w:t>Generated: November 29, 2025</w:t>
        <w:br/>
      </w:r>
      <w:r>
        <w:t>Focus: Comprehensive Statistical Analysis with Visual Evidence</w:t>
        <w:br/>
      </w:r>
      <w:r>
        <w:t>Contains: Performance comparisons, model analysis, and insights</w:t>
      </w:r>
    </w:p>
    <w:p>
      <w:r>
        <w:br w:type="page"/>
      </w:r>
    </w:p>
    <w:p>
      <w:pPr>
        <w:pStyle w:val="Heading1"/>
      </w:pPr>
      <w:r>
        <w:t>📊 1. Model Performance Comparison Analysis</w:t>
      </w:r>
    </w:p>
    <w:p>
      <w:r>
        <w:t>The comprehensive performance analysis reveals significant insights into model effectiveness across different crops:</w:t>
      </w:r>
    </w:p>
    <w:p>
      <w:r>
        <w:drawing>
          <wp:inline xmlns:a="http://schemas.openxmlformats.org/drawingml/2006/main" xmlns:pic="http://schemas.openxmlformats.org/drawingml/2006/picture">
            <wp:extent cx="6400800" cy="4230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Visual Insights</w:t>
      </w:r>
    </w:p>
    <w:p>
      <w:r>
        <w:rPr>
          <w:b/>
        </w:rPr>
        <w:t>Performance Highlights:</w:t>
      </w:r>
      <w:r>
        <w:br/>
        <w:t>✅ Individual ML models show consistently superior performance across all metrics</w:t>
      </w:r>
      <w:r>
        <w:br/>
        <w:t>✅ Refined Hybrid achieved remarkable success for Beetroot (29.4% MAE improvement)</w:t>
      </w:r>
      <w:r>
        <w:br/>
        <w:t>✅ Advanced Hybrid showed partial success for Carrot (14.2% MAE improvement)</w:t>
      </w:r>
      <w:r>
        <w:br/>
        <w:t>❌ Onion proved challenging for all hybrid approaches - ARIMA remained best</w:t>
      </w:r>
      <w:r>
        <w:br/>
        <w:t>⚖️ Complexity-performance trade-off clearly favors Individual ML models</w:t>
      </w:r>
    </w:p>
    <w:p>
      <w:pPr>
        <w:pStyle w:val="Heading1"/>
      </w:pPr>
      <w:r>
        <w:t>Project Methodology Overview</w:t>
      </w:r>
    </w:p>
    <w:p>
      <w:r>
        <w:rPr>
          <w:b/>
        </w:rPr>
        <w:t>Implementation Workflow Overview:</w:t>
      </w:r>
      <w:r>
        <w:br/>
        <w:br/>
        <w:t>1. Data Collection &amp; Preprocessing</w:t>
      </w:r>
      <w:r>
        <w:br/>
        <w:t xml:space="preserve">   • Multi-source agricultural price data acquisition</w:t>
      </w:r>
      <w:r>
        <w:br/>
        <w:t xml:space="preserve">   • Data cleaning, validation, and quality assessment</w:t>
      </w:r>
      <w:r>
        <w:br/>
        <w:t xml:space="preserve">   • Missing value imputation and outlier detection</w:t>
      </w:r>
      <w:r>
        <w:br/>
        <w:br/>
        <w:t>2. Feature Engineering Pipeline</w:t>
      </w:r>
      <w:r>
        <w:br/>
        <w:t xml:space="preserve">   • Technical indicators (RSI, MACD, Bollinger Bands)</w:t>
      </w:r>
      <w:r>
        <w:br/>
        <w:t xml:space="preserve">   • Lag features and seasonal decomposition</w:t>
      </w:r>
      <w:r>
        <w:br/>
        <w:t xml:space="preserve">   • Volatility measures and statistical transformations</w:t>
      </w:r>
      <w:r>
        <w:br/>
        <w:t xml:space="preserve">   • Market momentum and trend indicators</w:t>
      </w:r>
      <w:r>
        <w:br/>
        <w:br/>
        <w:t>3. Model Development &amp; Training</w:t>
      </w:r>
      <w:r>
        <w:br/>
        <w:t xml:space="preserve">   • SARIMA parameter optimization with auto-selection</w:t>
      </w:r>
      <w:r>
        <w:br/>
        <w:t xml:space="preserve">   • Machine Learning model training with cross-validation</w:t>
      </w:r>
      <w:r>
        <w:br/>
        <w:t xml:space="preserve">   • Hybrid model ensemble combination strategies</w:t>
      </w:r>
      <w:r>
        <w:br/>
        <w:t xml:space="preserve">   • Regularization and overfitting prevention</w:t>
      </w:r>
    </w:p>
    <w:p>
      <w:pPr>
        <w:pStyle w:val="Heading1"/>
      </w:pPr>
      <w:r>
        <w:t>Final Conclusions &amp; Recommendations</w:t>
      </w:r>
    </w:p>
    <w:p>
      <w:r>
        <w:rPr>
          <w:b/>
        </w:rPr>
        <w:t>Statistical Evidence Summary:</w:t>
      </w:r>
      <w:r>
        <w:br/>
        <w:br/>
        <w:t>Best Overall Approach: Individual ML Models</w:t>
      </w:r>
      <w:r>
        <w:br/>
        <w:t xml:space="preserve">   • Achieved 100% success rate across all crops</w:t>
      </w:r>
      <w:r>
        <w:br/>
        <w:t xml:space="preserve">   • Consistent R² values above 0.68 for all commodities</w:t>
      </w:r>
      <w:r>
        <w:br/>
        <w:t xml:space="preserve">   • Most reliable and predictable performance patterns</w:t>
      </w:r>
      <w:r>
        <w:br/>
        <w:br/>
        <w:t>Hybrid Model Successes:</w:t>
      </w:r>
      <w:r>
        <w:br/>
        <w:t xml:space="preserve">   • Beetroot: 29.4% MAE improvement with Refined Hybrid</w:t>
      </w:r>
      <w:r>
        <w:br/>
        <w:t xml:space="preserve">   • Carrot: 14.2% MAE improvement with Advanced Hybrid</w:t>
      </w:r>
      <w:r>
        <w:br/>
        <w:t xml:space="preserve">   • Demonstrated viability of SARIMA+ML combinations</w:t>
      </w:r>
      <w:r>
        <w:br/>
        <w:br/>
        <w:t>Identified Challenges:</w:t>
      </w:r>
      <w:r>
        <w:br/>
        <w:t xml:space="preserve">   • Crop-specific behavior requires tailored approaches</w:t>
      </w:r>
      <w:r>
        <w:br/>
        <w:t xml:space="preserve">   • Overfitting risks in complex ensemble models</w:t>
      </w:r>
      <w:r>
        <w:br/>
        <w:t xml:space="preserve">   • Data quality and quantity significantly impact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