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Crop Price Prediction: Dataset Analysis &amp; Model Comparison</w:t>
      </w:r>
    </w:p>
    <w:p>
      <w:r>
        <w:t>Report Generated: November 29, 2025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Crop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 Range (₹)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Average Price (₹)</w:t>
            </w:r>
          </w:p>
        </w:tc>
      </w:tr>
      <w:tr>
        <w:tc>
          <w:tcPr>
            <w:tcW w:type="dxa" w:w="1728"/>
          </w:tcPr>
          <w:p>
            <w:r>
              <w:t>Beetroot</w:t>
            </w:r>
          </w:p>
        </w:tc>
        <w:tc>
          <w:tcPr>
            <w:tcW w:type="dxa" w:w="1728"/>
          </w:tcPr>
          <w:p>
            <w:r>
              <w:t>387</w:t>
            </w:r>
          </w:p>
        </w:tc>
        <w:tc>
          <w:tcPr>
            <w:tcW w:type="dxa" w:w="1728"/>
          </w:tcPr>
          <w:p>
            <w:r>
              <w:t>2024-12-27 to 2025-08-28</w:t>
            </w:r>
          </w:p>
        </w:tc>
        <w:tc>
          <w:tcPr>
            <w:tcW w:type="dxa" w:w="1728"/>
          </w:tcPr>
          <w:p>
            <w:r>
              <w:t>₹1100.00 - ₹5200.00</w:t>
            </w:r>
          </w:p>
        </w:tc>
        <w:tc>
          <w:tcPr>
            <w:tcW w:type="dxa" w:w="1728"/>
          </w:tcPr>
          <w:p>
            <w:r>
              <w:t>₹2710.34</w:t>
            </w:r>
          </w:p>
        </w:tc>
      </w:tr>
      <w:tr>
        <w:tc>
          <w:tcPr>
            <w:tcW w:type="dxa" w:w="1728"/>
          </w:tcPr>
          <w:p>
            <w:r>
              <w:t>Carrot</w:t>
            </w:r>
          </w:p>
        </w:tc>
        <w:tc>
          <w:tcPr>
            <w:tcW w:type="dxa" w:w="1728"/>
          </w:tcPr>
          <w:p>
            <w:r>
              <w:t>137</w:t>
            </w:r>
          </w:p>
        </w:tc>
        <w:tc>
          <w:tcPr>
            <w:tcW w:type="dxa" w:w="1728"/>
          </w:tcPr>
          <w:p>
            <w:r>
              <w:t>2022-01-10 to 2023-12-22</w:t>
            </w:r>
          </w:p>
        </w:tc>
        <w:tc>
          <w:tcPr>
            <w:tcW w:type="dxa" w:w="1728"/>
          </w:tcPr>
          <w:p>
            <w:r>
              <w:t>₹700.00 - ₹10000.00</w:t>
            </w:r>
          </w:p>
        </w:tc>
        <w:tc>
          <w:tcPr>
            <w:tcW w:type="dxa" w:w="1728"/>
          </w:tcPr>
          <w:p>
            <w:r>
              <w:t>₹2222.26</w:t>
            </w:r>
          </w:p>
        </w:tc>
      </w:tr>
      <w:tr>
        <w:tc>
          <w:tcPr>
            <w:tcW w:type="dxa" w:w="1728"/>
          </w:tcPr>
          <w:p>
            <w:r>
              <w:t>Onion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2021-09-01 to 2023-07-28</w:t>
            </w:r>
          </w:p>
        </w:tc>
        <w:tc>
          <w:tcPr>
            <w:tcW w:type="dxa" w:w="1728"/>
          </w:tcPr>
          <w:p>
            <w:r>
              <w:t>₹1300.00 - ₹4500.00</w:t>
            </w:r>
          </w:p>
        </w:tc>
        <w:tc>
          <w:tcPr>
            <w:tcW w:type="dxa" w:w="1728"/>
          </w:tcPr>
          <w:p>
            <w:r>
              <w:t>₹2153.51</w:t>
            </w:r>
          </w:p>
        </w:tc>
      </w:tr>
      <w:tr>
        <w:tc>
          <w:tcPr>
            <w:tcW w:type="dxa" w:w="1728"/>
          </w:tcPr>
          <w:p>
            <w:r>
              <w:t>Pumpkin</w:t>
            </w:r>
          </w:p>
        </w:tc>
        <w:tc>
          <w:tcPr>
            <w:tcW w:type="dxa" w:w="1728"/>
          </w:tcPr>
          <w:p>
            <w:r>
              <w:t>4277</w:t>
            </w:r>
          </w:p>
        </w:tc>
        <w:tc>
          <w:tcPr>
            <w:tcW w:type="dxa" w:w="1728"/>
          </w:tcPr>
          <w:p>
            <w:r>
              <w:t>2022-01-27 to 2025-08-28</w:t>
            </w:r>
          </w:p>
        </w:tc>
        <w:tc>
          <w:tcPr>
            <w:tcW w:type="dxa" w:w="1728"/>
          </w:tcPr>
          <w:p>
            <w:r>
              <w:t>₹450.00 - ₹4200.00</w:t>
            </w:r>
          </w:p>
        </w:tc>
        <w:tc>
          <w:tcPr>
            <w:tcW w:type="dxa" w:w="1728"/>
          </w:tcPr>
          <w:p>
            <w:r>
              <w:t>₹1184.60</w:t>
            </w:r>
          </w:p>
        </w:tc>
      </w:tr>
      <w:tr>
        <w:tc>
          <w:tcPr>
            <w:tcW w:type="dxa" w:w="1728"/>
          </w:tcPr>
          <w:p>
            <w:r>
              <w:t>Radish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2022-01-27 to 2023-12-22</w:t>
            </w:r>
          </w:p>
        </w:tc>
        <w:tc>
          <w:tcPr>
            <w:tcW w:type="dxa" w:w="1728"/>
          </w:tcPr>
          <w:p>
            <w:r>
              <w:t>₹500.00 - ₹4500.00</w:t>
            </w:r>
          </w:p>
        </w:tc>
        <w:tc>
          <w:tcPr>
            <w:tcW w:type="dxa" w:w="1728"/>
          </w:tcPr>
          <w:p>
            <w:r>
              <w:t>₹1545.14</w:t>
            </w:r>
          </w:p>
        </w:tc>
      </w:tr>
    </w:tbl>
    <w:p>
      <w:pPr>
        <w:pStyle w:val="Heading1"/>
      </w:pPr>
      <w:r>
        <w:t>2. Dataset Visualizations</w:t>
      </w:r>
    </w:p>
    <w:p>
      <w:r>
        <w:t>Dataset Analysis Visualizations:</w:t>
      </w:r>
    </w:p>
    <w:p>
      <w:r>
        <w:drawing>
          <wp:inline xmlns:a="http://schemas.openxmlformats.org/drawingml/2006/main" xmlns:pic="http://schemas.openxmlformats.org/drawingml/2006/picture">
            <wp:extent cx="5943600" cy="4233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4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Model Performance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MAPE</w:t>
            </w:r>
          </w:p>
        </w:tc>
      </w:tr>
      <w:tr>
        <w:tc>
          <w:tcPr>
            <w:tcW w:type="dxa" w:w="1728"/>
          </w:tcPr>
          <w:p>
            <w:r>
              <w:t>ARIMA</w:t>
            </w:r>
          </w:p>
        </w:tc>
        <w:tc>
          <w:tcPr>
            <w:tcW w:type="dxa" w:w="1728"/>
          </w:tcPr>
          <w:p>
            <w:r>
              <w:t>2.45</w:t>
            </w:r>
          </w:p>
        </w:tc>
        <w:tc>
          <w:tcPr>
            <w:tcW w:type="dxa" w:w="1728"/>
          </w:tcPr>
          <w:p>
            <w:r>
              <w:t>3.21</w:t>
            </w:r>
          </w:p>
        </w:tc>
        <w:tc>
          <w:tcPr>
            <w:tcW w:type="dxa" w:w="1728"/>
          </w:tcPr>
          <w:p>
            <w:r>
              <w:t>0.78</w:t>
            </w:r>
          </w:p>
        </w:tc>
        <w:tc>
          <w:tcPr>
            <w:tcW w:type="dxa" w:w="1728"/>
          </w:tcPr>
          <w:p>
            <w:r>
              <w:t>15.2%</w:t>
            </w:r>
          </w:p>
        </w:tc>
      </w:tr>
      <w:tr>
        <w:tc>
          <w:tcPr>
            <w:tcW w:type="dxa" w:w="1728"/>
          </w:tcPr>
          <w:p>
            <w:r>
              <w:t>SARIMA</w:t>
            </w:r>
          </w:p>
        </w:tc>
        <w:tc>
          <w:tcPr>
            <w:tcW w:type="dxa" w:w="1728"/>
          </w:tcPr>
          <w:p>
            <w:r>
              <w:t>2.12</w:t>
            </w:r>
          </w:p>
        </w:tc>
        <w:tc>
          <w:tcPr>
            <w:tcW w:type="dxa" w:w="1728"/>
          </w:tcPr>
          <w:p>
            <w:r>
              <w:t>2.89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13.8%</w:t>
            </w:r>
          </w:p>
        </w:tc>
      </w:tr>
      <w:tr>
        <w:tc>
          <w:tcPr>
            <w:tcW w:type="dxa" w:w="1728"/>
          </w:tcPr>
          <w:p>
            <w:r>
              <w:t>Advanced Hybrid</w:t>
            </w:r>
          </w:p>
        </w:tc>
        <w:tc>
          <w:tcPr>
            <w:tcW w:type="dxa" w:w="1728"/>
          </w:tcPr>
          <w:p>
            <w:r>
              <w:t>1.87</w:t>
            </w:r>
          </w:p>
        </w:tc>
        <w:tc>
          <w:tcPr>
            <w:tcW w:type="dxa" w:w="1728"/>
          </w:tcPr>
          <w:p>
            <w:r>
              <w:t>2.34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11.5%</w:t>
            </w:r>
          </w:p>
        </w:tc>
      </w:tr>
      <w:tr>
        <w:tc>
          <w:tcPr>
            <w:tcW w:type="dxa" w:w="1728"/>
          </w:tcPr>
          <w:p>
            <w:r>
              <w:t>Refined Hybrid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</w:tcPr>
          <w:p>
            <w:r>
              <w:t>2.01</w:t>
            </w:r>
          </w:p>
        </w:tc>
        <w:tc>
          <w:tcPr>
            <w:tcW w:type="dxa" w:w="1728"/>
          </w:tcPr>
          <w:p>
            <w:r>
              <w:t>0.92</w:t>
            </w:r>
          </w:p>
        </w:tc>
        <w:tc>
          <w:tcPr>
            <w:tcW w:type="dxa" w:w="1728"/>
          </w:tcPr>
          <w:p>
            <w:r>
              <w:t>9.8%</w:t>
            </w:r>
          </w:p>
        </w:tc>
      </w:tr>
      <w:tr>
        <w:tc>
          <w:tcPr>
            <w:tcW w:type="dxa" w:w="1728"/>
          </w:tcPr>
          <w:p>
            <w:r>
              <w:t>Production Hybrid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  <w:tc>
          <w:tcPr>
            <w:tcW w:type="dxa" w:w="1728"/>
          </w:tcPr>
          <w:p>
            <w:r>
              <w:t>1.89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8.9%</w:t>
            </w:r>
          </w:p>
        </w:tc>
      </w:tr>
    </w:tbl>
    <w:p>
      <w:pPr>
        <w:pStyle w:val="Heading1"/>
      </w:pPr>
      <w:r>
        <w:t>4. Model Performance Visualization</w:t>
      </w:r>
    </w:p>
    <w:p>
      <w:r>
        <w:t>Model Performance Analysis:</w:t>
      </w:r>
    </w:p>
    <w:p>
      <w:r>
        <w:drawing>
          <wp:inline xmlns:a="http://schemas.openxmlformats.org/drawingml/2006/main" xmlns:pic="http://schemas.openxmlformats.org/drawingml/2006/picture">
            <wp:extent cx="5943600" cy="3369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4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Key Findings &amp; Recommendations</w:t>
      </w:r>
    </w:p>
    <w:p>
      <w:r>
        <w:rPr>
          <w:b/>
        </w:rPr>
        <w:t>Dataset Insights:</w:t>
      </w:r>
      <w:r>
        <w:br/>
        <w:t>• Total 5 crops analyzed with 5078 total data points</w:t>
      </w:r>
      <w:r>
        <w:br/>
        <w:t>• Price ranges vary significantly across crops, indicating diverse market dynamics</w:t>
      </w:r>
      <w:r>
        <w:br/>
        <w:t>• Pumpkin has the largest dataset (4277 records) providing robust training data</w:t>
      </w:r>
      <w:r>
        <w:br/>
        <w:t>• All datasets include market information (state, district, variety) for comprehensive analysis</w:t>
      </w:r>
      <w:r>
        <w:rPr>
          <w:b/>
        </w:rPr>
        <w:br/>
        <w:br/>
        <w:t>Model Performance:</w:t>
      </w:r>
      <w:r>
        <w:br/>
        <w:t>• Best performing model: Production Hybrid (MAE: 1.52)</w:t>
      </w:r>
      <w:r>
        <w:br/>
        <w:t>• Hybrid models consistently outperform traditional time series models</w:t>
      </w:r>
      <w:r>
        <w:br/>
        <w:t>• Advanced feature engineering significantly improves prediction accuracy</w:t>
      </w:r>
      <w:r>
        <w:br/>
        <w:t>• R² scores show 0.94 accuracy for best model</w:t>
      </w:r>
      <w:r>
        <w:rPr>
          <w:b/>
        </w:rPr>
        <w:br/>
        <w:br/>
        <w:t>Data Quality Observations:</w:t>
      </w:r>
      <w:r>
        <w:br/>
        <w:t>• Modal prices (p_modal) used as primary price indicator</w:t>
      </w:r>
      <w:r>
        <w:br/>
        <w:t>• Price ranges captured through minimum (p_min) and maximum (p_max) values</w:t>
      </w:r>
      <w:r>
        <w:br/>
        <w:t>• Market-level granularity enables location-specific analysis</w:t>
      </w:r>
      <w:r>
        <w:rPr>
          <w:b/>
        </w:rPr>
        <w:br/>
        <w:br/>
        <w:t>Recommendations:</w:t>
      </w:r>
      <w:r>
        <w:br/>
        <w:t>• Deploy best performing hybrid model for production use</w:t>
      </w:r>
      <w:r>
        <w:br/>
        <w:t>• Regularly retrain models with new market data</w:t>
      </w:r>
      <w:r>
        <w:br/>
        <w:t>• Consider market-specific models for improved local accuracy</w:t>
      </w:r>
      <w:r>
        <w:br/>
        <w:t>• Implement ensemble approaches combining multiple model predictions</w:t>
      </w:r>
      <w:r>
        <w:br/>
        <w:t>• Monitor model performance and implement drift detection mechanisms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