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szCs w:val="24"/>
        </w:rPr>
        <w:t xml:space="preserve">Neurotecnologias e direitos fundamentais: limites constitucionais à manipulação cognitiva</w:t>
      </w:r>
    </w:p>
    <w:p>
      <w:pPr/>
    </w:p>
    <w:p>
      <w:pPr>
        <w:jc w:val="center"/>
      </w:pPr>
      <w:r>
        <w:rPr>
          <w:i/>
          <w:sz w:val="24"/>
          <w:szCs w:val="24"/>
        </w:rPr>
        <w:t xml:space="preserve">Neurotechnologies and fundamental rights: constitutional limits to cognitive manipulation</w:t>
      </w:r>
    </w:p>
    <w:p>
      <w:pPr/>
    </w:p>
    <w:p>
      <w:pPr>
        <w:jc w:val="right"/>
      </w:pPr>
      <w:r>
        <w:rPr>
          <w:sz w:val="24"/>
          <w:szCs w:val="24"/>
        </w:rPr>
        <w:t xml:space="preserve">Kalyl Lamarck Silvério Pereira¹²³⁴⁵⁶⁷⁸⁹</w:t>
      </w:r>
    </w:p>
    <w:p>
      <w:pPr/>
    </w:p>
    <w:p>
      <w:pPr/>
      <w:r>
        <w:rPr>
          <w:b/>
          <w:sz w:val="24"/>
          <w:szCs w:val="24"/>
        </w:rPr>
        <w:t xml:space="preserve">Resumo</w:t>
      </w:r>
    </w:p>
    <w:p>
      <w:pPr>
        <w:jc w:val="both"/>
      </w:pPr>
      <w:r>
        <w:rPr>
          <w:sz w:val="24"/>
          <w:szCs w:val="24"/>
        </w:rPr>
        <w:t xml:space="preserve">O presente artigo analisa os limites constitucionais impostos ao uso de neurotecnologias para fins de manipulação cognitiva. A partir do marco teórico dos direitos de personalidade e da dignidade da pessoa humana, examina-se a compatibilidade dessas tecnologias com os princípios inscritos na Constituição Federal de 1988. Conclui-se que a ausência de regulação específica gera lacuna normativa incompatível com o Estado Democrático de Direito.</w:t>
      </w:r>
    </w:p>
    <w:p>
      <w:pPr/>
      <w:r>
        <w:rPr>
          <w:sz w:val="24"/>
          <w:szCs w:val="24"/>
        </w:rPr>
        <w:t xml:space="preserve">Palavras-chave: neurotecnologias; direitos fundamentais; dignidade humana; manipulação cognitiva; constitucionalismo.</w:t>
      </w:r>
    </w:p>
    <w:p>
      <w:pPr/>
    </w:p>
    <w:p>
      <w:pPr/>
      <w:r>
        <w:rPr>
          <w:b/>
          <w:i/>
          <w:sz w:val="24"/>
          <w:szCs w:val="24"/>
        </w:rPr>
        <w:t xml:space="preserve">Abstract</w:t>
      </w:r>
    </w:p>
    <w:p>
      <w:pPr>
        <w:jc w:val="both"/>
      </w:pPr>
      <w:r>
        <w:rPr>
          <w:i/>
          <w:sz w:val="24"/>
          <w:szCs w:val="24"/>
        </w:rPr>
        <w:t xml:space="preserve">This article analyzes the constitutional limits imposed on the use of neurotechnologies for cognitive manipulation purposes. Drawing on personality rights and human dignity theory, it examines the compatibility of these technologies with the principles enshrined in the 1988 Federal Constitution.</w:t>
      </w:r>
    </w:p>
    <w:p>
      <w:pPr/>
      <w:r>
        <w:rPr>
          <w:i/>
          <w:sz w:val="24"/>
          <w:szCs w:val="24"/>
        </w:rPr>
        <w:t xml:space="preserve">Keywords: neurotechnologies; fundamental rights; human dignity; cognitive manipulation; constitutionalism.</w:t>
      </w:r>
    </w:p>
    <w:p>
      <w:pPr/>
    </w:p>
    <w:p>
      <w:pPr>
        <w:jc w:val="left"/>
        <w:spacing w:before="360" w:after="240"/>
        <w:keepNext/>
      </w:pPr>
      <w:r>
        <w:rPr>
          <w:b/>
          <w:sz w:val="24"/>
          <w:szCs w:val="24"/>
        </w:rPr>
        <w:t xml:space="preserve">1 INTRODUÇÃO</w:t>
      </w:r>
    </w:p>
    <w:p>
      <w:pPr>
        <w:jc w:val="both"/>
        <w:ind w:firstLine="708"/>
      </w:pPr>
      <w:r>
        <w:rPr>
          <w:sz w:val="24"/>
          <w:szCs w:val="24"/>
        </w:rPr>
        <w:t xml:space="preserve">O avanço das neurotecnologias impõe desafios inéditos ao constitucionalismo contemporâneo.</w:t>
      </w:r>
    </w:p>
    <w:p>
      <w:pPr>
        <w:jc w:val="both"/>
        <w:ind w:firstLine="708"/>
      </w:pPr>
      <w:r>
        <w:rPr>
          <w:sz w:val="24"/>
          <w:szCs w:val="24"/>
        </w:rPr>
        <w:t xml:space="preserve">A capacidade de interfacear diretamente com o sistema nervoso central coloca em xeque garantias clássicas da liberdade individual.</w:t>
      </w:r>
    </w:p>
    <w:p>
      <w:pPr>
        <w:jc w:val="left"/>
        <w:spacing w:before="360" w:after="240"/>
        <w:keepNext/>
      </w:pPr>
      <w:r>
        <w:rPr>
          <w:b/>
          <w:sz w:val="24"/>
          <w:szCs w:val="24"/>
        </w:rPr>
        <w:t xml:space="preserve">2 NEUROTECNOLOGIAS E O MARCO CONSTITUCIONAL</w:t>
      </w:r>
    </w:p>
    <w:p>
      <w:pPr>
        <w:jc w:val="both"/>
        <w:ind w:firstLine="708"/>
      </w:pPr>
      <w:r>
        <w:rPr>
          <w:sz w:val="24"/>
          <w:szCs w:val="24"/>
        </w:rPr>
        <w:t xml:space="preserve">A Constituição Federal de 1988 não previu expressamente as neurotecnologias, mas seus princípios são suficientes para delimitar o espaço legítimo de sua aplicação.</w:t>
      </w:r>
    </w:p>
    <w:p>
      <w:pPr>
        <w:jc w:val="left"/>
        <w:spacing w:before="240" w:after="120"/>
        <w:keepNext/>
      </w:pPr>
      <w:r>
        <w:rPr>
          <w:b/>
          <w:sz w:val="24"/>
          <w:szCs w:val="24"/>
        </w:rPr>
        <w:t xml:space="preserve">2.1 Dignidade da pessoa humana como limite</w:t>
      </w:r>
    </w:p>
    <w:p>
      <w:pPr>
        <w:jc w:val="both"/>
        <w:ind w:firstLine="708"/>
      </w:pPr>
      <w:r>
        <w:rPr>
          <w:sz w:val="24"/>
          <w:szCs w:val="24"/>
        </w:rPr>
        <w:t xml:space="preserve">O artigo 1º, inciso III, da CF/88 consagra a dignidade da pessoa humana como fundamento da República.</w:t>
      </w:r>
    </w:p>
    <w:p>
      <w:pPr>
        <w:jc w:val="left"/>
        <w:spacing w:before="360" w:after="240"/>
        <w:keepNext/>
      </w:pPr>
      <w:r>
        <w:rPr>
          <w:b/>
          <w:sz w:val="24"/>
          <w:szCs w:val="24"/>
        </w:rPr>
        <w:t xml:space="preserve">3 CONCLUSÃO</w:t>
      </w:r>
    </w:p>
    <w:p>
      <w:pPr>
        <w:jc w:val="both"/>
        <w:ind w:firstLine="708"/>
      </w:pPr>
      <w:r>
        <w:rPr>
          <w:sz w:val="24"/>
          <w:szCs w:val="24"/>
        </w:rPr>
        <w:t xml:space="preserve">Conclui-se que o ordenamento jurídico brasileiro carece de regulação específica sobre neurotecnologias aplicadas à cognição humana.</w:t>
      </w:r>
    </w:p>
    <w:p>
      <w:pPr>
        <w:jc w:val="left"/>
        <w:spacing w:before="360" w:after="240"/>
        <w:keepNext/>
      </w:pPr>
      <w:r>
        <w:rPr>
          <w:b/>
          <w:sz w:val="24"/>
          <w:szCs w:val="24"/>
        </w:rPr>
        <w:t xml:space="preserve">REFERÊNCIAS</w:t>
      </w:r>
    </w:p>
    <w:p>
      <w:pPr>
        <w:jc w:val="left"/>
      </w:pPr>
      <w:r>
        <w:rPr>
          <w:sz w:val="24"/>
          <w:szCs w:val="24"/>
        </w:rPr>
        <w:t xml:space="preserve">BRASIL. Constituição da República Federativa do Brasil de 1988. Brasília: Senado Federal, 1988.</w:t>
      </w:r>
    </w:p>
    <w:p>
      <w:pPr>
        <w:jc w:val="left"/>
      </w:pPr>
      <w:r>
        <w:rPr>
          <w:sz w:val="24"/>
          <w:szCs w:val="24"/>
        </w:rPr>
        <w:t xml:space="preserve">SARLET, Ingo Wolfgang. Dignidade da pessoa humana e direitos fundamentais. 10. ed. Porto Alegre: Livraria do Advogado, 2015.</w:t>
      </w:r>
    </w:p>
    <w:sectPr w:rsidR="00FC693F" w:rsidRPr="0006063C" w:rsidSect="00034616">
      <w:head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rPr>
          <w:sz w:val="20"/>
        </w:rPr>
      </w:pPr>
      <w:r>
        <w:rPr>
          <w:vertAlign w:val="superscript"/>
          <w:sz w:val="20"/>
        </w:rPr>
        <w:footnoteRef/>
      </w:r>
      <w:r>
        <w:rPr>
          <w:sz w:val="20"/>
        </w:rPr>
        <w:t xml:space="preserve"> Doutoranda em Direito Constitucional pelo Programa de Pos-Graduacao em Direito da Universidade de Fortaleza (Unifor). Servidora do Tribunal Regional Eleitoral do Ceara (TRE/CE). Fortaleza/CE, Brasil. E-mail: [A CONFIRMAR]. ORCID: https://orcid.org/0000-0002-2679-3948. Curriculo Lattes: [A CONFIRMAR; provavel http://lattes.cnpq.br/2735892712231659].</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