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lossary"/>
    <w:p>
      <w:pPr>
        <w:pStyle w:val="Heading1"/>
      </w:pPr>
      <w:r>
        <w:t xml:space="preserve">Glossary</w:t>
      </w:r>
    </w:p>
    <w:p>
      <w:pPr>
        <w:pStyle w:val="FirstParagraph"/>
      </w:pPr>
      <w:r>
        <w:rPr>
          <w:bCs/>
          <w:b/>
        </w:rPr>
        <w:t xml:space="preserve">Active binding.</w:t>
      </w:r>
      <w:r>
        <w:t xml:space="preserve"> </w:t>
      </w:r>
      <w:r>
        <w:t xml:space="preserve">Physical-binding mechanism in which the asset holds a secret</w:t>
      </w:r>
      <w:r>
        <w:t xml:space="preserve"> </w:t>
      </w:r>
      <w:r>
        <w:t xml:space="preserve">(a private key in tamper-resistant hardware) and proves possession by</w:t>
      </w:r>
      <w:r>
        <w:t xml:space="preserve"> </w:t>
      </w:r>
      <w:r>
        <w:t xml:space="preserve">challenge–response. Applicable to assets with electronics and power. (§3.3)</w:t>
      </w:r>
    </w:p>
    <w:p>
      <w:pPr>
        <w:pStyle w:val="BodyText"/>
      </w:pPr>
      <w:r>
        <w:rPr>
          <w:bCs/>
          <w:b/>
        </w:rPr>
        <w:t xml:space="preserve">Anchoring.</w:t>
      </w:r>
      <w:r>
        <w:t xml:space="preserve"> </w:t>
      </w:r>
      <w:r>
        <w:t xml:space="preserve">Periodic commitment of a digest of consortium-ledger state into</w:t>
      </w:r>
      <w:r>
        <w:t xml:space="preserve"> </w:t>
      </w:r>
      <w:r>
        <w:t xml:space="preserve">one or more public blockchains, so that later rewriting of consortium history is</w:t>
      </w:r>
      <w:r>
        <w:t xml:space="preserve"> </w:t>
      </w:r>
      <w:r>
        <w:t xml:space="preserve">detectable against a record the consortium does not control. (§4.4)</w:t>
      </w:r>
    </w:p>
    <w:p>
      <w:pPr>
        <w:pStyle w:val="BodyText"/>
      </w:pPr>
      <w:r>
        <w:rPr>
          <w:bCs/>
          <w:b/>
        </w:rPr>
        <w:t xml:space="preserve">Asset DID.</w:t>
      </w:r>
      <w:r>
        <w:t xml:space="preserve"> </w:t>
      </w:r>
      <w:r>
        <w:t xml:space="preserve">Decentralized identifier registered for a single physical unit,</w:t>
      </w:r>
      <w:r>
        <w:t xml:space="preserve"> </w:t>
      </w:r>
      <w:r>
        <w:t xml:space="preserve">resolvable to a DID document holding binding references, controller history, and</w:t>
      </w:r>
      <w:r>
        <w:t xml:space="preserve"> </w:t>
      </w:r>
      <w:r>
        <w:t xml:space="preserve">the ledger address of the lifecycle record. (§3.5)</w:t>
      </w:r>
    </w:p>
    <w:p>
      <w:pPr>
        <w:pStyle w:val="BodyText"/>
      </w:pPr>
      <w:r>
        <w:rPr>
          <w:bCs/>
          <w:b/>
        </w:rPr>
        <w:t xml:space="preserve">Attributability.</w:t>
      </w:r>
      <w:r>
        <w:t xml:space="preserve"> </w:t>
      </w:r>
      <w:r>
        <w:t xml:space="preserve">Property that every statement attached to an asset identity</w:t>
      </w:r>
      <w:r>
        <w:t xml:space="preserve"> </w:t>
      </w:r>
      <w:r>
        <w:t xml:space="preserve">records who made it and cannot be silently altered or deleted afterward. One of</w:t>
      </w:r>
      <w:r>
        <w:t xml:space="preserve"> </w:t>
      </w:r>
      <w:r>
        <w:t xml:space="preserve">the four identity properties. (§1.2)</w:t>
      </w:r>
    </w:p>
    <w:p>
      <w:pPr>
        <w:pStyle w:val="BodyText"/>
      </w:pPr>
      <w:r>
        <w:rPr>
          <w:bCs/>
          <w:b/>
        </w:rPr>
        <w:t xml:space="preserve">Bindability / binding.</w:t>
      </w:r>
      <w:r>
        <w:t xml:space="preserve"> </w:t>
      </w:r>
      <w:r>
        <w:t xml:space="preserve">Property that a party holding the physical asset can</w:t>
      </w:r>
      <w:r>
        <w:t xml:space="preserve"> </w:t>
      </w:r>
      <w:r>
        <w:t xml:space="preserve">verify it is the unit its identity record designates. Implemented actively</w:t>
      </w:r>
      <w:r>
        <w:t xml:space="preserve"> </w:t>
      </w:r>
      <w:r>
        <w:t xml:space="preserve">(device keys) or passively (structural fingerprints). (§1.2, Ch. 3, 6)</w:t>
      </w:r>
    </w:p>
    <w:p>
      <w:pPr>
        <w:pStyle w:val="BodyText"/>
      </w:pPr>
      <w:r>
        <w:rPr>
          <w:bCs/>
          <w:b/>
        </w:rPr>
        <w:t xml:space="preserve">Challenge-parameterized measurement.</w:t>
      </w:r>
      <w:r>
        <w:t xml:space="preserve"> </w:t>
      </w:r>
      <w:r>
        <w:t xml:space="preserve">Verification protocol in which the</w:t>
      </w:r>
      <w:r>
        <w:t xml:space="preserve"> </w:t>
      </w:r>
      <w:r>
        <w:t xml:space="preserve">measurement operating point (bias current, region subset) is drawn at random from</w:t>
      </w:r>
      <w:r>
        <w:t xml:space="preserve"> </w:t>
      </w:r>
      <w:r>
        <w:t xml:space="preserve">a challenge space fixed at enrollment, so static replicas fail off-challenge.</w:t>
      </w:r>
      <w:r>
        <w:t xml:space="preserve"> </w:t>
      </w:r>
      <w:r>
        <w:t xml:space="preserve">(§6.4)</w:t>
      </w:r>
    </w:p>
    <w:p>
      <w:pPr>
        <w:pStyle w:val="BodyText"/>
      </w:pPr>
      <w:r>
        <w:rPr>
          <w:bCs/>
          <w:b/>
        </w:rPr>
        <w:t xml:space="preserve">Cohort monitor.</w:t>
      </w:r>
      <w:r>
        <w:t xml:space="preserve"> </w:t>
      </w:r>
      <w:r>
        <w:t xml:space="preserve">Read-side analytics service that flags assets whose condition</w:t>
      </w:r>
      <w:r>
        <w:t xml:space="preserve"> </w:t>
      </w:r>
      <w:r>
        <w:t xml:space="preserve">or event cadence departs from their production or deployment cohort; holds no</w:t>
      </w:r>
      <w:r>
        <w:t xml:space="preserve"> </w:t>
      </w:r>
      <w:r>
        <w:t xml:space="preserve">write authority. (§8.4, §11.2)</w:t>
      </w:r>
    </w:p>
    <w:p>
      <w:pPr>
        <w:pStyle w:val="BodyText"/>
      </w:pPr>
      <w:r>
        <w:rPr>
          <w:bCs/>
          <w:b/>
        </w:rPr>
        <w:t xml:space="preserve">Completeness problem.</w:t>
      </w:r>
      <w:r>
        <w:t xml:space="preserve"> </w:t>
      </w:r>
      <w:r>
        <w:t xml:space="preserve">The limitation that a ledger proves what was recorded,</w:t>
      </w:r>
      <w:r>
        <w:t xml:space="preserve"> </w:t>
      </w:r>
      <w:r>
        <w:t xml:space="preserve">never that everything that happened was recorded; addressed by incentive design,</w:t>
      </w:r>
      <w:r>
        <w:t xml:space="preserve"> </w:t>
      </w:r>
      <w:r>
        <w:t xml:space="preserve">not cryptography. (§5.7)</w:t>
      </w:r>
    </w:p>
    <w:p>
      <w:pPr>
        <w:pStyle w:val="BodyText"/>
      </w:pPr>
      <w:r>
        <w:rPr>
          <w:bCs/>
          <w:b/>
        </w:rPr>
        <w:t xml:space="preserve">Condition layer.</w:t>
      </w:r>
      <w:r>
        <w:t xml:space="preserve"> </w:t>
      </w:r>
      <w:r>
        <w:t xml:space="preserve">The evolving component of a structural fingerprint (crack</w:t>
      </w:r>
      <w:r>
        <w:t xml:space="preserve"> </w:t>
      </w:r>
      <w:r>
        <w:t xml:space="preserve">networks, solder-bond drift), separated at enrollment from the stable layer and</w:t>
      </w:r>
      <w:r>
        <w:t xml:space="preserve"> </w:t>
      </w:r>
      <w:r>
        <w:t xml:space="preserve">used as the baseline condition record. (§6.3)</w:t>
      </w:r>
    </w:p>
    <w:p>
      <w:pPr>
        <w:pStyle w:val="BodyText"/>
      </w:pPr>
      <w:r>
        <w:rPr>
          <w:bCs/>
          <w:b/>
        </w:rPr>
        <w:t xml:space="preserve">Consortium ledger.</w:t>
      </w:r>
      <w:r>
        <w:t xml:space="preserve"> </w:t>
      </w:r>
      <w:r>
        <w:t xml:space="preserve">Permissioned, BFT-consensus ledger operated by identified</w:t>
      </w:r>
      <w:r>
        <w:t xml:space="preserve"> </w:t>
      </w:r>
      <w:r>
        <w:t xml:space="preserve">industry parties (manufacturers, operators, insurers, certifiers); the</w:t>
      </w:r>
      <w:r>
        <w:t xml:space="preserve"> </w:t>
      </w:r>
      <w:r>
        <w:t xml:space="preserve">operational record layer of the architecture. (§2.4)</w:t>
      </w:r>
    </w:p>
    <w:p>
      <w:pPr>
        <w:pStyle w:val="BodyText"/>
      </w:pPr>
      <w:r>
        <w:rPr>
          <w:bCs/>
          <w:b/>
        </w:rPr>
        <w:t xml:space="preserve">Corroboration class.</w:t>
      </w:r>
      <w:r>
        <w:t xml:space="preserve"> </w:t>
      </w:r>
      <w:r>
        <w:t xml:space="preserve">Per-event-type requirement (Class A: submitter only;</w:t>
      </w:r>
      <w:r>
        <w:t xml:space="preserve"> </w:t>
      </w:r>
      <w:r>
        <w:t xml:space="preserve">B: plus instrument attestation; C: plus adverse or independent co-signature)</w:t>
      </w:r>
      <w:r>
        <w:t xml:space="preserve"> </w:t>
      </w:r>
      <w:r>
        <w:t xml:space="preserve">enforced at write time. (§4.5, §5.3)</w:t>
      </w:r>
    </w:p>
    <w:p>
      <w:pPr>
        <w:pStyle w:val="BodyText"/>
      </w:pPr>
      <w:r>
        <w:rPr>
          <w:bCs/>
          <w:b/>
        </w:rPr>
        <w:t xml:space="preserve">Digest.</w:t>
      </w:r>
      <w:r>
        <w:t xml:space="preserve"> </w:t>
      </w:r>
      <w:r>
        <w:t xml:space="preserve">Output of a cryptographic hash function over a canonical</w:t>
      </w:r>
      <w:r>
        <w:t xml:space="preserve"> </w:t>
      </w:r>
      <w:r>
        <w:t xml:space="preserve">serialization; the on-chain commitment to an off-chain payload. (§2.6, §4.2)</w:t>
      </w:r>
    </w:p>
    <w:p>
      <w:pPr>
        <w:pStyle w:val="BodyText"/>
      </w:pPr>
      <w:r>
        <w:rPr>
          <w:bCs/>
          <w:b/>
        </w:rPr>
        <w:t xml:space="preserve">Digital product passport (DPP).</w:t>
      </w:r>
      <w:r>
        <w:t xml:space="preserve"> </w:t>
      </w:r>
      <w:r>
        <w:t xml:space="preserve">Regulatory per-unit record of identity,</w:t>
      </w:r>
      <w:r>
        <w:t xml:space="preserve"> </w:t>
      </w:r>
      <w:r>
        <w:t xml:space="preserve">composition, and lifecycle data with tiered access, mandated for batteries by</w:t>
      </w:r>
      <w:r>
        <w:t xml:space="preserve"> </w:t>
      </w:r>
      <w:r>
        <w:t xml:space="preserve">Regulation (EU) 2023/1542 and extended by the ESPR. (§10.4, §12.2)</w:t>
      </w:r>
    </w:p>
    <w:p>
      <w:pPr>
        <w:pStyle w:val="BodyText"/>
      </w:pPr>
      <w:r>
        <w:rPr>
          <w:bCs/>
          <w:b/>
        </w:rPr>
        <w:t xml:space="preserve">Enrollment.</w:t>
      </w:r>
      <w:r>
        <w:t xml:space="preserve"> </w:t>
      </w:r>
      <w:r>
        <w:t xml:space="preserve">The trusted measurement at which a structural fingerprint is</w:t>
      </w:r>
      <w:r>
        <w:t xml:space="preserve"> </w:t>
      </w:r>
      <w:r>
        <w:t xml:space="preserve">captured and committed to the identity record; the system’s trusted setup.</w:t>
      </w:r>
      <w:r>
        <w:t xml:space="preserve"> </w:t>
      </w:r>
      <w:r>
        <w:t xml:space="preserve">(§3.4, §4.3)</w:t>
      </w:r>
    </w:p>
    <w:p>
      <w:pPr>
        <w:pStyle w:val="BodyText"/>
      </w:pPr>
      <w:r>
        <w:rPr>
          <w:bCs/>
          <w:b/>
        </w:rPr>
        <w:t xml:space="preserve">Evidence DAG.</w:t>
      </w:r>
      <w:r>
        <w:t xml:space="preserve"> </w:t>
      </w:r>
      <w:r>
        <w:t xml:space="preserve">The directed acyclic graph formed by events referencing prior</w:t>
      </w:r>
      <w:r>
        <w:t xml:space="preserve"> </w:t>
      </w:r>
      <w:r>
        <w:t xml:space="preserve">events (</w:t>
      </w:r>
      <w:r>
        <w:rPr>
          <w:rStyle w:val="VerbatimChar"/>
        </w:rPr>
        <w:t xml:space="preserve">prior_refs</w:t>
      </w:r>
      <w:r>
        <w:t xml:space="preserve">), traversed by verifiers instead of replaying an asset’s</w:t>
      </w:r>
      <w:r>
        <w:t xml:space="preserve"> </w:t>
      </w:r>
      <w:r>
        <w:t xml:space="preserve">whole history. (§5.4)</w:t>
      </w:r>
    </w:p>
    <w:p>
      <w:pPr>
        <w:pStyle w:val="BodyText"/>
      </w:pPr>
      <w:r>
        <w:rPr>
          <w:bCs/>
          <w:b/>
        </w:rPr>
        <w:t xml:space="preserve">Evidential record.</w:t>
      </w:r>
      <w:r>
        <w:t xml:space="preserve"> </w:t>
      </w:r>
      <w:r>
        <w:t xml:space="preserve">A sparse, append-only, multi-party record intended as</w:t>
      </w:r>
      <w:r>
        <w:t xml:space="preserve"> </w:t>
      </w:r>
      <w:r>
        <w:t xml:space="preserve">evidence — as distinct from an operational digital twin. (§3.2)</w:t>
      </w:r>
    </w:p>
    <w:p>
      <w:pPr>
        <w:pStyle w:val="BodyText"/>
      </w:pPr>
      <w:r>
        <w:rPr>
          <w:bCs/>
          <w:b/>
        </w:rPr>
        <w:t xml:space="preserve">Garbage-in permanence.</w:t>
      </w:r>
      <w:r>
        <w:t xml:space="preserve"> </w:t>
      </w:r>
      <w:r>
        <w:t xml:space="preserve">The failure mode in which a ledger immutably preserves</w:t>
      </w:r>
      <w:r>
        <w:t xml:space="preserve"> </w:t>
      </w:r>
      <w:r>
        <w:t xml:space="preserve">false inputs; the reason oracle and binding design dominate ledger design. (§1.5,</w:t>
      </w:r>
      <w:r>
        <w:t xml:space="preserve"> </w:t>
      </w:r>
      <w:r>
        <w:t xml:space="preserve">§2.1)</w:t>
      </w:r>
    </w:p>
    <w:p>
      <w:pPr>
        <w:pStyle w:val="BodyText"/>
      </w:pPr>
      <w:r>
        <w:rPr>
          <w:bCs/>
          <w:b/>
        </w:rPr>
        <w:t xml:space="preserve">Ghost-shift production.</w:t>
      </w:r>
      <w:r>
        <w:t xml:space="preserve"> </w:t>
      </w:r>
      <w:r>
        <w:t xml:space="preserve">Units manufactured on genuine tooling outside</w:t>
      </w:r>
      <w:r>
        <w:t xml:space="preserve"> </w:t>
      </w:r>
      <w:r>
        <w:t xml:space="preserve">contracted runs, escaping the quality system while carrying genuine branding.</w:t>
      </w:r>
      <w:r>
        <w:t xml:space="preserve"> </w:t>
      </w:r>
      <w:r>
        <w:t xml:space="preserve">(§1.4.1, §4.3)</w:t>
      </w:r>
    </w:p>
    <w:p>
      <w:pPr>
        <w:pStyle w:val="BodyText"/>
      </w:pPr>
      <w:r>
        <w:rPr>
          <w:bCs/>
          <w:b/>
        </w:rPr>
        <w:t xml:space="preserve">Identity retirement / laundering.</w:t>
      </w:r>
      <w:r>
        <w:t xml:space="preserve"> </w:t>
      </w:r>
      <w:r>
        <w:t xml:space="preserve">Attack family in which good identities are</w:t>
      </w:r>
      <w:r>
        <w:t xml:space="preserve"> </w:t>
      </w:r>
      <w:r>
        <w:t xml:space="preserve">falsely terminated (or units re-enrolled with clean slates) to escape recorded</w:t>
      </w:r>
      <w:r>
        <w:t xml:space="preserve"> </w:t>
      </w:r>
      <w:r>
        <w:t xml:space="preserve">history. (§8.3-F4)</w:t>
      </w:r>
    </w:p>
    <w:p>
      <w:pPr>
        <w:pStyle w:val="BodyText"/>
      </w:pPr>
      <w:r>
        <w:rPr>
          <w:bCs/>
          <w:b/>
        </w:rPr>
        <w:t xml:space="preserve">Lifecycle state machine.</w:t>
      </w:r>
      <w:r>
        <w:t xml:space="preserve"> </w:t>
      </w:r>
      <w:r>
        <w:t xml:space="preserve">The nine-state model (Registered through Recycled)</w:t>
      </w:r>
      <w:r>
        <w:t xml:space="preserve"> </w:t>
      </w:r>
      <w:r>
        <w:t xml:space="preserve">whose transitions are effected only by schema-conformant ledger events. (§5.2)</w:t>
      </w:r>
    </w:p>
    <w:p>
      <w:pPr>
        <w:pStyle w:val="BodyText"/>
      </w:pPr>
      <w:r>
        <w:rPr>
          <w:bCs/>
          <w:b/>
        </w:rPr>
        <w:t xml:space="preserve">Merkle aggregation / batching.</w:t>
      </w:r>
      <w:r>
        <w:t xml:space="preserve"> </w:t>
      </w:r>
      <w:r>
        <w:t xml:space="preserve">Committing a batch of records via a single</w:t>
      </w:r>
      <w:r>
        <w:t xml:space="preserve"> </w:t>
      </w:r>
      <w:r>
        <w:t xml:space="preserve">on-chain Merkle root while preserving per-unit provability by inclusion proof.</w:t>
      </w:r>
      <w:r>
        <w:t xml:space="preserve"> </w:t>
      </w:r>
      <w:r>
        <w:t xml:space="preserve">(§2.2, §7.2)</w:t>
      </w:r>
    </w:p>
    <w:p>
      <w:pPr>
        <w:pStyle w:val="BodyText"/>
      </w:pPr>
      <w:r>
        <w:rPr>
          <w:bCs/>
          <w:b/>
        </w:rPr>
        <w:t xml:space="preserve">Mosca’s inequality.</w:t>
      </w:r>
      <w:r>
        <w:t xml:space="preserve"> </w:t>
      </w:r>
      <w:r>
        <w:t xml:space="preserve">Migration-timing rule: act now if data lifetime plus</w:t>
      </w:r>
      <w:r>
        <w:t xml:space="preserve"> </w:t>
      </w:r>
      <w:r>
        <w:t xml:space="preserve">migration time exceeds time to threat arrival. (§9.2)</w:t>
      </w:r>
    </w:p>
    <w:p>
      <w:pPr>
        <w:pStyle w:val="BodyText"/>
      </w:pPr>
      <w:r>
        <w:rPr>
          <w:bCs/>
          <w:b/>
        </w:rPr>
        <w:t xml:space="preserve">NV magnetometry.</w:t>
      </w:r>
      <w:r>
        <w:t xml:space="preserve"> </w:t>
      </w:r>
      <w:r>
        <w:t xml:space="preserve">Magnetic-field imaging using nitrogen-vacancy centers in</w:t>
      </w:r>
      <w:r>
        <w:t xml:space="preserve"> </w:t>
      </w:r>
      <w:r>
        <w:t xml:space="preserve">diamond; inverted to current-density maps revealing defect structure in PV</w:t>
      </w:r>
      <w:r>
        <w:t xml:space="preserve"> </w:t>
      </w:r>
      <w:r>
        <w:t xml:space="preserve">cells. (§6.2)</w:t>
      </w:r>
    </w:p>
    <w:p>
      <w:pPr>
        <w:pStyle w:val="BodyText"/>
      </w:pPr>
      <w:r>
        <w:rPr>
          <w:bCs/>
          <w:b/>
        </w:rPr>
        <w:t xml:space="preserve">Oracle.</w:t>
      </w:r>
      <w:r>
        <w:t xml:space="preserve"> </w:t>
      </w:r>
      <w:r>
        <w:t xml:space="preserve">Any mechanism introducing external facts onto the ledger; in this</w:t>
      </w:r>
      <w:r>
        <w:t xml:space="preserve"> </w:t>
      </w:r>
      <w:r>
        <w:t xml:space="preserve">architecture, a signed computation chain from instrument to contract. (§2.5,</w:t>
      </w:r>
      <w:r>
        <w:t xml:space="preserve"> </w:t>
      </w:r>
      <w:r>
        <w:t xml:space="preserve">§4.5)</w:t>
      </w:r>
    </w:p>
    <w:p>
      <w:pPr>
        <w:pStyle w:val="BodyText"/>
      </w:pPr>
      <w:r>
        <w:rPr>
          <w:bCs/>
          <w:b/>
        </w:rPr>
        <w:t xml:space="preserve">Passive binding.</w:t>
      </w:r>
      <w:r>
        <w:t xml:space="preserve"> </w:t>
      </w:r>
      <w:r>
        <w:t xml:space="preserve">Binding derived from measurable physical structure rather</w:t>
      </w:r>
      <w:r>
        <w:t xml:space="preserve"> </w:t>
      </w:r>
      <w:r>
        <w:t xml:space="preserve">than a stored secret; required for assets without electronics. (§3.4)</w:t>
      </w:r>
    </w:p>
    <w:p>
      <w:pPr>
        <w:pStyle w:val="BodyText"/>
      </w:pPr>
      <w:r>
        <w:rPr>
          <w:bCs/>
          <w:b/>
        </w:rPr>
        <w:t xml:space="preserve">Persistence.</w:t>
      </w:r>
      <w:r>
        <w:t xml:space="preserve"> </w:t>
      </w:r>
      <w:r>
        <w:t xml:space="preserve">Property that an identity survives custody, ownership, and</w:t>
      </w:r>
      <w:r>
        <w:t xml:space="preserve"> </w:t>
      </w:r>
      <w:r>
        <w:t xml:space="preserve">institutional changes for the asset’s full service life. (§1.2)</w:t>
      </w:r>
    </w:p>
    <w:p>
      <w:pPr>
        <w:pStyle w:val="BodyText"/>
      </w:pPr>
      <w:r>
        <w:rPr>
          <w:bCs/>
          <w:b/>
        </w:rPr>
        <w:t xml:space="preserve">Proof of retrievability.</w:t>
      </w:r>
      <w:r>
        <w:t xml:space="preserve"> </w:t>
      </w:r>
      <w:r>
        <w:t xml:space="preserve">Challenge protocol by which off-chain custody</w:t>
      </w:r>
      <w:r>
        <w:t xml:space="preserve"> </w:t>
      </w:r>
      <w:r>
        <w:t xml:space="preserve">stores prove they still hold committed payloads; outcomes logged as ledger</w:t>
      </w:r>
      <w:r>
        <w:t xml:space="preserve"> </w:t>
      </w:r>
      <w:r>
        <w:t xml:space="preserve">events. (§4.2)</w:t>
      </w:r>
    </w:p>
    <w:p>
      <w:pPr>
        <w:pStyle w:val="BodyText"/>
      </w:pPr>
      <w:r>
        <w:rPr>
          <w:bCs/>
          <w:b/>
        </w:rPr>
        <w:t xml:space="preserve">Re-anchoring (pattern P1).</w:t>
      </w:r>
      <w:r>
        <w:t xml:space="preserve"> </w:t>
      </w:r>
      <w:r>
        <w:t xml:space="preserve">Committing the entire existing ledger under a</w:t>
      </w:r>
      <w:r>
        <w:t xml:space="preserve"> </w:t>
      </w:r>
      <w:r>
        <w:t xml:space="preserve">successor algorithm before the incumbent weakens, transferring evidential weight</w:t>
      </w:r>
      <w:r>
        <w:t xml:space="preserve"> </w:t>
      </w:r>
      <w:r>
        <w:t xml:space="preserve">from signatures to anchored structure. (§9.4)</w:t>
      </w:r>
    </w:p>
    <w:p>
      <w:pPr>
        <w:pStyle w:val="BodyText"/>
      </w:pPr>
      <w:r>
        <w:rPr>
          <w:bCs/>
          <w:b/>
        </w:rPr>
        <w:t xml:space="preserve">Quantum-limited sensing.</w:t>
      </w:r>
      <w:r>
        <w:t xml:space="preserve"> </w:t>
      </w:r>
      <w:r>
        <w:t xml:space="preserve">Instrument class whose readout exploits quantum states</w:t>
      </w:r>
      <w:r>
        <w:t xml:space="preserve"> </w:t>
      </w:r>
      <w:r>
        <w:t xml:space="preserve">(spin ensembles, superconducting loops) to reach sensitivity below comparable</w:t>
      </w:r>
      <w:r>
        <w:t xml:space="preserve"> </w:t>
      </w:r>
      <w:r>
        <w:t xml:space="preserve">classical probes at a given spatial resolution. Distinguished in this book from</w:t>
      </w:r>
      <w:r>
        <w:t xml:space="preserve"> </w:t>
      </w:r>
      <w:r>
        <w:t xml:space="preserve">established semiconductor characterization (EL, thermography, I–V). (§6.0)</w:t>
      </w:r>
    </w:p>
    <w:p>
      <w:pPr>
        <w:pStyle w:val="BodyText"/>
      </w:pPr>
      <w:r>
        <w:rPr>
          <w:bCs/>
          <w:b/>
        </w:rPr>
        <w:t xml:space="preserve">Registrar.</w:t>
      </w:r>
      <w:r>
        <w:t xml:space="preserve"> </w:t>
      </w:r>
      <w:r>
        <w:t xml:space="preserve">The accredited role authorized to create asset identities;</w:t>
      </w:r>
      <w:r>
        <w:t xml:space="preserve"> </w:t>
      </w:r>
      <w:r>
        <w:t xml:space="preserve">plural by design, with revocable, ledger-recorded accreditation. (§4.3)</w:t>
      </w:r>
    </w:p>
    <w:p>
      <w:pPr>
        <w:pStyle w:val="BodyText"/>
      </w:pPr>
      <w:r>
        <w:rPr>
          <w:bCs/>
          <w:b/>
        </w:rPr>
        <w:t xml:space="preserve">Retroactive registration.</w:t>
      </w:r>
      <w:r>
        <w:t xml:space="preserve"> </w:t>
      </w:r>
      <w:r>
        <w:t xml:space="preserve">Enrollment of an already-fielded asset, carrying</w:t>
      </w:r>
      <w:r>
        <w:t xml:space="preserve"> </w:t>
      </w:r>
      <w:r>
        <w:t xml:space="preserve">explicitly weaker provenance than factory registration. (§4.3)</w:t>
      </w:r>
    </w:p>
    <w:p>
      <w:pPr>
        <w:pStyle w:val="BodyText"/>
      </w:pPr>
      <w:r>
        <w:rPr>
          <w:bCs/>
          <w:b/>
        </w:rPr>
        <w:t xml:space="preserve">Stable-structure layer.</w:t>
      </w:r>
      <w:r>
        <w:t xml:space="preserve"> </w:t>
      </w:r>
      <w:r>
        <w:t xml:space="preserve">The component of a structural defect map fixed at manufacture</w:t>
      </w:r>
      <w:r>
        <w:t xml:space="preserve"> </w:t>
      </w:r>
      <w:r>
        <w:t xml:space="preserve">(grain texture, as-built shunt population) on which identity rests. (§6.3)</w:t>
      </w:r>
    </w:p>
    <w:p>
      <w:pPr>
        <w:pStyle w:val="BodyText"/>
      </w:pPr>
      <w:r>
        <w:rPr>
          <w:bCs/>
          <w:b/>
        </w:rPr>
        <w:t xml:space="preserve">Structural defect mapping.</w:t>
      </w:r>
      <w:r>
        <w:t xml:space="preserve"> </w:t>
      </w:r>
      <w:r>
        <w:t xml:space="preserve">Recovery of a per-unit fingerprint of microscopic and</w:t>
      </w:r>
      <w:r>
        <w:t xml:space="preserve"> </w:t>
      </w:r>
      <w:r>
        <w:t xml:space="preserve">mesoscopic defect structure in a photovoltaic device, bound to a ledger identity</w:t>
      </w:r>
      <w:r>
        <w:t xml:space="preserve"> </w:t>
      </w:r>
      <w:r>
        <w:t xml:space="preserve">record at enrollment. Combines quantum-limited modalities (e.g., NV magnetometry)</w:t>
      </w:r>
      <w:r>
        <w:t xml:space="preserve"> </w:t>
      </w:r>
      <w:r>
        <w:t xml:space="preserve">and classical characterization (e.g., EL imaging) per Chapter 6, Section 6.0. (Ch. 6)</w:t>
      </w:r>
    </w:p>
    <w:p>
      <w:pPr>
        <w:pStyle w:val="BodyText"/>
      </w:pPr>
      <w:r>
        <w:rPr>
          <w:bCs/>
          <w:b/>
        </w:rPr>
        <w:t xml:space="preserve">Supersession.</w:t>
      </w:r>
      <w:r>
        <w:t xml:space="preserve"> </w:t>
      </w:r>
      <w:r>
        <w:t xml:space="preserve">Replacement-with-provenance of a binding template or role key,</w:t>
      </w:r>
      <w:r>
        <w:t xml:space="preserve"> </w:t>
      </w:r>
      <w:r>
        <w:t xml:space="preserve">never deletion; the chain of superseded templates is itself evidence. (§6.4,</w:t>
      </w:r>
      <w:r>
        <w:t xml:space="preserve"> </w:t>
      </w:r>
      <w:r>
        <w:t xml:space="preserve">§9.4)</w:t>
      </w:r>
    </w:p>
    <w:p>
      <w:pPr>
        <w:pStyle w:val="BodyText"/>
      </w:pPr>
      <w:r>
        <w:rPr>
          <w:bCs/>
          <w:b/>
        </w:rPr>
        <w:t xml:space="preserve">Three-zone topology.</w:t>
      </w:r>
      <w:r>
        <w:t xml:space="preserve"> </w:t>
      </w:r>
      <w:r>
        <w:t xml:space="preserve">Privacy architecture separating public anchors and</w:t>
      </w:r>
      <w:r>
        <w:t xml:space="preserve"> </w:t>
      </w:r>
      <w:r>
        <w:t xml:space="preserve">aggregates, consortium envelope data, and controlled payload/party-registry</w:t>
      </w:r>
      <w:r>
        <w:t xml:space="preserve"> </w:t>
      </w:r>
      <w:r>
        <w:t xml:space="preserve">custody. (§10.2)</w:t>
      </w:r>
    </w:p>
    <w:p>
      <w:pPr>
        <w:pStyle w:val="BodyText"/>
      </w:pPr>
      <w:r>
        <w:rPr>
          <w:bCs/>
          <w:b/>
        </w:rPr>
        <w:t xml:space="preserve">Tiered assurance.</w:t>
      </w:r>
      <w:r>
        <w:t xml:space="preserve"> </w:t>
      </w:r>
      <w:r>
        <w:t xml:space="preserve">Purchasing identity assurance in proportion to value at</w:t>
      </w:r>
      <w:r>
        <w:t xml:space="preserve"> </w:t>
      </w:r>
      <w:r>
        <w:t xml:space="preserve">risk: universal cheap enrollment, opportunistic re-verification, sampled</w:t>
      </w:r>
      <w:r>
        <w:t xml:space="preserve"> </w:t>
      </w:r>
      <w:r>
        <w:t xml:space="preserve">high-assurance escalation, laboratory reference. (§3.6, §6.7)</w:t>
      </w:r>
    </w:p>
    <w:p>
      <w:pPr>
        <w:pStyle w:val="BodyText"/>
      </w:pPr>
      <w:r>
        <w:rPr>
          <w:bCs/>
          <w:b/>
        </w:rPr>
        <w:t xml:space="preserve">Two-layer decomposition.</w:t>
      </w:r>
      <w:r>
        <w:t xml:space="preserve"> </w:t>
      </w:r>
      <w:r>
        <w:t xml:space="preserve">Separation of a measured structural defect map into</w:t>
      </w:r>
      <w:r>
        <w:t xml:space="preserve"> </w:t>
      </w:r>
      <w:r>
        <w:t xml:space="preserve">stable-structure and condition layers, making one measurement serve identity and</w:t>
      </w:r>
      <w:r>
        <w:t xml:space="preserve"> </w:t>
      </w:r>
      <w:r>
        <w:t xml:space="preserve">condition simultaneously. (§6.3)</w:t>
      </w:r>
    </w:p>
    <w:p>
      <w:pPr>
        <w:pStyle w:val="BodyText"/>
      </w:pPr>
      <w:r>
        <w:rPr>
          <w:bCs/>
          <w:b/>
        </w:rPr>
        <w:t xml:space="preserve">Verifiable credential (VC).</w:t>
      </w:r>
      <w:r>
        <w:t xml:space="preserve"> </w:t>
      </w:r>
      <w:r>
        <w:t xml:space="preserve">Signed, schema-conformant claims by an issuer</w:t>
      </w:r>
      <w:r>
        <w:t xml:space="preserve"> </w:t>
      </w:r>
      <w:r>
        <w:t xml:space="preserve">about a subject; the container for test reports, commissioning records, and</w:t>
      </w:r>
      <w:r>
        <w:t xml:space="preserve"> </w:t>
      </w:r>
      <w:r>
        <w:t xml:space="preserve">accreditations. (§3.5)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