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ff0dd97d9dd668de0361af33e68b36d395ce106"/>
    <w:p>
      <w:pPr>
        <w:pStyle w:val="Heading1"/>
      </w:pPr>
      <w:r>
        <w:t xml:space="preserve">Appendix B: Comparative Table of Identity Standards</w:t>
      </w:r>
    </w:p>
    <w:p>
      <w:pPr>
        <w:pStyle w:val="FirstParagraph"/>
      </w:pPr>
      <w:r>
        <w:t xml:space="preserve">This appendix consolidates, in reference form, the standards landscape discussed in</w:t>
      </w:r>
      <w:r>
        <w:t xml:space="preserve"> </w:t>
      </w:r>
      <w:r>
        <w:t xml:space="preserve">Sections 3.5, 10.4, 12.5, and 14.3. Assessments reflect the state of each</w:t>
      </w:r>
      <w:r>
        <w:t xml:space="preserve"> </w:t>
      </w:r>
      <w:r>
        <w:t xml:space="preserve">instrument at the time of writing and use the book’s requirement vocabulary:</w:t>
      </w:r>
      <w:r>
        <w:t xml:space="preserve"> </w:t>
      </w:r>
      <w:r>
        <w:t xml:space="preserve">the four identity properties of Section 1.2 (uniqueness U, persistence P,</w:t>
      </w:r>
      <w:r>
        <w:t xml:space="preserve"> </w:t>
      </w:r>
      <w:r>
        <w:t xml:space="preserve">bindability B, attributability A), the binding requirements R1–R6 of Table 6.2,</w:t>
      </w:r>
      <w:r>
        <w:t xml:space="preserve"> </w:t>
      </w:r>
      <w:r>
        <w:t xml:space="preserve">and the interoperability layers S1–S5 of Table 14.1.</w:t>
      </w:r>
    </w:p>
    <w:bookmarkStart w:id="20" w:name="b.1-identifier-and-credential-standards"/>
    <w:p>
      <w:pPr>
        <w:pStyle w:val="Heading2"/>
      </w:pPr>
      <w:r>
        <w:t xml:space="preserve">B.1 Identifier and credential standards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for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for energy hardware —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Persons, orgs, software agents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 layer of Fig. 3.2. Needs: succession semantics for non-agentive subjects, method longevity (§3.5; research item C4)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Verifiable Credentials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by issuers about subjects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layer. Selective disclosure supports §10.2; needs ledger beneath it for ordering and non-suppression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X.509 / 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IETF/ITU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&amp; org certificates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tooling; CA hierarchy reintroduces central-registry risk (§1.5); CRL semantics poor over decades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61406 (Identification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ID links on products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Locator, not proof (§3.6); useful as the QR</w:t>
            </w:r>
            <w:r>
              <w:t xml:space="preserve"> </w:t>
            </w:r>
            <w:r>
              <w:t xml:space="preserve">“</w:t>
            </w:r>
            <w:r>
              <w:t xml:space="preserve">locate cheaply</w:t>
            </w:r>
            <w:r>
              <w:t xml:space="preserve">”</w:t>
            </w:r>
            <w:r>
              <w:t xml:space="preserve"> </w:t>
            </w:r>
            <w: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GS1 EPC/SGTIN + EPCIS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Supply-chain serialization &amp; events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vocabulary (EPCIS) is the nearest existing analog to Ch. 5; no binding, mutable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2418.x (blockchain frameworks)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DLT application frameworks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guidance; no per-unit binding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ISO/TC 307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DLT terminology, governance, interop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for S1/S2 standardization (§14.3) rather than a usable scheme today</w:t>
            </w:r>
          </w:p>
        </w:tc>
      </w:tr>
    </w:tbl>
    <w:p>
      <w:pPr>
        <w:pStyle w:val="BodyText"/>
      </w:pPr>
      <w:r>
        <w:t xml:space="preserve">● = provided, ◐ = partial, ○ = absent, — = not applicable.</w:t>
      </w:r>
    </w:p>
    <w:bookmarkEnd w:id="20"/>
    <w:bookmarkStart w:id="21" w:name="X740743f9600758ac8df0ab7a20209de67bfba54"/>
    <w:p>
      <w:pPr>
        <w:pStyle w:val="Heading2"/>
      </w:pPr>
      <w:r>
        <w:t xml:space="preserve">B.2 Binding mechanisms (reference summary of Chapters 3 and 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R1 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stable subset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R3 forgery asymmetry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R4 challengeable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R5 evolution-checkable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R6 field-feasible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Printed serial / QR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Locator only, all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RFID/NFC tag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convenience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element key (TPM-class)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Inverters, BMS, meters,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PUF-derived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(aging drift)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Cost-sensitive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structural fingerprint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(crack evolution)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modules — routine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defect map (Ch. 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◐→● (M1 open)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(M3 open)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modules — high-assurance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Impedance/formation signature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○–◐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cells — open problem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ply/resin signature + embedded tag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blades, large composites</w:t>
            </w:r>
          </w:p>
        </w:tc>
      </w:tr>
    </w:tbl>
    <w:bookmarkEnd w:id="21"/>
    <w:bookmarkStart w:id="22" w:name="X7b8077507ee559b9a78fe067b5531651dacc0fc"/>
    <w:p>
      <w:pPr>
        <w:pStyle w:val="Heading2"/>
      </w:pPr>
      <w:r>
        <w:t xml:space="preserve">B.3 Regulatory record regimes (engineering view)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/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Per-unit?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Lifecycle events?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Verifiability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 from Ch. 5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passport (Reg. 2023/1542, Annex XIII)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— obligations from 2027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(incl. repurposing)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Self-declared + audit;</w:t>
            </w:r>
            <w:r>
              <w:t xml:space="preserve"> </w:t>
            </w:r>
            <w:r>
              <w:rPr>
                <w:bCs/>
                <w:b/>
              </w:rPr>
              <w:t xml:space="preserve">no binding mandated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(§12.2): registration, SoH condition records, repurposing pair, recycle mass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ESPR DPP delegated 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— in progress; PV a named candidate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(expected)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 at time of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Read-side mapping layer (§10.4); S4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Guarantees of origin (Dir. 2018/2001)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— 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(per MWh)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Equipment-truth layer interface (§10.4)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state RECs / tracking (WREGIS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— 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(per MWh)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interface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UFLPA supply-chain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— 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(shipment-level)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VCs from</w:t>
            </w:r>
            <w:r>
              <w:t xml:space="preserve"> </w:t>
            </w:r>
            <w:r>
              <w:rPr>
                <w:rStyle w:val="VerbatimChar"/>
              </w:rPr>
              <w:t xml:space="preserve">EVT_REGISTER</w:t>
            </w:r>
            <w:r>
              <w:t xml:space="preserve"> </w:t>
            </w:r>
            <w:r>
              <w:t xml:space="preserve">+ BOM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e-waste rules (2022) + 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— 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(EPR aggregate)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Recycle-event aggregates (§10.2-4)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1547 / grid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US/EU/India — 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(settings per device)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(config changes)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certificates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EVT_CONFIG_CHANGE</w:t>
            </w:r>
            <w:r>
              <w:t xml:space="preserve"> </w:t>
            </w:r>
            <w:r>
              <w:t xml:space="preserve">class (§12.4)</w:t>
            </w:r>
          </w:p>
        </w:tc>
      </w:tr>
    </w:tbl>
    <w:bookmarkEnd w:id="22"/>
    <w:bookmarkStart w:id="23" w:name="b.4-reading-the-tables-together"/>
    <w:p>
      <w:pPr>
        <w:pStyle w:val="Heading2"/>
      </w:pPr>
      <w:r>
        <w:t xml:space="preserve">B.4 Reading the tables together</w:t>
      </w:r>
    </w:p>
    <w:p>
      <w:pPr>
        <w:pStyle w:val="FirstParagraph"/>
      </w:pPr>
      <w:r>
        <w:t xml:space="preserve">Three summary observations, stated once here rather than repeated in the chapters.</w:t>
      </w:r>
      <w:r>
        <w:t xml:space="preserve"> </w:t>
      </w:r>
      <w:r>
        <w:t xml:space="preserve">First, no existing standard spans more than two layers of the Figure 3.2 stack:</w:t>
      </w:r>
      <w:r>
        <w:t xml:space="preserve"> </w:t>
      </w:r>
      <w:r>
        <w:t xml:space="preserve">the W3C pair covers naming and claims, GS1 covers events without binding or</w:t>
      </w:r>
      <w:r>
        <w:t xml:space="preserve"> </w:t>
      </w:r>
      <w:r>
        <w:t xml:space="preserve">immutability, secure elements cover binding without naming — composition is not</w:t>
      </w:r>
      <w:r>
        <w:t xml:space="preserve"> </w:t>
      </w:r>
      <w:r>
        <w:t xml:space="preserve">optional, it is the architecture. Second, the binding rows show the pattern the</w:t>
      </w:r>
      <w:r>
        <w:t xml:space="preserve"> </w:t>
      </w:r>
      <w:r>
        <w:t xml:space="preserve">book’s research agenda targets: every passive mechanism is strong exactly where</w:t>
      </w:r>
      <w:r>
        <w:t xml:space="preserve"> </w:t>
      </w:r>
      <w:r>
        <w:t xml:space="preserve">its R2 or R6 entry is the open problem (M1, M3, M4), which is why Chapter 6’s</w:t>
      </w:r>
      <w:r>
        <w:t xml:space="preserve"> </w:t>
      </w:r>
      <w:r>
        <w:t xml:space="preserve">supersession and tiering exist. Third, the regulatory column B.3 shows demand</w:t>
      </w:r>
      <w:r>
        <w:t xml:space="preserve"> </w:t>
      </w:r>
      <w:r>
        <w:t xml:space="preserve">arriving ahead of mechanism — passports mandate records with no mandated binding</w:t>
      </w:r>
      <w:r>
        <w:t xml:space="preserve"> </w:t>
      </w:r>
      <w:r>
        <w:t xml:space="preserve">or ledger, which is both the adoption opening of Section 14.4 and the risk that</w:t>
      </w:r>
      <w:r>
        <w:t xml:space="preserve"> </w:t>
      </w:r>
      <w:r>
        <w:t xml:space="preserve">self-declared passports entrench before verifiable ones ship. Standards gap S3</w:t>
      </w:r>
      <w:r>
        <w:t xml:space="preserve"> </w:t>
      </w:r>
      <w:r>
        <w:t xml:space="preserve">(binding templates and thresholds, Table 14.1) has no row in B.1 because nothing</w:t>
      </w:r>
      <w:r>
        <w:t xml:space="preserve"> </w:t>
      </w:r>
      <w:r>
        <w:t xml:space="preserve">exists to tabulate; that absence is this appendix’s most important entry.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2026-07-03T09:17:39Z</dcterms:created>
  <dcterms:modified xsi:type="dcterms:W3CDTF">2026-07-03T09:17:39Z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