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Chapter-specific reading lists follow each chapter; this consolidated bibliography</w:t>
      </w:r>
      <w:r>
        <w:t xml:space="preserve"> </w:t>
      </w:r>
      <w:r>
        <w:t xml:space="preserve">collects all works cited, alphabetically. Entries marked [TO BE SUPPLIED] await</w:t>
      </w:r>
      <w:r>
        <w:t xml:space="preserve"> </w:t>
      </w:r>
      <w:r>
        <w:t xml:space="preserve">author action before submission (the author’s prior titles, the patent</w:t>
      </w:r>
      <w:r>
        <w:t xml:space="preserve"> </w:t>
      </w:r>
      <w:r>
        <w:t xml:space="preserve">application, pilot technical reports, and press-time market data).</w:t>
      </w:r>
    </w:p>
    <w:p>
      <w:pPr>
        <w:pStyle w:val="BodyText"/>
      </w:pPr>
      <w:r>
        <w:t xml:space="preserve">Aggarwal, D., G. Brennen, T. Lee, M. Santha, and M. Tomamichel.</w:t>
      </w:r>
      <w:r>
        <w:t xml:space="preserve"> </w:t>
      </w:r>
      <w:r>
        <w:t xml:space="preserve">“</w:t>
      </w:r>
      <w:r>
        <w:t xml:space="preserve">Quantum Attacks</w:t>
      </w:r>
      <w:r>
        <w:t xml:space="preserve"> </w:t>
      </w:r>
      <w:r>
        <w:t xml:space="preserve">on Bitcoin, and How to Protect Against Them.</w:t>
      </w:r>
      <w:r>
        <w:t xml:space="preserve">”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3 (2018).</w:t>
      </w:r>
    </w:p>
    <w:p>
      <w:pPr>
        <w:pStyle w:val="BodyTex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pStyle w:val="BodyText"/>
      </w:pPr>
      <w:r>
        <w:t xml:space="preserve">Al-Breiki, H., M. H. U. Rehman, K. Salah, and D. Svetinovic.</w:t>
      </w:r>
      <w:r>
        <w:t xml:space="preserve"> </w:t>
      </w:r>
      <w:r>
        <w:t xml:space="preserve">“</w:t>
      </w:r>
      <w:r>
        <w:t xml:space="preserve">Trustworthy</w:t>
      </w:r>
      <w:r>
        <w:t xml:space="preserve"> </w:t>
      </w:r>
      <w:r>
        <w:t xml:space="preserve">Blockchain Oracles: Review, Comparison, and Open Research Challenges.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8 (2020): 85675–85685.</w:t>
      </w:r>
    </w:p>
    <w:p>
      <w:pPr>
        <w:pStyle w:val="BodyText"/>
      </w:pPr>
      <w:r>
        <w:t xml:space="preserve">Anderson, R.</w:t>
      </w:r>
      <w:r>
        <w:t xml:space="preserve"> </w:t>
      </w:r>
      <w:r>
        <w:rPr>
          <w:iCs/>
          <w:i/>
        </w:rPr>
        <w:t xml:space="preserve">Security Engineering: A Guide to Building Dependable Distributed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3rd ed. Wiley, 2020.</w:t>
      </w:r>
    </w:p>
    <w:p>
      <w:pPr>
        <w:pStyle w:val="BodyText"/>
      </w:pPr>
      <w:r>
        <w:t xml:space="preserve">Androulaki, E., et al. </w:t>
      </w:r>
      <w:r>
        <w:t xml:space="preserve">“</w:t>
      </w:r>
      <w:r>
        <w:t xml:space="preserve">Hyperledger Fabric: A Distributed Operating System for</w:t>
      </w:r>
      <w:r>
        <w:t xml:space="preserve"> </w:t>
      </w:r>
      <w:r>
        <w:t xml:space="preserve">Permissioned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EuroSys ’18</w:t>
      </w:r>
      <w:r>
        <w:t xml:space="preserve">. ACM, 2018.</w:t>
      </w:r>
    </w:p>
    <w:p>
      <w:pPr>
        <w:pStyle w:val="BodyText"/>
      </w:pPr>
      <w:r>
        <w:t xml:space="preserve">Atzei, N., M. Bartoletti, and T. Cimoli.</w:t>
      </w:r>
      <w:r>
        <w:t xml:space="preserve"> </w:t>
      </w:r>
      <w:r>
        <w:t xml:space="preserve">“</w:t>
      </w:r>
      <w:r>
        <w:t xml:space="preserve">A Survey of Attacks on Ethereum Smart</w:t>
      </w:r>
      <w:r>
        <w:t xml:space="preserve"> </w:t>
      </w:r>
      <w:r>
        <w:t xml:space="preserve">Contracts (SoK).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Principles of Security and Trust (POST 2017)</w:t>
      </w:r>
      <w:r>
        <w:t xml:space="preserve">, 164–186.</w:t>
      </w:r>
      <w:r>
        <w:t xml:space="preserve"> </w:t>
      </w:r>
      <w:r>
        <w:t xml:space="preserve">Springer, 2017.</w:t>
      </w:r>
    </w:p>
    <w:p>
      <w:pPr>
        <w:pStyle w:val="BodyText"/>
      </w:pPr>
      <w:r>
        <w:t xml:space="preserve">Back, A., et al. </w:t>
      </w:r>
      <w:r>
        <w:t xml:space="preserve">“</w:t>
      </w:r>
      <w:r>
        <w:t xml:space="preserve">Enabling Blockchain Innovations with Pegged Sidechains.</w:t>
      </w:r>
      <w:r>
        <w:t xml:space="preserve">”</w:t>
      </w:r>
      <w:r>
        <w:t xml:space="preserve"> </w:t>
      </w:r>
      <w:r>
        <w:t xml:space="preserve">White</w:t>
      </w:r>
      <w:r>
        <w:t xml:space="preserve"> </w:t>
      </w:r>
      <w:r>
        <w:t xml:space="preserve">paper, Blockstream, 2014.</w:t>
      </w:r>
    </w:p>
    <w:p>
      <w:pPr>
        <w:pStyle w:val="BodyText"/>
      </w:pPr>
      <w:r>
        <w:t xml:space="preserve">Ben-Sasson, E., I. Bentov, Y. Horesh, and M. Riabzev.</w:t>
      </w:r>
      <w:r>
        <w:t xml:space="preserve"> </w:t>
      </w:r>
      <w:r>
        <w:t xml:space="preserve">“</w:t>
      </w:r>
      <w:r>
        <w:t xml:space="preserve">Scalable, Transparent, and</w:t>
      </w:r>
      <w:r>
        <w:t xml:space="preserve"> </w:t>
      </w:r>
      <w:r>
        <w:t xml:space="preserve">Post-Quantum Secure Computational Integrity.</w:t>
      </w:r>
      <w:r>
        <w:t xml:space="preserve">”</w:t>
      </w:r>
      <w:r>
        <w:t xml:space="preserve"> </w:t>
      </w:r>
      <w:r>
        <w:t xml:space="preserve">IACR Cryptology ePrint Archive,</w:t>
      </w:r>
      <w:r>
        <w:t xml:space="preserve"> </w:t>
      </w:r>
      <w:r>
        <w:t xml:space="preserve">Report 2018/046.</w:t>
      </w:r>
    </w:p>
    <w:p>
      <w:pPr>
        <w:pStyle w:val="BodyText"/>
      </w:pPr>
      <w:r>
        <w:t xml:space="preserve">Bernstein, D. J., and T. Lange.</w:t>
      </w:r>
      <w:r>
        <w:t xml:space="preserve"> </w:t>
      </w:r>
      <w:r>
        <w:t xml:space="preserve">“</w:t>
      </w:r>
      <w:r>
        <w:t xml:space="preserve">Post-Quantum Cryptography.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549 (2017):</w:t>
      </w:r>
      <w:r>
        <w:t xml:space="preserve"> </w:t>
      </w:r>
      <w:r>
        <w:t xml:space="preserve">188–194.</w:t>
      </w:r>
    </w:p>
    <w:p>
      <w:pPr>
        <w:pStyle w:val="BodyText"/>
      </w:pPr>
      <w:r>
        <w:t xml:space="preserve">Birkl, C. R., M. R. Roberts, E. McTurk, P. G. Bruce, and D. A. Howey.</w:t>
      </w:r>
      <w:r>
        <w:t xml:space="preserve"> </w:t>
      </w:r>
      <w:r>
        <w:t xml:space="preserve">“</w:t>
      </w:r>
      <w:r>
        <w:t xml:space="preserve">Degradation Diagnostics for Lithium Ion Cells.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341</w:t>
      </w:r>
      <w:r>
        <w:t xml:space="preserve"> </w:t>
      </w:r>
      <w:r>
        <w:t xml:space="preserve">(2017): 373–386.</w:t>
      </w:r>
    </w:p>
    <w:p>
      <w:pPr>
        <w:pStyle w:val="BodyText"/>
      </w:pPr>
      <w:r>
        <w:t xml:space="preserve">Bormann, C., and P. Hoffman.</w:t>
      </w:r>
      <w:r>
        <w:t xml:space="preserve"> </w:t>
      </w:r>
      <w:r>
        <w:rPr>
          <w:iCs/>
          <w:i/>
        </w:rPr>
        <w:t xml:space="preserve">Concise Binary Object Representation (CBOR).</w:t>
      </w:r>
      <w:r>
        <w:t xml:space="preserve"> </w:t>
      </w:r>
      <w:r>
        <w:t xml:space="preserve">RFC 8949, IETF, 2020.</w:t>
      </w:r>
    </w:p>
    <w:p>
      <w:pPr>
        <w:pStyle w:val="BodyText"/>
      </w:pPr>
      <w:r>
        <w:t xml:space="preserve">Breitenstein, O., W. Warta, and M. C. Schubert.</w:t>
      </w:r>
      <w:r>
        <w:t xml:space="preserve"> </w:t>
      </w:r>
      <w:r>
        <w:rPr>
          <w:iCs/>
          <w:i/>
        </w:rPr>
        <w:t xml:space="preserve">Lock-in Thermography: Basics and</w:t>
      </w:r>
      <w:r>
        <w:rPr>
          <w:iCs/>
          <w:i/>
        </w:rPr>
        <w:t xml:space="preserve"> </w:t>
      </w:r>
      <w:r>
        <w:rPr>
          <w:iCs/>
          <w:i/>
        </w:rPr>
        <w:t xml:space="preserve">Use for Evaluating Electronic Devices and Materials.</w:t>
      </w:r>
      <w:r>
        <w:t xml:space="preserve"> </w:t>
      </w:r>
      <w:r>
        <w:t xml:space="preserve">3rd ed. Springer, 2018.</w:t>
      </w:r>
    </w:p>
    <w:p>
      <w:pPr>
        <w:pStyle w:val="BodyText"/>
      </w:pPr>
      <w:r>
        <w:t xml:space="preserve">Buchanan, J. D. R., et al. </w:t>
      </w:r>
      <w:r>
        <w:t xml:space="preserve">“</w:t>
      </w:r>
      <w:r>
        <w:t xml:space="preserve">Fingerprinting Documents and Packaging.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436</w:t>
      </w:r>
      <w:r>
        <w:t xml:space="preserve"> </w:t>
      </w:r>
      <w:r>
        <w:t xml:space="preserve">(2005): 475.</w:t>
      </w:r>
    </w:p>
    <w:p>
      <w:pPr>
        <w:pStyle w:val="BodyText"/>
      </w:pPr>
      <w:r>
        <w:t xml:space="preserve">Buterin, V.</w:t>
      </w:r>
      <w:r>
        <w:t xml:space="preserve"> </w:t>
      </w:r>
      <w:r>
        <w:t xml:space="preserve">“</w:t>
      </w:r>
      <w:r>
        <w:t xml:space="preserve">Ethereum: A Next-Generation Smart Contract and Decentralized</w:t>
      </w:r>
      <w:r>
        <w:t xml:space="preserve"> </w:t>
      </w:r>
      <w:r>
        <w:t xml:space="preserve">Application Platform.</w:t>
      </w:r>
      <w:r>
        <w:t xml:space="preserve">”</w:t>
      </w:r>
      <w:r>
        <w:t xml:space="preserve"> </w:t>
      </w:r>
      <w:r>
        <w:t xml:space="preserve">White paper, 2014.</w:t>
      </w:r>
    </w:p>
    <w:p>
      <w:pPr>
        <w:pStyle w:val="BodyText"/>
      </w:pPr>
      <w:r>
        <w:t xml:space="preserve">Castro, M., and B. Liskov.</w:t>
      </w:r>
      <w:r>
        <w:t xml:space="preserve"> </w:t>
      </w:r>
      <w:r>
        <w:t xml:space="preserve">“</w:t>
      </w:r>
      <w:r>
        <w:t xml:space="preserve">Practical Byzantine Fault Tolerance.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OSDI ’99</w:t>
      </w:r>
      <w:r>
        <w:t xml:space="preserve">, 173–186. USENIX, 1999.</w:t>
      </w:r>
    </w:p>
    <w:p>
      <w:pPr>
        <w:pStyle w:val="BodyText"/>
      </w:pPr>
      <w:r>
        <w:t xml:space="preserve">CEN-CENELEC JTC 24.</w:t>
      </w:r>
      <w:r>
        <w:t xml:space="preserve"> </w:t>
      </w:r>
      <w:r>
        <w:rPr>
          <w:iCs/>
          <w:i/>
        </w:rPr>
        <w:t xml:space="preserve">Digital Product Passport — Framework and System</w:t>
      </w:r>
      <w:r>
        <w:t xml:space="preserve"> </w:t>
      </w:r>
      <w:r>
        <w:t xml:space="preserve">(work</w:t>
      </w:r>
      <w:r>
        <w:t xml:space="preserve"> </w:t>
      </w:r>
      <w:r>
        <w:t xml:space="preserve">programme in progress).</w:t>
      </w:r>
    </w:p>
    <w:p>
      <w:pPr>
        <w:pStyle w:val="BodyText"/>
      </w:pPr>
      <w:r>
        <w:t xml:space="preserve">Cochran, W. G.</w:t>
      </w:r>
      <w:r>
        <w:t xml:space="preserve"> </w:t>
      </w:r>
      <w:r>
        <w:rPr>
          <w:iCs/>
          <w:i/>
        </w:rPr>
        <w:t xml:space="preserve">Sampling Techniques.</w:t>
      </w:r>
      <w:r>
        <w:t xml:space="preserve"> </w:t>
      </w:r>
      <w:r>
        <w:t xml:space="preserve">3rd ed. Wiley, 1977.</w:t>
      </w:r>
    </w:p>
    <w:p>
      <w:pPr>
        <w:pStyle w:val="BodyText"/>
      </w:pPr>
      <w:r>
        <w:t xml:space="preserve">Croman, K., et al. </w:t>
      </w:r>
      <w:r>
        <w:t xml:space="preserve">“</w:t>
      </w:r>
      <w:r>
        <w:t xml:space="preserve">On Scaling Decentralized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 and Data Security (FC 2016) Workshops</w:t>
      </w:r>
      <w:r>
        <w:t xml:space="preserve">, 106–125. Springer, 2016.</w:t>
      </w:r>
    </w:p>
    <w:p>
      <w:pPr>
        <w:pStyle w:val="BodyText"/>
      </w:pPr>
      <w:r>
        <w:t xml:space="preserve">Curtis, T., H. Buchanan, G. Heath, A. Smith, and S. Shaw.</w:t>
      </w:r>
      <w:r>
        <w:t xml:space="preserve"> </w:t>
      </w:r>
      <w:r>
        <w:rPr>
          <w:iCs/>
          <w:i/>
        </w:rPr>
        <w:t xml:space="preserve">Solar Photovoltaic</w:t>
      </w:r>
      <w:r>
        <w:rPr>
          <w:iCs/>
          <w:i/>
        </w:rPr>
        <w:t xml:space="preserve"> </w:t>
      </w:r>
      <w:r>
        <w:rPr>
          <w:iCs/>
          <w:i/>
        </w:rPr>
        <w:t xml:space="preserve">Module Recycling: A Survey of U.S. Policies and Initiatives.</w:t>
      </w:r>
      <w:r>
        <w:t xml:space="preserve"> </w:t>
      </w:r>
      <w:r>
        <w:t xml:space="preserve">NREL/TP-6A20-74124, 2021.</w:t>
      </w:r>
    </w:p>
    <w:p>
      <w:pPr>
        <w:pStyle w:val="BodyTex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pStyle w:val="BodyText"/>
      </w:pPr>
      <w:r>
        <w:t xml:space="preserve">Directive 2012/19/EU (WEEE).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2012.</w:t>
      </w:r>
    </w:p>
    <w:p>
      <w:pPr>
        <w:pStyle w:val="BodyText"/>
      </w:pPr>
      <w:r>
        <w:t xml:space="preserve">Directive (EU) 2018/2001 on the promotion of the use of energy from renewable</w:t>
      </w:r>
      <w:r>
        <w:t xml:space="preserve"> </w:t>
      </w:r>
      <w:r>
        <w:t xml:space="preserve">sources.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2018.</w:t>
      </w:r>
    </w:p>
    <w:p>
      <w:pPr>
        <w:pStyle w:val="BodyText"/>
      </w:pPr>
      <w:r>
        <w:t xml:space="preserve">Douceur, J. R.</w:t>
      </w:r>
      <w:r>
        <w:t xml:space="preserve"> </w:t>
      </w:r>
      <w:r>
        <w:t xml:space="preserve">“</w:t>
      </w:r>
      <w:r>
        <w:t xml:space="preserve">The Sybil Attack.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Peer-to-Peer Systems (IPTPS 2002)</w:t>
      </w:r>
      <w:r>
        <w:t xml:space="preserve">,</w:t>
      </w:r>
      <w:r>
        <w:t xml:space="preserve"> </w:t>
      </w:r>
      <w:r>
        <w:t xml:space="preserve">251–260. Springer, 2002.</w:t>
      </w:r>
    </w:p>
    <w:p>
      <w:pPr>
        <w:pStyle w:val="BodyText"/>
      </w:pPr>
      <w:r>
        <w:t xml:space="preserve">Eberhardt, J., and S. Tai.</w:t>
      </w:r>
      <w:r>
        <w:t xml:space="preserve"> </w:t>
      </w:r>
      <w:r>
        <w:t xml:space="preserve">“</w:t>
      </w:r>
      <w:r>
        <w:t xml:space="preserve">On or Off the Blockchain? Insights on Off-Chaining</w:t>
      </w:r>
      <w:r>
        <w:t xml:space="preserve"> </w:t>
      </w:r>
      <w:r>
        <w:t xml:space="preserve">Computation and Data.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ESOCC 2017</w:t>
      </w:r>
      <w:r>
        <w:t xml:space="preserve">, 3–15. Springer, 2017.</w:t>
      </w:r>
    </w:p>
    <w:p>
      <w:pPr>
        <w:pStyle w:val="BodyText"/>
      </w:pPr>
      <w:r>
        <w:t xml:space="preserve">Eskandari, S., M. Salehi, W. C. Gu, and J. Clark.</w:t>
      </w:r>
      <w:r>
        <w:t xml:space="preserve"> </w:t>
      </w:r>
      <w:r>
        <w:t xml:space="preserve">“</w:t>
      </w:r>
      <w:r>
        <w:t xml:space="preserve">SoK: Oracles from the Ground</w:t>
      </w:r>
      <w:r>
        <w:t xml:space="preserve"> </w:t>
      </w:r>
      <w:r>
        <w:t xml:space="preserve">Truth to Market Manipulation.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AFT ’21</w:t>
      </w:r>
      <w:r>
        <w:t xml:space="preserve">, 127–141. ACM, 2021.</w:t>
      </w:r>
    </w:p>
    <w:p>
      <w:pPr>
        <w:pStyle w:val="BodyText"/>
      </w:pPr>
      <w:r>
        <w:t xml:space="preserve">Finck, M.</w:t>
      </w:r>
      <w:r>
        <w:t xml:space="preserve"> </w:t>
      </w:r>
      <w:r>
        <w:rPr>
          <w:iCs/>
          <w:i/>
        </w:rPr>
        <w:t xml:space="preserve">Blockchain Regulation and Governance in Europe.</w:t>
      </w:r>
      <w:r>
        <w:t xml:space="preserve"> </w:t>
      </w:r>
      <w:r>
        <w:t xml:space="preserve">Cambridge: Cambridge</w:t>
      </w:r>
      <w:r>
        <w:t xml:space="preserve"> </w:t>
      </w:r>
      <w:r>
        <w:t xml:space="preserve">University Press, 2018.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iCs/>
          <w:i/>
        </w:rPr>
        <w:t xml:space="preserve">Analysis Patterns: Reusable Object Models.</w:t>
      </w:r>
      <w:r>
        <w:t xml:space="preserve"> </w:t>
      </w:r>
      <w:r>
        <w:t xml:space="preserve">Boston: Addison-Wesley,</w:t>
      </w:r>
      <w:r>
        <w:t xml:space="preserve"> </w:t>
      </w:r>
      <w:r>
        <w:t xml:space="preserve">1997.</w:t>
      </w:r>
    </w:p>
    <w:p>
      <w:pPr>
        <w:pStyle w:val="BodyText"/>
      </w:pPr>
      <w:r>
        <w:t xml:space="preserve">Fuyuki, T., and A. Kitiyanan.</w:t>
      </w:r>
      <w:r>
        <w:t xml:space="preserve"> </w:t>
      </w:r>
      <w:r>
        <w:t xml:space="preserve">“</w:t>
      </w:r>
      <w:r>
        <w:t xml:space="preserve">Photographic Diagnosis of Crystalline Silicon Solar</w:t>
      </w:r>
      <w:r>
        <w:t xml:space="preserve"> </w:t>
      </w:r>
      <w:r>
        <w:t xml:space="preserve">Cells Utilizing Electroluminescence.</w:t>
      </w:r>
      <w:r>
        <w:t xml:space="preserve">”</w:t>
      </w:r>
      <w:r>
        <w:t xml:space="preserve"> </w:t>
      </w:r>
      <w:r>
        <w:rPr>
          <w:iCs/>
          <w:i/>
        </w:rPr>
        <w:t xml:space="preserve">Applied Physics A</w:t>
      </w:r>
      <w:r>
        <w:t xml:space="preserve"> </w:t>
      </w:r>
      <w:r>
        <w:t xml:space="preserve">96 (2009): 189–196.</w:t>
      </w:r>
    </w:p>
    <w:p>
      <w:pPr>
        <w:pStyle w:val="BodyText"/>
      </w:pPr>
      <w:r>
        <w:t xml:space="preserve">Gassend, B., D. Clarke, M. van Dijk, and S. Devadas.</w:t>
      </w:r>
      <w:r>
        <w:t xml:space="preserve"> </w:t>
      </w:r>
      <w:r>
        <w:t xml:space="preserve">“</w:t>
      </w:r>
      <w:r>
        <w:t xml:space="preserve">Silicon Physical Random</w:t>
      </w:r>
      <w:r>
        <w:t xml:space="preserve"> </w:t>
      </w:r>
      <w:r>
        <w:t xml:space="preserve">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’02</w:t>
      </w:r>
      <w:r>
        <w:t xml:space="preserve">, 148–160. ACM, 2002.</w:t>
      </w:r>
    </w:p>
    <w:p>
      <w:pPr>
        <w:pStyle w:val="BodyText"/>
      </w:pPr>
      <w:r>
        <w:t xml:space="preserve">Glenn, D. R., R. R. Fu, P. Kehayias, et al. </w:t>
      </w:r>
      <w:r>
        <w:t xml:space="preserve">“</w:t>
      </w:r>
      <w:r>
        <w:t xml:space="preserve">Micrometer-Scale Magnetic Imaging of</w:t>
      </w:r>
      <w:r>
        <w:t xml:space="preserve"> </w:t>
      </w:r>
      <w:r>
        <w:t xml:space="preserve">Geological Samples Using a Quantum Diamond Microscope.</w:t>
      </w:r>
      <w:r>
        <w:t xml:space="preserve">”</w:t>
      </w:r>
      <w:r>
        <w:t xml:space="preserve"> </w:t>
      </w:r>
      <w:r>
        <w:rPr>
          <w:iCs/>
          <w:i/>
        </w:rPr>
        <w:t xml:space="preserve">Geochemistry,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Geophysics, Geosystems</w:t>
      </w:r>
      <w:r>
        <w:t xml:space="preserve"> </w:t>
      </w:r>
      <w:r>
        <w:t xml:space="preserve">18, no. 8 (2017): 3254–3267.</w:t>
      </w:r>
    </w:p>
    <w:p>
      <w:pPr>
        <w:pStyle w:val="BodyText"/>
      </w:pPr>
      <w:r>
        <w:t xml:space="preserve">Government of India.</w:t>
      </w:r>
      <w:r>
        <w:t xml:space="preserve"> </w:t>
      </w:r>
      <w:r>
        <w:rPr>
          <w:iCs/>
          <w:i/>
        </w:rPr>
        <w:t xml:space="preserve">Digital Personal Data Protection Act, 2023.</w:t>
      </w:r>
      <w:r>
        <w:t xml:space="preserve"> </w:t>
      </w:r>
      <w:r>
        <w:t xml:space="preserve">Gazette of</w:t>
      </w:r>
      <w:r>
        <w:t xml:space="preserve"> </w:t>
      </w:r>
      <w:r>
        <w:t xml:space="preserve">India, 2023.</w:t>
      </w:r>
    </w:p>
    <w:p>
      <w:pPr>
        <w:pStyle w:val="BodyText"/>
      </w:pPr>
      <w:r>
        <w:t xml:space="preserve">Grieves, M., and J. Vickers.</w:t>
      </w:r>
      <w:r>
        <w:t xml:space="preserve"> </w:t>
      </w:r>
      <w:r>
        <w:t xml:space="preserve">“</w:t>
      </w:r>
      <w:r>
        <w:t xml:space="preserve">Digital Twin: Mitigating Unpredictable, Undesirable</w:t>
      </w:r>
      <w:r>
        <w:t xml:space="preserve"> </w:t>
      </w:r>
      <w:r>
        <w:t xml:space="preserve">Emergent Behavior in Complex Systems.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Transdisciplinary Perspectives on</w:t>
      </w:r>
      <w:r>
        <w:rPr>
          <w:iCs/>
          <w:i/>
        </w:rPr>
        <w:t xml:space="preserve"> </w:t>
      </w:r>
      <w:r>
        <w:rPr>
          <w:iCs/>
          <w:i/>
        </w:rPr>
        <w:t xml:space="preserve">Complex Systems</w:t>
      </w:r>
      <w:r>
        <w:t xml:space="preserve">, 85–113. Springer, 2017.</w:t>
      </w:r>
    </w:p>
    <w:p>
      <w:pPr>
        <w:pStyle w:val="BodyText"/>
      </w:pPr>
      <w:r>
        <w:t xml:space="preserve">Grover, L. K.</w:t>
      </w:r>
      <w:r>
        <w:t xml:space="preserve"> </w:t>
      </w:r>
      <w:r>
        <w:t xml:space="preserve">“</w:t>
      </w:r>
      <w:r>
        <w:t xml:space="preserve">A Fast Quantum Mechanical Algorithm for Database Search.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STOC ’96</w:t>
      </w:r>
      <w:r>
        <w:t xml:space="preserve">, 212–219. ACM, 1996.</w:t>
      </w:r>
    </w:p>
    <w:p>
      <w:pPr>
        <w:pStyle w:val="BodyText"/>
      </w:pPr>
      <w:r>
        <w:t xml:space="preserve">Guin, U., et al. </w:t>
      </w:r>
      <w:r>
        <w:t xml:space="preserve">“</w:t>
      </w:r>
      <w:r>
        <w:t xml:space="preserve">Counterfeit Integrated Circuits: A Rising Threat in the Global</w:t>
      </w:r>
      <w:r>
        <w:t xml:space="preserve"> </w:t>
      </w:r>
      <w:r>
        <w:t xml:space="preserve">Semiconductor Supply Chain.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 </w:t>
      </w:r>
      <w:r>
        <w:t xml:space="preserve">102, no. 8 (2014):</w:t>
      </w:r>
      <w:r>
        <w:t xml:space="preserve"> </w:t>
      </w:r>
      <w:r>
        <w:t xml:space="preserve">1207–1228.</w:t>
      </w:r>
    </w:p>
    <w:p>
      <w:pPr>
        <w:pStyle w:val="BodyText"/>
      </w:pPr>
      <w:r>
        <w:t xml:space="preserve">Haber, S., and W. S. Stornetta.</w:t>
      </w:r>
      <w:r>
        <w:t xml:space="preserve"> </w:t>
      </w:r>
      <w:r>
        <w:t xml:space="preserve">“</w:t>
      </w:r>
      <w:r>
        <w:t xml:space="preserve">How to Time-Stamp a Digital Document.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Cryptology</w:t>
      </w:r>
      <w:r>
        <w:t xml:space="preserve"> </w:t>
      </w:r>
      <w:r>
        <w:t xml:space="preserve">3, no. 2 (1991): 99–111.</w:t>
      </w:r>
    </w:p>
    <w:p>
      <w:pPr>
        <w:pStyle w:val="BodyText"/>
      </w:pPr>
      <w:r>
        <w:t xml:space="preserve">Helland, P.</w:t>
      </w:r>
      <w:r>
        <w:t xml:space="preserve"> </w:t>
      </w:r>
      <w:r>
        <w:t xml:space="preserve">“</w:t>
      </w:r>
      <w:r>
        <w:t xml:space="preserve">Immutability Changes Everything.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 </w:t>
      </w:r>
      <w:r>
        <w:t xml:space="preserve">59,</w:t>
      </w:r>
      <w:r>
        <w:t xml:space="preserve"> </w:t>
      </w:r>
      <w:r>
        <w:t xml:space="preserve">no. 1 (2016): 64–70.</w:t>
      </w:r>
    </w:p>
    <w:p>
      <w:pPr>
        <w:pStyle w:val="BodyTex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Report</w:t>
      </w:r>
      <w:r>
        <w:t xml:space="preserve"> </w:t>
      </w:r>
      <w:r>
        <w:t xml:space="preserve">T13-01:2014.</w:t>
      </w:r>
    </w:p>
    <w:p>
      <w:pPr>
        <w:pStyle w:val="BodyTex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Guidelines for Operation and Maintenance of Photovoltaic Power</w:t>
      </w:r>
      <w:r>
        <w:rPr>
          <w:iCs/>
          <w:i/>
        </w:rPr>
        <w:t xml:space="preserve"> </w:t>
      </w:r>
      <w:r>
        <w:rPr>
          <w:iCs/>
          <w:i/>
        </w:rPr>
        <w:t xml:space="preserve">Plants in Different Climates.</w:t>
      </w:r>
      <w:r>
        <w:t xml:space="preserve"> </w:t>
      </w:r>
      <w:r>
        <w:t xml:space="preserve">Report T13-25:2022.</w:t>
      </w:r>
    </w:p>
    <w:p>
      <w:pPr>
        <w:pStyle w:val="BodyTex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1547-2018: Standard for Interconnection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Interoperability of Distributed Energy Resources.</w:t>
      </w:r>
      <w:r>
        <w:t xml:space="preserve"> </w:t>
      </w:r>
      <w:r>
        <w:t xml:space="preserve">IEEE, 2018.</w:t>
      </w:r>
    </w:p>
    <w:p>
      <w:pPr>
        <w:pStyle w:val="BodyText"/>
      </w:pPr>
      <w:r>
        <w:t xml:space="preserve">International Chamber of Commerce.</w:t>
      </w:r>
      <w:r>
        <w:t xml:space="preserve"> </w:t>
      </w:r>
      <w:r>
        <w:rPr>
          <w:iCs/>
          <w:i/>
        </w:rPr>
        <w:t xml:space="preserve">ICC Arbitration Rules.</w:t>
      </w:r>
      <w:r>
        <w:t xml:space="preserve"> </w:t>
      </w:r>
      <w:r>
        <w:t xml:space="preserve">Paris: ICC, 2021.</w:t>
      </w:r>
    </w:p>
    <w:p>
      <w:pPr>
        <w:pStyle w:val="BodyTex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61215; IEC 61400 series;</w:t>
      </w:r>
      <w:r>
        <w:rPr>
          <w:iCs/>
          <w:i/>
        </w:rPr>
        <w:t xml:space="preserve"> </w:t>
      </w:r>
      <w:r>
        <w:rPr>
          <w:iCs/>
          <w:i/>
        </w:rPr>
        <w:t xml:space="preserve">IEC 61406; IEC 62446-1; IEC TS 60904-13.</w:t>
      </w:r>
      <w:r>
        <w:t xml:space="preserve"> </w:t>
      </w:r>
      <w:r>
        <w:t xml:space="preserve">Geneva: IEC.</w:t>
      </w:r>
    </w:p>
    <w:p>
      <w:pPr>
        <w:pStyle w:val="BodyTex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ISO/IEC 17025</w:t>
      </w:r>
      <w:r>
        <w:t xml:space="preserve">;</w:t>
      </w:r>
      <w:r>
        <w:t xml:space="preserve"> </w:t>
      </w:r>
      <w:r>
        <w:rPr>
          <w:iCs/>
          <w:i/>
        </w:rPr>
        <w:t xml:space="preserve">ISO/TC 307 work</w:t>
      </w:r>
      <w:r>
        <w:rPr>
          <w:iCs/>
          <w:i/>
        </w:rPr>
        <w:t xml:space="preserve"> </w:t>
      </w:r>
      <w:r>
        <w:rPr>
          <w:iCs/>
          <w:i/>
        </w:rPr>
        <w:t xml:space="preserve">programme.</w:t>
      </w:r>
      <w:r>
        <w:t xml:space="preserve"> </w:t>
      </w:r>
      <w:r>
        <w:t xml:space="preserve">Geneva: ISO.</w:t>
      </w:r>
    </w:p>
    <w:p>
      <w:pPr>
        <w:pStyle w:val="BodyText"/>
      </w:pPr>
      <w:r>
        <w:t xml:space="preserve">IRENA and IEA-PVPS.</w:t>
      </w:r>
      <w:r>
        <w:t xml:space="preserve"> </w:t>
      </w:r>
      <w:r>
        <w:rPr>
          <w:iCs/>
          <w:i/>
        </w:rPr>
        <w:t xml:space="preserve">End-of-Life Management: Solar Photovoltaic Panels.</w:t>
      </w:r>
      <w:r>
        <w:t xml:space="preserve"> </w:t>
      </w:r>
      <w:r>
        <w:t xml:space="preserve">IRENA,</w:t>
      </w:r>
      <w:r>
        <w:t xml:space="preserve"> </w:t>
      </w:r>
      <w:r>
        <w:t xml:space="preserve">2016.</w:t>
      </w:r>
    </w:p>
    <w:p>
      <w:pPr>
        <w:pStyle w:val="BodyText"/>
      </w:pPr>
      <w:r>
        <w:t xml:space="preserve">Jain, A. K., A. Ross, and S. Prabhakar.</w:t>
      </w:r>
      <w:r>
        <w:t xml:space="preserve"> </w:t>
      </w:r>
      <w:r>
        <w:t xml:space="preserve">“</w:t>
      </w:r>
      <w:r>
        <w:t xml:space="preserve">An Introduction to Biometric</w:t>
      </w:r>
      <w:r>
        <w:t xml:space="preserve"> </w:t>
      </w:r>
      <w:r>
        <w:t xml:space="preserve">Recognition.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Circuits and Systems for Video Technology</w:t>
      </w:r>
      <w:r>
        <w:t xml:space="preserve"> </w:t>
      </w:r>
      <w:r>
        <w:t xml:space="preserve">14, no. 1 (2004): 4–20.</w:t>
      </w:r>
    </w:p>
    <w:p>
      <w:pPr>
        <w:pStyle w:val="BodyText"/>
      </w:pPr>
      <w:r>
        <w:t xml:space="preserve">Jordan, D. C., and S. R. Kurtz.</w:t>
      </w:r>
      <w:r>
        <w:t xml:space="preserve"> </w:t>
      </w:r>
      <w:r>
        <w:t xml:space="preserve">“</w:t>
      </w:r>
      <w:r>
        <w:t xml:space="preserve">Photovoltaic Degradation Rates — An Analytical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 Photovoltaics</w:t>
      </w:r>
      <w:r>
        <w:t xml:space="preserve"> </w:t>
      </w:r>
      <w:r>
        <w:t xml:space="preserve">21, no. 1 (2013): 12–29.</w:t>
      </w:r>
    </w:p>
    <w:p>
      <w:pPr>
        <w:pStyle w:val="BodyText"/>
      </w:pPr>
      <w:r>
        <w:t xml:space="preserve">Jordan, D. C., et al. </w:t>
      </w:r>
      <w:r>
        <w:t xml:space="preserve">“</w:t>
      </w:r>
      <w:r>
        <w:t xml:space="preserve">Compendium of Photovoltaic Degradation Rates.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</w:t>
      </w:r>
      <w:r>
        <w:rPr>
          <w:iCs/>
          <w:i/>
        </w:rPr>
        <w:t xml:space="preserve"> </w:t>
      </w:r>
      <w:r>
        <w:rPr>
          <w:iCs/>
          <w:i/>
        </w:rPr>
        <w:t xml:space="preserve">in Photovoltaics</w:t>
      </w:r>
      <w:r>
        <w:t xml:space="preserve"> </w:t>
      </w:r>
      <w:r>
        <w:t xml:space="preserve">24, no. 7 (2016): 978–989.</w:t>
      </w:r>
    </w:p>
    <w:p>
      <w:pPr>
        <w:pStyle w:val="BodyText"/>
      </w:pPr>
      <w:r>
        <w:t xml:space="preserve">Juels, A., and B. S. Kaliski.</w:t>
      </w:r>
      <w:r>
        <w:t xml:space="preserve"> </w:t>
      </w:r>
      <w:r>
        <w:t xml:space="preserve">“</w:t>
      </w:r>
      <w:r>
        <w:t xml:space="preserve">PORs: Proofs of Retrievability for Large Files.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’07</w:t>
      </w:r>
      <w:r>
        <w:t xml:space="preserve">, 584–597. ACM, 2007.</w:t>
      </w:r>
    </w:p>
    <w:p>
      <w:pPr>
        <w:pStyle w:val="BodyText"/>
      </w:pPr>
      <w:r>
        <w:t xml:space="preserve">Köntges, M., et al. 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IEA-PVPS</w:t>
      </w:r>
      <w:r>
        <w:t xml:space="preserve"> </w:t>
      </w:r>
      <w:r>
        <w:t xml:space="preserve">Task 13 Report T13-01:2014.</w:t>
      </w:r>
    </w:p>
    <w:p>
      <w:pPr>
        <w:pStyle w:val="BodyText"/>
      </w:pPr>
      <w:r>
        <w:t xml:space="preserve">Merkle, R. C.</w:t>
      </w:r>
      <w:r>
        <w:t xml:space="preserve"> </w:t>
      </w:r>
      <w:r>
        <w:t xml:space="preserve">“</w:t>
      </w:r>
      <w:r>
        <w:t xml:space="preserve">A Digital Signature Based on a Conventional Encryption Function.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Cryptology — CRYPTO ’87</w:t>
      </w:r>
      <w:r>
        <w:t xml:space="preserve">, 369–378. Springer, 1988.</w:t>
      </w:r>
    </w:p>
    <w:p>
      <w:pPr>
        <w:pStyle w:val="BodyText"/>
      </w:pPr>
      <w:r>
        <w:t xml:space="preserve">Mosca, M.</w:t>
      </w:r>
      <w:r>
        <w:t xml:space="preserve"> </w:t>
      </w:r>
      <w:r>
        <w:t xml:space="preserve">“</w:t>
      </w:r>
      <w:r>
        <w:t xml:space="preserve">Cybersecurity in an Era with Quantum Computers: Will We Be Ready?</w:t>
      </w:r>
      <w:r>
        <w:t xml:space="preserve">”</w:t>
      </w:r>
      <w:r>
        <w:t xml:space="preserve"> </w:t>
      </w:r>
      <w:r>
        <w:rPr>
          <w:iCs/>
          <w:i/>
        </w:rPr>
        <w:t xml:space="preserve">IEEE Security &amp; Privacy</w:t>
      </w:r>
      <w:r>
        <w:t xml:space="preserve"> </w:t>
      </w:r>
      <w:r>
        <w:t xml:space="preserve">16, no. 5 (2018): 38–41.</w:t>
      </w:r>
    </w:p>
    <w:p>
      <w:pPr>
        <w:pStyle w:val="BodyText"/>
      </w:pPr>
      <w:r>
        <w:t xml:space="preserve">Nakamoto, S.</w:t>
      </w:r>
      <w:r>
        <w:t xml:space="preserve"> </w:t>
      </w:r>
      <w:r>
        <w:t xml:space="preserve">“</w:t>
      </w:r>
      <w:r>
        <w:t xml:space="preserve">Bitcoin: A Peer-to-Peer Electronic Cash System.</w:t>
      </w:r>
      <w:r>
        <w:t xml:space="preserve">”</w:t>
      </w:r>
      <w:r>
        <w:t xml:space="preserve"> </w:t>
      </w:r>
      <w:r>
        <w:t xml:space="preserve">White paper, 2008.</w:t>
      </w:r>
    </w:p>
    <w:p>
      <w:pPr>
        <w:pStyle w:val="BodyText"/>
      </w:pPr>
      <w:r>
        <w:t xml:space="preserve">Narayanan, A., J. Bonneau, E. Felten, A. Miller, and S. Goldfeder.</w:t>
      </w:r>
      <w:r>
        <w:t xml:space="preserve"> </w:t>
      </w:r>
      <w:r>
        <w:rPr>
          <w:iCs/>
          <w:i/>
        </w:rPr>
        <w:t xml:space="preserve">Bitcoin and</w:t>
      </w:r>
      <w:r>
        <w:rPr>
          <w:iCs/>
          <w:i/>
        </w:rPr>
        <w:t xml:space="preserve"> </w:t>
      </w:r>
      <w:r>
        <w:rPr>
          <w:iCs/>
          <w:i/>
        </w:rPr>
        <w:t xml:space="preserve">Cryptocurrency Technologies.</w:t>
      </w:r>
      <w:r>
        <w:t xml:space="preserve"> </w:t>
      </w:r>
      <w:r>
        <w:t xml:space="preserve">Princeton University Press, 2016.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Cs/>
          <w:i/>
        </w:rPr>
        <w:t xml:space="preserve">FIPS 203 (ML-KEM); FIPS 204</w:t>
      </w:r>
      <w:r>
        <w:rPr>
          <w:iCs/>
          <w:i/>
        </w:rPr>
        <w:t xml:space="preserve"> </w:t>
      </w:r>
      <w:r>
        <w:rPr>
          <w:iCs/>
          <w:i/>
        </w:rPr>
        <w:t xml:space="preserve">(ML-DSA); FIPS 205 (SLH-DSA).</w:t>
      </w:r>
      <w:r>
        <w:t xml:space="preserve"> </w:t>
      </w:r>
      <w:r>
        <w:t xml:space="preserve">Gaithersburg, MD: NIST, 2024.</w:t>
      </w:r>
    </w:p>
    <w:p>
      <w:pPr>
        <w:pStyle w:val="BodyText"/>
      </w:pPr>
      <w:r>
        <w:t xml:space="preserve">Neubauer, J., and A. Pesaran.</w:t>
      </w:r>
      <w:r>
        <w:t xml:space="preserve"> </w:t>
      </w:r>
      <w:r>
        <w:t xml:space="preserve">“</w:t>
      </w:r>
      <w:r>
        <w:t xml:space="preserve">The Ability of Battery Second Use Strategies to</w:t>
      </w:r>
      <w:r>
        <w:t xml:space="preserve"> </w:t>
      </w:r>
      <w:r>
        <w:t xml:space="preserve">Impact Plug-in Electric Vehicle Prices and Serve Utility Energy Storage</w:t>
      </w:r>
      <w:r>
        <w:t xml:space="preserve"> </w:t>
      </w:r>
      <w:r>
        <w:t xml:space="preserve">Applications.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196, no. 23 (2011): 10351–10358.</w:t>
      </w:r>
    </w:p>
    <w:p>
      <w:pPr>
        <w:pStyle w:val="BodyText"/>
      </w:pPr>
      <w:r>
        <w:t xml:space="preserve">Nielsen, J. S., and J. D. Sørensen.</w:t>
      </w:r>
      <w:r>
        <w:t xml:space="preserve"> </w:t>
      </w:r>
      <w:r>
        <w:t xml:space="preserve">“</w:t>
      </w:r>
      <w:r>
        <w:t xml:space="preserve">On Risk-Based Operation and Maintenance of</w:t>
      </w:r>
      <w:r>
        <w:t xml:space="preserve"> </w:t>
      </w:r>
      <w:r>
        <w:t xml:space="preserve">Offshore Wind Turbine Components.</w:t>
      </w:r>
      <w:r>
        <w:t xml:space="preserve">”</w:t>
      </w:r>
      <w:r>
        <w:t xml:space="preserve"> </w:t>
      </w:r>
      <w:r>
        <w:rPr>
          <w:iCs/>
          <w:i/>
        </w:rPr>
        <w:t xml:space="preserve">Reliability Engineering &amp; System Safety</w:t>
      </w:r>
      <w:r>
        <w:t xml:space="preserve"> </w:t>
      </w:r>
      <w:r>
        <w:t xml:space="preserve">96,</w:t>
      </w:r>
      <w:r>
        <w:t xml:space="preserve"> </w:t>
      </w:r>
      <w:r>
        <w:t xml:space="preserve">no. 1 (2011): 218–229.</w:t>
      </w:r>
    </w:p>
    <w:p>
      <w:pPr>
        <w:pStyle w:val="BodyText"/>
      </w:pPr>
      <w:r>
        <w:t xml:space="preserve">Regulation (EU) 2016/631 (network code on requirements for grid connection of</w:t>
      </w:r>
      <w:r>
        <w:t xml:space="preserve"> </w:t>
      </w:r>
      <w:r>
        <w:t xml:space="preserve">generators); Regulation (EU) 2016/679 (GDPR); Regulation (EU) 2023/1542 (Battery</w:t>
      </w:r>
      <w:r>
        <w:t xml:space="preserve"> </w:t>
      </w:r>
      <w:r>
        <w:t xml:space="preserve">Regulation); Regulation (EU) 2024/1781 (ESPR).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Union.</w:t>
      </w:r>
    </w:p>
    <w:p>
      <w:pPr>
        <w:pStyle w:val="BodyText"/>
      </w:pPr>
      <w:r>
        <w:t xml:space="preserve">Rondin, L., J.-P. Tetienne, T. Hingant, J.-F. Roch, P. Maletinsky, and</w:t>
      </w:r>
      <w:r>
        <w:t xml:space="preserve"> </w:t>
      </w:r>
      <w:r>
        <w:t xml:space="preserve">V. Jacques.</w:t>
      </w:r>
      <w:r>
        <w:t xml:space="preserve"> </w:t>
      </w:r>
      <w:r>
        <w:t xml:space="preserve">“</w:t>
      </w:r>
      <w:r>
        <w:t xml:space="preserve">Magnetometry with Nitrogen-Vacancy Defects in Diamond.</w:t>
      </w:r>
      <w:r>
        <w:t xml:space="preserve">”</w:t>
      </w:r>
      <w:r>
        <w:t xml:space="preserve"> </w:t>
      </w:r>
      <w:r>
        <w:rPr>
          <w:iCs/>
          <w:i/>
        </w:rPr>
        <w:t xml:space="preserve">Reports on</w:t>
      </w:r>
      <w:r>
        <w:rPr>
          <w:iCs/>
          <w:i/>
        </w:rPr>
        <w:t xml:space="preserve"> </w:t>
      </w:r>
      <w:r>
        <w:rPr>
          <w:iCs/>
          <w:i/>
        </w:rPr>
        <w:t xml:space="preserve">Progress in Physics</w:t>
      </w:r>
      <w:r>
        <w:t xml:space="preserve"> </w:t>
      </w:r>
      <w:r>
        <w:t xml:space="preserve">77, no. 5 (2014): 056503.</w:t>
      </w:r>
    </w:p>
    <w:p>
      <w:pPr>
        <w:pStyle w:val="BodyTex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’10</w:t>
      </w:r>
      <w:r>
        <w:t xml:space="preserve">, 237–249. ACM, 2010.</w:t>
      </w:r>
    </w:p>
    <w:p>
      <w:pPr>
        <w:pStyle w:val="BodyText"/>
      </w:pPr>
      <w:r>
        <w:t xml:space="preserve">Shor, P. W.</w:t>
      </w:r>
      <w:r>
        <w:t xml:space="preserve"> </w:t>
      </w:r>
      <w:r>
        <w:t xml:space="preserve">“</w:t>
      </w:r>
      <w:r>
        <w:t xml:space="preserve">Polynomial-Time Algorithms for Prime Factorization and Discrete</w:t>
      </w:r>
      <w:r>
        <w:t xml:space="preserve"> </w:t>
      </w:r>
      <w:r>
        <w:t xml:space="preserve">Logarithms on a Quantum Computer.</w:t>
      </w:r>
      <w:r>
        <w:t xml:space="preserve">”</w:t>
      </w:r>
      <w:r>
        <w:t xml:space="preserve"> </w:t>
      </w:r>
      <w:r>
        <w:rPr>
          <w:iCs/>
          <w:i/>
        </w:rPr>
        <w:t xml:space="preserve">SIAM Journal on Computing</w:t>
      </w:r>
      <w:r>
        <w:t xml:space="preserve"> </w:t>
      </w:r>
      <w:r>
        <w:t xml:space="preserve">26, no. 5 (1997):</w:t>
      </w:r>
      <w:r>
        <w:t xml:space="preserve"> </w:t>
      </w:r>
      <w:r>
        <w:t xml:space="preserve">1484–1509.</w:t>
      </w:r>
    </w:p>
    <w:p>
      <w:pPr>
        <w:pStyle w:val="BodyText"/>
      </w:pPr>
      <w:r>
        <w:t xml:space="preserve">Shostack, A.</w:t>
      </w:r>
      <w:r>
        <w:t xml:space="preserve"> </w:t>
      </w:r>
      <w:r>
        <w:rPr>
          <w:iCs/>
          <w:i/>
        </w:rPr>
        <w:t xml:space="preserve">Threat Modeling: Designing for Security.</w:t>
      </w:r>
      <w:r>
        <w:t xml:space="preserve"> </w:t>
      </w:r>
      <w:r>
        <w:t xml:space="preserve">Wiley, 2014.</w:t>
      </w:r>
    </w:p>
    <w:p>
      <w:pPr>
        <w:pStyle w:val="BodyText"/>
      </w:pPr>
      <w:r>
        <w:t xml:space="preserve">Spence, M.</w:t>
      </w:r>
      <w:r>
        <w:t xml:space="preserve"> </w:t>
      </w:r>
      <w:r>
        <w:t xml:space="preserve">“</w:t>
      </w:r>
      <w:r>
        <w:t xml:space="preserve">Job Market Signaling.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87, no. 3</w:t>
      </w:r>
      <w:r>
        <w:t xml:space="preserve"> </w:t>
      </w:r>
      <w:r>
        <w:t xml:space="preserve">(1973): 355–374.</w:t>
      </w:r>
    </w:p>
    <w:p>
      <w:pPr>
        <w:pStyle w:val="BodyText"/>
      </w:pPr>
      <w:r>
        <w:t xml:space="preserve">Stiglitz, J. E., and A. Weiss.</w:t>
      </w:r>
      <w:r>
        <w:t xml:space="preserve"> </w:t>
      </w:r>
      <w:r>
        <w:t xml:space="preserve">“</w:t>
      </w:r>
      <w:r>
        <w:t xml:space="preserve">Credit Rationing in Markets with Imperfect</w:t>
      </w:r>
      <w:r>
        <w:t xml:space="preserve"> </w:t>
      </w:r>
      <w:r>
        <w:t xml:space="preserve">Information.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71, no. 3 (1981): 393–410.</w:t>
      </w:r>
    </w:p>
    <w:p>
      <w:pPr>
        <w:pStyle w:val="BodyText"/>
      </w:pPr>
      <w:r>
        <w:t xml:space="preserve">Thibault, L. T., T. Sarry, and A. S. Hafid.</w:t>
      </w:r>
      <w:r>
        <w:t xml:space="preserve"> </w:t>
      </w:r>
      <w:r>
        <w:t xml:space="preserve">“</w:t>
      </w:r>
      <w:r>
        <w:t xml:space="preserve">Blockchain Scaling Using Rollups: A</w:t>
      </w:r>
      <w:r>
        <w:t xml:space="preserve"> </w:t>
      </w:r>
      <w:r>
        <w:t xml:space="preserve">Comprehensive Survey.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10 (2022): 93039–93054.</w:t>
      </w:r>
    </w:p>
    <w:p>
      <w:pPr>
        <w:pStyle w:val="BodyText"/>
      </w:pPr>
      <w:r>
        <w:t xml:space="preserve">Trusted Computing Group.</w:t>
      </w:r>
      <w:r>
        <w:t xml:space="preserve"> </w:t>
      </w:r>
      <w:r>
        <w:rPr>
          <w:iCs/>
          <w:i/>
        </w:rPr>
        <w:t xml:space="preserve">TPM 2.0 Library Specification.</w:t>
      </w:r>
      <w:r>
        <w:t xml:space="preserve"> </w:t>
      </w:r>
      <w:r>
        <w:t xml:space="preserve">TCG, latest revision.</w:t>
      </w:r>
    </w:p>
    <w:p>
      <w:pPr>
        <w:pStyle w:val="BodyText"/>
      </w:pPr>
      <w:r>
        <w:t xml:space="preserve">U.S. Federal Aviation Administration. Advisory Circular AC 00-56B.</w:t>
      </w:r>
    </w:p>
    <w:p>
      <w:pPr>
        <w:pStyle w:val="BodyText"/>
      </w:pPr>
      <w:r>
        <w:t xml:space="preserve">Wang, G., Z. J. Shi, M. Nixon, and S. Han.</w:t>
      </w:r>
      <w:r>
        <w:t xml:space="preserve"> </w:t>
      </w:r>
      <w:r>
        <w:t xml:space="preserve">“</w:t>
      </w:r>
      <w:r>
        <w:t xml:space="preserve">SoK: Sharding on Blockchain.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AFT ’19</w:t>
      </w:r>
      <w:r>
        <w:t xml:space="preserve">, 41–61. ACM, 2019.</w:t>
      </w:r>
    </w:p>
    <w:p>
      <w:pPr>
        <w:pStyle w:val="BodyTex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</w:t>
      </w:r>
      <w:r>
        <w:t xml:space="preserve"> </w:t>
      </w:r>
      <w:r>
        <w:t xml:space="preserve">(2022);</w:t>
      </w:r>
      <w:r>
        <w:t xml:space="preserve"> </w:t>
      </w:r>
      <w:r>
        <w:rPr>
          <w:iCs/>
          <w:i/>
        </w:rPr>
        <w:t xml:space="preserve">Verifiable Credentials Data Model v2.0</w:t>
      </w:r>
      <w:r>
        <w:t xml:space="preserve"> </w:t>
      </w:r>
      <w:r>
        <w:t xml:space="preserve">(2025). W3C Recommendations.</w:t>
      </w:r>
    </w:p>
    <w:p>
      <w:pPr>
        <w:pStyle w:val="BodyText"/>
      </w:pPr>
      <w:r>
        <w:t xml:space="preserve">Wüst, K., and A. Gervais.</w:t>
      </w:r>
      <w:r>
        <w:t xml:space="preserve"> </w:t>
      </w:r>
      <w:r>
        <w:t xml:space="preserve">“</w:t>
      </w:r>
      <w:r>
        <w:t xml:space="preserve">Do You Need a Blockchain?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2018 Crypto Valley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Blockchain Technology (CVCBT)</w:t>
      </w:r>
      <w:r>
        <w:t xml:space="preserve">, 45–54. IEEE, 2018.</w:t>
      </w:r>
    </w:p>
    <w:p>
      <w:pPr>
        <w:pStyle w:val="BodyText"/>
      </w:pPr>
      <w:r>
        <w:t xml:space="preserve">Yin, M., D. Malkhi, M. K. Reiter, G. Golan-Gueta, and I. Abraham.</w:t>
      </w:r>
      <w:r>
        <w:t xml:space="preserve"> </w:t>
      </w:r>
      <w:r>
        <w:t xml:space="preserve">“</w:t>
      </w:r>
      <w:r>
        <w:t xml:space="preserve">HotStuff: BFT</w:t>
      </w:r>
      <w:r>
        <w:t xml:space="preserve"> </w:t>
      </w:r>
      <w:r>
        <w:t xml:space="preserve">Consensus with Linearity and Responsiveness.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PODC ’19</w:t>
      </w:r>
      <w:r>
        <w:t xml:space="preserve">,</w:t>
      </w:r>
      <w:r>
        <w:t xml:space="preserve"> </w:t>
      </w:r>
      <w:r>
        <w:t xml:space="preserve">347–356. ACM, 2019.</w:t>
      </w:r>
    </w:p>
    <w:p>
      <w:pPr>
        <w:pStyle w:val="BodyText"/>
      </w:pPr>
      <w:r>
        <w:t xml:space="preserve">Young, G.</w:t>
      </w:r>
      <w:r>
        <w:t xml:space="preserve"> </w:t>
      </w:r>
      <w:r>
        <w:rPr>
          <w:iCs/>
          <w:i/>
        </w:rPr>
        <w:t xml:space="preserve">Versioning in an Event Sourced System.</w:t>
      </w:r>
      <w:r>
        <w:t xml:space="preserve"> </w:t>
      </w:r>
      <w:r>
        <w:t xml:space="preserve">Leanpub, 2017.</w:t>
      </w:r>
    </w:p>
    <w:p>
      <w:pPr>
        <w:pStyle w:val="BodyText"/>
      </w:pPr>
      <w:r>
        <w:t xml:space="preserve">Zhang, F., E. Cecchetti, K. Croman, A. Juels, and E. Shi.</w:t>
      </w:r>
      <w:r>
        <w:t xml:space="preserve"> </w:t>
      </w:r>
      <w:r>
        <w:t xml:space="preserve">“</w:t>
      </w:r>
      <w:r>
        <w:t xml:space="preserve">Town Crier: An</w:t>
      </w:r>
      <w:r>
        <w:t xml:space="preserve"> </w:t>
      </w:r>
      <w:r>
        <w:t xml:space="preserve">Authenticated Data Feed for Smart Contracts.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’16</w:t>
      </w:r>
      <w:r>
        <w:t xml:space="preserve">,</w:t>
      </w:r>
      <w:r>
        <w:t xml:space="preserve"> </w:t>
      </w:r>
      <w:r>
        <w:t xml:space="preserve">270–282. ACM, 2016.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PRIOR BLOCKCHAIN FUNDAMENTALS MONOGRAPH]</w:t>
      </w:r>
      <w:r>
        <w:t xml:space="preserve">. [Publisher — TO BE SUPPLIED], [year — TO BE SUPPLIED].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POST-QUANTUM MIGRATION MONOGRAPH]</w:t>
      </w:r>
      <w:r>
        <w:t xml:space="preserve">. [Publisher — TO BE SUPPLIED], [year — TO BE SUPPLIED].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 Application No. [NUMBER — TO BE SUPPLIED], filed [DATE — TO BE SUPPLIED].</w:t>
      </w:r>
    </w:p>
    <w:p>
      <w:pPr>
        <w:pStyle w:val="BodyText"/>
      </w:pPr>
      <w:r>
        <w:t xml:space="preserve">[PROGRAM TECHNICAL REPORTS — TITLES, NUMBERS, YEARS — TO BE SUPPLIED WHEN SPONSOR</w:t>
      </w:r>
      <w:r>
        <w:t xml:space="preserve"> </w:t>
      </w:r>
      <w:r>
        <w:t xml:space="preserve">CLEARANCES ARE COMPLETE. Substantiate Chapter 11 Table 11.2 class-A rows.]</w:t>
      </w:r>
    </w:p>
    <w:p>
      <w:pPr>
        <w:pStyle w:val="BodyText"/>
      </w:pPr>
      <w:r>
        <w:t xml:space="preserve">[USED-MODULE MARKET PRICING SOURCES — TO BE SUPPLIED AND RE-VERIFIED AT PRESS</w:t>
      </w:r>
      <w:r>
        <w:t xml:space="preserve"> </w:t>
      </w:r>
      <w:r>
        <w:t xml:space="preserve">TIME.]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