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X403159a1744f8e7f68e154d9c1c3380bd3f8aaf"/>
    <w:p>
      <w:pPr>
        <w:pStyle w:val="Heading1"/>
      </w:pPr>
      <w:r>
        <w:t xml:space="preserve">Structural Defect Mapping and Integrity Verification</w:t>
      </w:r>
    </w:p>
    <w:bookmarkStart w:id="20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This is the book’s anchor chapter, and the one that draws most directly on my own</w:t>
      </w:r>
      <w:r>
        <w:t xml:space="preserve"> </w:t>
      </w:r>
      <w:r>
        <w:t xml:space="preserve">research. It develops the passive-binding branch of Chapter 3 to its strongest form:</w:t>
      </w:r>
      <w:r>
        <w:t xml:space="preserve"> </w:t>
      </w:r>
      <w:r>
        <w:t xml:space="preserve">mapping the defect structure of photovoltaic devices, binding those maps to the</w:t>
      </w:r>
      <w:r>
        <w:t xml:space="preserve"> </w:t>
      </w:r>
      <w:r>
        <w:t xml:space="preserve">ledger identity record at enrollment, and building on that binding a verification</w:t>
      </w:r>
      <w:r>
        <w:t xml:space="preserve"> </w:t>
      </w:r>
      <w:r>
        <w:t xml:space="preserve">workflow through which a downstream party — an insurer, a buyer, a grid operator, a</w:t>
      </w:r>
      <w:r>
        <w:t xml:space="preserve"> </w:t>
      </w:r>
      <w:r>
        <w:t xml:space="preserve">warranty adjudicator — can trust a panel’s recorded condition history without</w:t>
      </w:r>
      <w:r>
        <w:t xml:space="preserve"> </w:t>
      </w:r>
      <w:r>
        <w:t xml:space="preserve">trusting its custodian. Everything Part II has built converges here: the enrollment</w:t>
      </w:r>
      <w:r>
        <w:t xml:space="preserve"> </w:t>
      </w:r>
      <w:r>
        <w:t xml:space="preserve">moment of Chapter 4 gets its measurement, the</w:t>
      </w:r>
      <w:r>
        <w:t xml:space="preserve"> </w:t>
      </w:r>
      <w:r>
        <w:rPr>
          <w:rStyle w:val="VerbatimChar"/>
        </w:rPr>
        <w:t xml:space="preserve">EVT_REGISTER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EVT_INSPECT</w:t>
      </w:r>
      <w:r>
        <w:t xml:space="preserve"> </w:t>
      </w:r>
      <w:r>
        <w:t xml:space="preserve">events of Chapter 5 get their payloads, and the four identity properties of</w:t>
      </w:r>
      <w:r>
        <w:t xml:space="preserve"> </w:t>
      </w:r>
      <w:r>
        <w:t xml:space="preserve">Chapter 1 finally get their physical root. Portions of the mechanism described in</w:t>
      </w:r>
      <w:r>
        <w:t xml:space="preserve"> </w:t>
      </w:r>
      <w:r>
        <w:t xml:space="preserve">Sections 6.4–6.6 are the subject of my pending patent application; as promised in the</w:t>
      </w:r>
      <w:r>
        <w:t xml:space="preserve"> </w:t>
      </w:r>
      <w:r>
        <w:t xml:space="preserve">Preface, the ideas are explained fully, and readers evaluating alternative</w:t>
      </w:r>
      <w:r>
        <w:t xml:space="preserve"> </w:t>
      </w:r>
      <w:r>
        <w:t xml:space="preserve">integrity-verification mechanisms will find the workflow of Section 6.6 transfers to</w:t>
      </w:r>
      <w:r>
        <w:t xml:space="preserve"> </w:t>
      </w:r>
      <w:r>
        <w:t xml:space="preserve">any binding modality that satisfies the requirements of Section 6.5. Section 6.9</w:t>
      </w:r>
      <w:r>
        <w:t xml:space="preserve"> </w:t>
      </w:r>
      <w:r>
        <w:t xml:space="preserve">states the intellectual-property posture plainly so that no reader has to</w:t>
      </w:r>
      <w:r>
        <w:t xml:space="preserve"> </w:t>
      </w:r>
      <w:r>
        <w:t xml:space="preserve">infer it from omissions.</w:t>
      </w:r>
    </w:p>
    <w:p>
      <w:pPr>
        <w:pStyle w:val="BodyText"/>
      </w:pPr>
      <w:r>
        <w:t xml:space="preserve">Section 6.0 fixes terminology before the physics: this chapter is about</w:t>
      </w:r>
      <w:r>
        <w:t xml:space="preserve"> </w:t>
      </w:r>
      <w:r>
        <w:rPr>
          <w:iCs/>
          <w:i/>
        </w:rPr>
        <w:t xml:space="preserve">structural defect mapping</w:t>
      </w:r>
      <w:r>
        <w:t xml:space="preserve">, not a survey of quantum technologies. Section 6.8</w:t>
      </w:r>
      <w:r>
        <w:t xml:space="preserve"> </w:t>
      </w:r>
      <w:r>
        <w:t xml:space="preserve">collects the open problems rather than burying them. The chapter runs from the</w:t>
      </w:r>
      <w:r>
        <w:t xml:space="preserve"> </w:t>
      </w:r>
      <w:r>
        <w:t xml:space="preserve">physical argument (why defect structure is the right anchor, and why simpler marks</w:t>
      </w:r>
      <w:r>
        <w:t xml:space="preserve"> </w:t>
      </w:r>
      <w:r>
        <w:t xml:space="preserve">are not), through the sensing toolbox with maturity stated plainly, the enrollment</w:t>
      </w:r>
      <w:r>
        <w:t xml:space="preserve"> </w:t>
      </w:r>
      <w:r>
        <w:t xml:space="preserve">pipeline and its two-layer decomposition, the three-element binding construction,</w:t>
      </w:r>
      <w:r>
        <w:t xml:space="preserve"> </w:t>
      </w:r>
      <w:r>
        <w:t xml:space="preserve">the generalized requirements for readers bringing other modalities, the four-step</w:t>
      </w:r>
      <w:r>
        <w:t xml:space="preserve"> </w:t>
      </w:r>
      <w:r>
        <w:t xml:space="preserve">verification workflow with its sampling arithmetic, and the tier economics —</w:t>
      </w:r>
      <w:r>
        <w:t xml:space="preserve"> </w:t>
      </w:r>
      <w:r>
        <w:t xml:space="preserve">closing with the open problems and, in Section 6.9, a plain statement of the</w:t>
      </w:r>
      <w:r>
        <w:t xml:space="preserve"> </w:t>
      </w:r>
      <w:r>
        <w:t xml:space="preserve">intellectual-property posture so that readers can weigh the argument knowing their</w:t>
      </w:r>
      <w:r>
        <w:t xml:space="preserve"> </w:t>
      </w:r>
      <w:r>
        <w:t xml:space="preserve">author’s stake.</w:t>
      </w:r>
    </w:p>
    <w:bookmarkEnd w:id="20"/>
    <w:bookmarkStart w:id="21" w:name="X16961008970a8919a56024b19611c5e72319fc5"/>
    <w:p>
      <w:pPr>
        <w:pStyle w:val="Heading2"/>
      </w:pPr>
      <w:r>
        <w:t xml:space="preserve">6.0 Terminology: Structural Mapping, Quantum Modalities, and Classical Characterization</w:t>
      </w:r>
    </w:p>
    <w:p>
      <w:pPr>
        <w:pStyle w:val="FirstParagraph"/>
      </w:pPr>
      <w:r>
        <w:t xml:space="preserve">Measurement scientists and energy engineers use overlapping vocabulary for</w:t>
      </w:r>
      <w:r>
        <w:t xml:space="preserve"> </w:t>
      </w:r>
      <w:r>
        <w:t xml:space="preserve">different instrument classes. This book uses the terms below consistently; a</w:t>
      </w:r>
      <w:r>
        <w:t xml:space="preserve"> </w:t>
      </w:r>
      <w:r>
        <w:t xml:space="preserve">reviewer from either community should find no hidden category error.</w:t>
      </w:r>
    </w:p>
    <w:p>
      <w:pPr>
        <w:pStyle w:val="BodyText"/>
      </w:pPr>
      <w:r>
        <w:rPr>
          <w:bCs/>
          <w:b/>
        </w:rPr>
        <w:t xml:space="preserve">Structural defect mapping</w:t>
      </w:r>
      <w:r>
        <w:t xml:space="preserve"> </w:t>
      </w:r>
      <w:r>
        <w:t xml:space="preserve">is the chapter’s subject: recovering a per-unit</w:t>
      </w:r>
      <w:r>
        <w:t xml:space="preserve"> </w:t>
      </w:r>
      <w:r>
        <w:t xml:space="preserve">fingerprint of the microscopic and mesoscopic defect population — grain</w:t>
      </w:r>
      <w:r>
        <w:t xml:space="preserve"> </w:t>
      </w:r>
      <w:r>
        <w:t xml:space="preserve">boundaries, shunt paths, solder-bond resistance outliers, crack precursors — that</w:t>
      </w:r>
      <w:r>
        <w:t xml:space="preserve"> </w:t>
      </w:r>
      <w:r>
        <w:t xml:space="preserve">manufacturing does not control and that evolves as the module degrades. The map is</w:t>
      </w:r>
      <w:r>
        <w:t xml:space="preserve"> </w:t>
      </w:r>
      <w:r>
        <w:t xml:space="preserve">the identity anchor; the instruments are means to read it.</w:t>
      </w:r>
    </w:p>
    <w:p>
      <w:pPr>
        <w:pStyle w:val="BodyText"/>
      </w:pPr>
      <w:r>
        <w:rPr>
          <w:bCs/>
          <w:b/>
        </w:rPr>
        <w:t xml:space="preserve">Quantum-limited sensing modalities</w:t>
      </w:r>
      <w:r>
        <w:t xml:space="preserve"> </w:t>
      </w:r>
      <w:r>
        <w:t xml:space="preserve">are those whose readout exploits quantum</w:t>
      </w:r>
      <w:r>
        <w:t xml:space="preserve"> </w:t>
      </w:r>
      <w:r>
        <w:t xml:space="preserve">states of a probe — spin ensembles, superconducting loops — to reach field or</w:t>
      </w:r>
      <w:r>
        <w:t xml:space="preserve"> </w:t>
      </w:r>
      <w:r>
        <w:t xml:space="preserve">current sensitivity below what classical magnetometers achieve at comparable</w:t>
      </w:r>
      <w:r>
        <w:t xml:space="preserve"> </w:t>
      </w:r>
      <w:r>
        <w:t xml:space="preserve">spatial resolution. In this architecture,</w:t>
      </w:r>
      <w:r>
        <w:t xml:space="preserve"> </w:t>
      </w:r>
      <w:r>
        <w:rPr>
          <w:bCs/>
          <w:b/>
        </w:rPr>
        <w:t xml:space="preserve">nitrogen-vacancy (NV) magnetometry</w:t>
      </w:r>
      <w:r>
        <w:t xml:space="preserve"> </w:t>
      </w:r>
      <w:r>
        <w:t xml:space="preserve">and laboratory</w:t>
      </w:r>
      <w:r>
        <w:t xml:space="preserve"> </w:t>
      </w:r>
      <w:r>
        <w:rPr>
          <w:bCs/>
          <w:b/>
        </w:rPr>
        <w:t xml:space="preserve">scanning SQUID</w:t>
      </w:r>
      <w:r>
        <w:t xml:space="preserve"> </w:t>
      </w:r>
      <w:r>
        <w:t xml:space="preserve">systems fall in this class. They are the</w:t>
      </w:r>
      <w:r>
        <w:t xml:space="preserve"> </w:t>
      </w:r>
      <w:r>
        <w:t xml:space="preserve">high-assurance enrollment and escalation tools of Table 6.1’s upper tiers.</w:t>
      </w:r>
    </w:p>
    <w:p>
      <w:pPr>
        <w:pStyle w:val="BodyText"/>
      </w:pPr>
      <w:r>
        <w:rPr>
          <w:bCs/>
          <w:b/>
        </w:rPr>
        <w:t xml:space="preserve">Established semiconductor characterization</w:t>
      </w:r>
      <w:r>
        <w:t xml:space="preserve"> </w:t>
      </w:r>
      <w:r>
        <w:t xml:space="preserve">covers modalities the PV industry</w:t>
      </w:r>
      <w:r>
        <w:t xml:space="preserve"> </w:t>
      </w:r>
      <w:r>
        <w:t xml:space="preserve">already deploys at factory and field scale:</w:t>
      </w:r>
      <w:r>
        <w:t xml:space="preserve"> </w:t>
      </w:r>
      <w:r>
        <w:rPr>
          <w:bCs/>
          <w:b/>
        </w:rPr>
        <w:t xml:space="preserve">electroluminescence (EL) imaging</w:t>
      </w:r>
      <w:r>
        <w:t xml:space="preserve">,</w:t>
      </w:r>
      <w:r>
        <w:t xml:space="preserve"> </w:t>
      </w:r>
      <w:r>
        <w:rPr>
          <w:bCs/>
          <w:b/>
        </w:rPr>
        <w:t xml:space="preserve">lock-in thermography</w:t>
      </w:r>
      <w:r>
        <w:t xml:space="preserve">,</w:t>
      </w:r>
      <w:r>
        <w:t xml:space="preserve"> </w:t>
      </w:r>
      <w:r>
        <w:rPr>
          <w:bCs/>
          <w:b/>
        </w:rPr>
        <w:t xml:space="preserve">infrared thermography</w:t>
      </w:r>
      <w:r>
        <w:t xml:space="preserve">, and</w:t>
      </w:r>
      <w:r>
        <w:t xml:space="preserve"> </w:t>
      </w:r>
      <w:r>
        <w:rPr>
          <w:bCs/>
          <w:b/>
        </w:rPr>
        <w:t xml:space="preserve">I–V characterization</w:t>
      </w:r>
      <w:r>
        <w:t xml:space="preserve">.</w:t>
      </w:r>
      <w:r>
        <w:t xml:space="preserve"> </w:t>
      </w:r>
      <w:r>
        <w:t xml:space="preserve">These are not</w:t>
      </w:r>
      <w:r>
        <w:t xml:space="preserve"> </w:t>
      </w:r>
      <w:r>
        <w:t xml:space="preserve">“</w:t>
      </w:r>
      <w:r>
        <w:t xml:space="preserve">quantum sensing</w:t>
      </w:r>
      <w:r>
        <w:t xml:space="preserve">”</w:t>
      </w:r>
      <w:r>
        <w:t xml:space="preserve"> </w:t>
      </w:r>
      <w:r>
        <w:t xml:space="preserve">in the physics sense. They are mature, classical</w:t>
      </w:r>
      <w:r>
        <w:t xml:space="preserve"> </w:t>
      </w:r>
      <w:r>
        <w:t xml:space="preserve">measurements of recombination, dissipation, and integral electrical behavior. In</w:t>
      </w:r>
      <w:r>
        <w:t xml:space="preserve"> </w:t>
      </w:r>
      <w:r>
        <w:t xml:space="preserve">this architecture they provide corroboration, routine tiers, and fleet screening —</w:t>
      </w:r>
      <w:r>
        <w:t xml:space="preserve"> </w:t>
      </w:r>
      <w:r>
        <w:t xml:space="preserve">not because they are inferior science, but because their economics and deployment</w:t>
      </w:r>
      <w:r>
        <w:t xml:space="preserve"> </w:t>
      </w:r>
      <w:r>
        <w:t xml:space="preserve">maturity match high-volume manufacture.</w:t>
      </w:r>
    </w:p>
    <w:p>
      <w:pPr>
        <w:pStyle w:val="BodyText"/>
      </w:pPr>
      <w:r>
        <w:rPr>
          <w:bCs/>
          <w:b/>
        </w:rPr>
        <w:t xml:space="preserve">Composite enrollment</w:t>
      </w:r>
      <w:r>
        <w:t xml:space="preserve"> </w:t>
      </w:r>
      <w:r>
        <w:t xml:space="preserve">combines both classes: factory EL plus flash data at Tier 0</w:t>
      </w:r>
      <w:r>
        <w:t xml:space="preserve"> </w:t>
      </w:r>
      <w:r>
        <w:t xml:space="preserve">(cheap, universal), magnetometric defect maps at Tier 2 (higher cost, higher</w:t>
      </w:r>
      <w:r>
        <w:t xml:space="preserve"> </w:t>
      </w:r>
      <w:r>
        <w:t xml:space="preserve">bindability), with cross-modal locking so neither modality alone carries the</w:t>
      </w:r>
      <w:r>
        <w:t xml:space="preserve"> </w:t>
      </w:r>
      <w:r>
        <w:t xml:space="preserve">security argument. The patent-pending contribution described in Sections 6.4–6.6</w:t>
      </w:r>
      <w:r>
        <w:t xml:space="preserve"> </w:t>
      </w:r>
      <w:r>
        <w:t xml:space="preserve">concerns the</w:t>
      </w:r>
      <w:r>
        <w:t xml:space="preserve"> </w:t>
      </w:r>
      <w:r>
        <w:rPr>
          <w:iCs/>
          <w:i/>
        </w:rPr>
        <w:t xml:space="preserve">binding construction and verification workflow</w:t>
      </w:r>
      <w:r>
        <w:t xml:space="preserve"> </w:t>
      </w:r>
      <w:r>
        <w:t xml:space="preserve">across these</w:t>
      </w:r>
      <w:r>
        <w:t xml:space="preserve"> </w:t>
      </w:r>
      <w:r>
        <w:t xml:space="preserve">modalities, not the claim that every measurement in the stack is quantum</w:t>
      </w:r>
      <w:r>
        <w:t xml:space="preserve"> </w:t>
      </w:r>
      <w:r>
        <w:t xml:space="preserve">physics.</w:t>
      </w:r>
    </w:p>
    <w:p>
      <w:pPr>
        <w:pStyle w:val="BodyText"/>
      </w:pPr>
      <w:r>
        <w:t xml:space="preserve">Readers arriving from quantum-metrology laboratories should expect EL and</w:t>
      </w:r>
      <w:r>
        <w:t xml:space="preserve"> </w:t>
      </w:r>
      <w:r>
        <w:t xml:space="preserve">thermography to carry most of the transaction volume. Readers arriving from PV</w:t>
      </w:r>
      <w:r>
        <w:t xml:space="preserve"> </w:t>
      </w:r>
      <w:r>
        <w:t xml:space="preserve">quality assurance should expect NV magnetometry to appear where bindability, not</w:t>
      </w:r>
      <w:r>
        <w:t xml:space="preserve"> </w:t>
      </w:r>
      <w:r>
        <w:t xml:space="preserve">throughput, is the binding constraint. Both are correct.</w:t>
      </w:r>
    </w:p>
    <w:bookmarkEnd w:id="21"/>
    <w:bookmarkStart w:id="23" w:name="why-defects-of-all-things"/>
    <w:p>
      <w:pPr>
        <w:pStyle w:val="Heading2"/>
      </w:pPr>
      <w:r>
        <w:t xml:space="preserve">6.1 Why Defects, of All Things</w:t>
      </w:r>
    </w:p>
    <w:p>
      <w:pPr>
        <w:pStyle w:val="FirstParagraph"/>
      </w:pPr>
      <w:r>
        <w:t xml:space="preserve">Chapter 3 established the requirements for a passive structural fingerprint:</w:t>
      </w:r>
      <w:r>
        <w:t xml:space="preserve"> </w:t>
      </w:r>
      <w:r>
        <w:t xml:space="preserve">per-unit uniqueness, multi-decade stability of some feature subset, discrimination</w:t>
      </w:r>
      <w:r>
        <w:t xml:space="preserve"> </w:t>
      </w:r>
      <w:r>
        <w:t xml:space="preserve">under field measurement noise, and forgery cost exceeding forgery value. Most</w:t>
      </w:r>
      <w:r>
        <w:t xml:space="preserve"> </w:t>
      </w:r>
      <w:r>
        <w:t xml:space="preserve">proposals in this space begin from an instrument and search for an</w:t>
      </w:r>
      <w:r>
        <w:t xml:space="preserve"> </w:t>
      </w:r>
      <w:r>
        <w:t xml:space="preserve">application; the argument here runs the other way — from the requirements to</w:t>
      </w:r>
      <w:r>
        <w:t xml:space="preserve"> </w:t>
      </w:r>
      <w:r>
        <w:t xml:space="preserve">the physical layer that best satisfies them, and only then to the instruments</w:t>
      </w:r>
      <w:r>
        <w:t xml:space="preserve"> </w:t>
      </w:r>
      <w:r>
        <w:t xml:space="preserve">that can read that layer. The defect</w:t>
      </w:r>
      <w:r>
        <w:t xml:space="preserve"> </w:t>
      </w:r>
      <w:r>
        <w:t xml:space="preserve">structure of a crystalline silicon device is a strong candidate against all four, for</w:t>
      </w:r>
      <w:r>
        <w:t xml:space="preserve"> </w:t>
      </w:r>
      <w:r>
        <w:t xml:space="preserve">a reason worth stating carefully:</w:t>
      </w:r>
    </w:p>
    <w:p>
      <w:pPr>
        <w:pStyle w:val="BodyText"/>
      </w:pPr>
      <w:r>
        <w:rPr>
          <w:bCs/>
          <w:b/>
        </w:rPr>
        <w:t xml:space="preserve">The defect distribution is precisely what manufacturing does not control.</w:t>
      </w:r>
      <w:r>
        <w:t xml:space="preserve"> </w:t>
      </w:r>
      <w:r>
        <w:t xml:space="preserve">A</w:t>
      </w:r>
      <w:r>
        <w:t xml:space="preserve"> </w:t>
      </w:r>
      <w:r>
        <w:t xml:space="preserve">production line controls means and tolerances — cell efficiency binning, layer</w:t>
      </w:r>
      <w:r>
        <w:t xml:space="preserve"> </w:t>
      </w:r>
      <w:r>
        <w:t xml:space="preserve">thicknesses, contact resistances. It does not, and cannot, control the microscopic</w:t>
      </w:r>
      <w:r>
        <w:t xml:space="preserve"> </w:t>
      </w:r>
      <w:r>
        <w:t xml:space="preserve">placement of grain boundaries, dislocation clusters, impurity precipitates, and</w:t>
      </w:r>
      <w:r>
        <w:t xml:space="preserve"> </w:t>
      </w:r>
      <w:r>
        <w:t xml:space="preserve">shunt paths; these arise from the stochastic physics of ingot solidification and cell</w:t>
      </w:r>
      <w:r>
        <w:t xml:space="preserve"> </w:t>
      </w:r>
      <w:r>
        <w:t xml:space="preserve">processing. Two cells from adjacent wafer positions differ measurably and</w:t>
      </w:r>
      <w:r>
        <w:t xml:space="preserve"> </w:t>
      </w:r>
      <w:r>
        <w:t xml:space="preserve">irreproducibly. For an attacker, this is the worst possible situation: forging a</w:t>
      </w:r>
      <w:r>
        <w:t xml:space="preserve"> </w:t>
      </w:r>
      <w:r>
        <w:t xml:space="preserve">fingerprint means reproducing, in semiconductor bulk, a specific random pattern that</w:t>
      </w:r>
      <w:r>
        <w:t xml:space="preserve"> </w:t>
      </w:r>
      <w:r>
        <w:t xml:space="preserve">the legitimate manufacturer could not reproduce with the same fab on the same day.</w:t>
      </w:r>
      <w:r>
        <w:t xml:space="preserve"> </w:t>
      </w:r>
      <w:r>
        <w:t xml:space="preserve">The forgery-cost asymmetry of Section 3.4 is at its maximum here.</w:t>
      </w:r>
    </w:p>
    <w:p>
      <w:pPr>
        <w:pStyle w:val="BodyText"/>
      </w:pPr>
      <w:r>
        <w:t xml:space="preserve">A short inventory of the defect population makes the argument concrete. In</w:t>
      </w:r>
      <w:r>
        <w:t xml:space="preserve"> </w:t>
      </w:r>
      <w:r>
        <w:t xml:space="preserve">multicrystalline silicon,</w:t>
      </w:r>
      <w:r>
        <w:t xml:space="preserve"> </w:t>
      </w:r>
      <w:r>
        <w:rPr>
          <w:iCs/>
          <w:i/>
        </w:rPr>
        <w:t xml:space="preserve">grain boundaries</w:t>
      </w:r>
      <w:r>
        <w:t xml:space="preserve"> </w:t>
      </w:r>
      <w:r>
        <w:t xml:space="preserve">— the interfaces between randomly</w:t>
      </w:r>
      <w:r>
        <w:t xml:space="preserve"> </w:t>
      </w:r>
      <w:r>
        <w:t xml:space="preserve">oriented crystal domains — form a per-wafer pattern set by the stochastic</w:t>
      </w:r>
      <w:r>
        <w:t xml:space="preserve"> </w:t>
      </w:r>
      <w:r>
        <w:t xml:space="preserve">nucleation of the ingot’s solidification front; no two wafers share one, and</w:t>
      </w:r>
      <w:r>
        <w:t xml:space="preserve"> </w:t>
      </w:r>
      <w:r>
        <w:t xml:space="preserve">the pattern is legible in both recombination imaging and current-path</w:t>
      </w:r>
      <w:r>
        <w:t xml:space="preserve"> </w:t>
      </w:r>
      <w:r>
        <w:t xml:space="preserve">structure.</w:t>
      </w:r>
      <w:r>
        <w:t xml:space="preserve"> </w:t>
      </w:r>
      <w:r>
        <w:rPr>
          <w:iCs/>
          <w:i/>
        </w:rPr>
        <w:t xml:space="preserve">Dislocation clusters</w:t>
      </w:r>
      <w:r>
        <w:t xml:space="preserve"> </w:t>
      </w:r>
      <w:r>
        <w:t xml:space="preserve">— tangles of lattice defects that propagate</w:t>
      </w:r>
      <w:r>
        <w:t xml:space="preserve"> </w:t>
      </w:r>
      <w:r>
        <w:t xml:space="preserve">during crystal growth — dot each wafer in densities and positions that vary</w:t>
      </w:r>
      <w:r>
        <w:t xml:space="preserve"> </w:t>
      </w:r>
      <w:r>
        <w:t xml:space="preserve">even between adjacent wafers from one brick. In monocrystalline material,</w:t>
      </w:r>
      <w:r>
        <w:t xml:space="preserve"> </w:t>
      </w:r>
      <w:r>
        <w:t xml:space="preserve">where grain structure is absent, individuality persists in subtler channels:</w:t>
      </w:r>
      <w:r>
        <w:t xml:space="preserve"> </w:t>
      </w:r>
      <w:r>
        <w:rPr>
          <w:iCs/>
          <w:i/>
        </w:rPr>
        <w:t xml:space="preserve">oxygen precipitates</w:t>
      </w:r>
      <w:r>
        <w:t xml:space="preserve"> </w:t>
      </w:r>
      <w:r>
        <w:t xml:space="preserve">and ring patterns from the crystal pull, striations</w:t>
      </w:r>
      <w:r>
        <w:t xml:space="preserve"> </w:t>
      </w:r>
      <w:r>
        <w:t xml:space="preserve">from dopant fluctuation, and the statistical scatter of</w:t>
      </w:r>
      <w:r>
        <w:t xml:space="preserve"> </w:t>
      </w:r>
      <w:r>
        <w:rPr>
          <w:iCs/>
          <w:i/>
        </w:rPr>
        <w:t xml:space="preserve">process-induced</w:t>
      </w:r>
      <w:r>
        <w:t xml:space="preserve"> </w:t>
      </w:r>
      <w:r>
        <w:t xml:space="preserve">features — micro-shunts where emitter diffusion or edge isolation varied,</w:t>
      </w:r>
      <w:r>
        <w:t xml:space="preserve"> </w:t>
      </w:r>
      <w:r>
        <w:t xml:space="preserve">metallization finger discontinuities from screen-printing stochastics,</w:t>
      </w:r>
      <w:r>
        <w:t xml:space="preserve"> </w:t>
      </w:r>
      <w:r>
        <w:t xml:space="preserve">firing-profile signatures in contact resistance. Cell interconnection then</w:t>
      </w:r>
      <w:r>
        <w:t xml:space="preserve"> </w:t>
      </w:r>
      <w:r>
        <w:t xml:space="preserve">adds the solder-bond population, each joint’s resistance its own small random</w:t>
      </w:r>
      <w:r>
        <w:t xml:space="preserve"> </w:t>
      </w:r>
      <w:r>
        <w:t xml:space="preserve">variable. The population is layered, three-dimensional, and — decisively —</w:t>
      </w:r>
      <w:r>
        <w:t xml:space="preserve"> </w:t>
      </w:r>
      <w:r>
        <w:rPr>
          <w:iCs/>
          <w:i/>
        </w:rPr>
        <w:t xml:space="preserve">sub-visual</w:t>
      </w:r>
      <w:r>
        <w:t xml:space="preserve">: most of it produces no optical contrast at the module surface,</w:t>
      </w:r>
      <w:r>
        <w:t xml:space="preserve"> </w:t>
      </w:r>
      <w:r>
        <w:t xml:space="preserve">so the counterfeiter examining a module cannot even read the features he</w:t>
      </w:r>
      <w:r>
        <w:t xml:space="preserve"> </w:t>
      </w:r>
      <w:r>
        <w:t xml:space="preserve">would need to reproduce without laboratory instrumentation.</w:t>
      </w:r>
    </w:p>
    <w:bookmarkStart w:id="22" w:name="why-not-simpler-marks"/>
    <w:p>
      <w:pPr>
        <w:pStyle w:val="Heading3"/>
      </w:pPr>
      <w:r>
        <w:t xml:space="preserve">6.1.1 Why Not Simpler Marks</w:t>
      </w:r>
    </w:p>
    <w:p>
      <w:pPr>
        <w:pStyle w:val="FirstParagraph"/>
      </w:pPr>
      <w:r>
        <w:t xml:space="preserve">Two engineered alternatives deserve dispatch before the physics, because both</w:t>
      </w:r>
      <w:r>
        <w:t xml:space="preserve"> </w:t>
      </w:r>
      <w:r>
        <w:t xml:space="preserve">are regularly proposed as cheaper roads to the same destination.</w:t>
      </w:r>
      <w:r>
        <w:t xml:space="preserve"> </w:t>
      </w:r>
      <w:r>
        <w:rPr>
          <w:iCs/>
          <w:i/>
        </w:rPr>
        <w:t xml:space="preserve">Laser-etched</w:t>
      </w:r>
      <w:r>
        <w:rPr>
          <w:iCs/>
          <w:i/>
        </w:rPr>
        <w:t xml:space="preserve"> </w:t>
      </w:r>
      <w:r>
        <w:rPr>
          <w:iCs/>
          <w:i/>
        </w:rPr>
        <w:t xml:space="preserve">serial marks</w:t>
      </w:r>
      <w:r>
        <w:t xml:space="preserve"> </w:t>
      </w:r>
      <w:r>
        <w:t xml:space="preserve">— engraving the identifier into the glass or cell — improve on</w:t>
      </w:r>
      <w:r>
        <w:t xml:space="preserve"> </w:t>
      </w:r>
      <w:r>
        <w:t xml:space="preserve">labels (the mark survives weathering and cannot fall off) but remain</w:t>
      </w:r>
      <w:r>
        <w:t xml:space="preserve"> </w:t>
      </w:r>
      <w:r>
        <w:t xml:space="preserve">identification, not authentication: the mark is applied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the object rather</w:t>
      </w:r>
      <w:r>
        <w:t xml:space="preserve"> </w:t>
      </w:r>
      <w:r>
        <w:t xml:space="preserve">than being</w:t>
      </w:r>
      <w:r>
        <w:t xml:space="preserve"> </w:t>
      </w:r>
      <w:r>
        <w:rPr>
          <w:iCs/>
          <w:i/>
        </w:rPr>
        <w:t xml:space="preserve">of</w:t>
      </w:r>
      <w:r>
        <w:t xml:space="preserve"> </w:t>
      </w:r>
      <w:r>
        <w:t xml:space="preserve">it, so the forger’s task is unchanged — apply the same mark to</w:t>
      </w:r>
      <w:r>
        <w:t xml:space="preserve"> </w:t>
      </w:r>
      <w:r>
        <w:t xml:space="preserve">a different object. Etching also cannot be re-issued without visible</w:t>
      </w:r>
      <w:r>
        <w:t xml:space="preserve"> </w:t>
      </w:r>
      <w:r>
        <w:t xml:space="preserve">accumulation, and cell-level marks cost yield.</w:t>
      </w:r>
      <w:r>
        <w:t xml:space="preserve"> </w:t>
      </w:r>
      <w:r>
        <w:rPr>
          <w:iCs/>
          <w:i/>
        </w:rPr>
        <w:t xml:space="preserve">Engineered taggants</w:t>
      </w:r>
      <w:r>
        <w:t xml:space="preserve"> </w:t>
      </w:r>
      <w:r>
        <w:t xml:space="preserve">— DNA</w:t>
      </w:r>
      <w:r>
        <w:t xml:space="preserve"> </w:t>
      </w:r>
      <w:r>
        <w:t xml:space="preserve">markers, rare-earth pigments, or micro-particle codes mixed into encapsulant</w:t>
      </w:r>
      <w:r>
        <w:t xml:space="preserve"> </w:t>
      </w:r>
      <w:r>
        <w:t xml:space="preserve">or backsheet — genuinely bind to the material and have real anti-counterfeit</w:t>
      </w:r>
      <w:r>
        <w:t xml:space="preserve"> </w:t>
      </w:r>
      <w:r>
        <w:t xml:space="preserve">value at the</w:t>
      </w:r>
      <w:r>
        <w:t xml:space="preserve"> </w:t>
      </w:r>
      <w:r>
        <w:rPr>
          <w:iCs/>
          <w:i/>
        </w:rPr>
        <w:t xml:space="preserve">batch</w:t>
      </w:r>
      <w:r>
        <w:t xml:space="preserve"> </w:t>
      </w:r>
      <w:r>
        <w:t xml:space="preserve">level (is this genuine manufacturer material?), but they</w:t>
      </w:r>
      <w:r>
        <w:t xml:space="preserve"> </w:t>
      </w:r>
      <w:r>
        <w:t xml:space="preserve">are common to every unit sharing the material lot, so they cannot distinguish</w:t>
      </w:r>
      <w:r>
        <w:t xml:space="preserve"> </w:t>
      </w:r>
      <w:r>
        <w:t xml:space="preserve">units; per-unit taggant dosing at module economics has not been demonstrated;</w:t>
      </w:r>
      <w:r>
        <w:t xml:space="preserve"> </w:t>
      </w:r>
      <w:r>
        <w:t xml:space="preserve">and taggants are secrets — their security degrades as the formulation</w:t>
      </w:r>
      <w:r>
        <w:t xml:space="preserve"> </w:t>
      </w:r>
      <w:r>
        <w:t xml:space="preserve">circulates, the opposite of a structural fingerprint whose</w:t>
      </w:r>
      <w:r>
        <w:t xml:space="preserve"> </w:t>
      </w:r>
      <w:r>
        <w:t xml:space="preserve">“</w:t>
      </w:r>
      <w:r>
        <w:t xml:space="preserve">secret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t xml:space="preserve">random pattern nobody, including the manufacturer, chose or can reproduce.</w:t>
      </w:r>
      <w:r>
        <w:t xml:space="preserve"> </w:t>
      </w:r>
      <w:r>
        <w:t xml:space="preserve">Both alternatives fail the same clause of the requirements: they add an</w:t>
      </w:r>
      <w:r>
        <w:t xml:space="preserve"> </w:t>
      </w:r>
      <w:r>
        <w:t xml:space="preserve">identity</w:t>
      </w:r>
      <w:r>
        <w:t xml:space="preserve"> </w:t>
      </w:r>
      <w:r>
        <w:rPr>
          <w:iCs/>
          <w:i/>
        </w:rPr>
        <w:t xml:space="preserve">artifact</w:t>
      </w:r>
      <w:r>
        <w:t xml:space="preserve"> </w:t>
      </w:r>
      <w:r>
        <w:t xml:space="preserve">where the design needs an identity</w:t>
      </w:r>
      <w:r>
        <w:t xml:space="preserve"> </w:t>
      </w:r>
      <w:r>
        <w:rPr>
          <w:iCs/>
          <w:i/>
        </w:rPr>
        <w:t xml:space="preserve">property</w:t>
      </w:r>
      <w:r>
        <w:t xml:space="preserve">. The defect</w:t>
      </w:r>
      <w:r>
        <w:t xml:space="preserve"> </w:t>
      </w:r>
      <w:r>
        <w:t xml:space="preserve">map is the only candidate on the table that the object cannot be separated</w:t>
      </w:r>
      <w:r>
        <w:t xml:space="preserve"> </w:t>
      </w:r>
      <w:r>
        <w:t xml:space="preserve">from, because it is the object.</w:t>
      </w:r>
    </w:p>
    <w:p>
      <w:pPr>
        <w:pStyle w:val="BodyText"/>
      </w:pPr>
      <w:r>
        <w:t xml:space="preserve">Defects are also — and this is the design insight the rest of the chapter exploits —</w:t>
      </w:r>
      <w:r>
        <w:t xml:space="preserve"> </w:t>
      </w:r>
      <w:r>
        <w:rPr>
          <w:bCs/>
          <w:b/>
        </w:rPr>
        <w:t xml:space="preserve">the same features that determine the asset’s condition and future</w:t>
      </w:r>
      <w:r>
        <w:t xml:space="preserve">. A fingerprint</w:t>
      </w:r>
      <w:r>
        <w:t xml:space="preserve"> </w:t>
      </w:r>
      <w:r>
        <w:t xml:space="preserve">built on encapsulant speckle identifies the module but says nothing about it. A</w:t>
      </w:r>
      <w:r>
        <w:t xml:space="preserve"> </w:t>
      </w:r>
      <w:r>
        <w:t xml:space="preserve">fingerprint built on the defect map identifies the module</w:t>
      </w:r>
      <w:r>
        <w:t xml:space="preserve"> </w:t>
      </w:r>
      <w:r>
        <w:rPr>
          <w:iCs/>
          <w:i/>
        </w:rPr>
        <w:t xml:space="preserve">and is itself the</w:t>
      </w:r>
      <w:r>
        <w:rPr>
          <w:iCs/>
          <w:i/>
        </w:rPr>
        <w:t xml:space="preserve"> </w:t>
      </w:r>
      <w:r>
        <w:rPr>
          <w:iCs/>
          <w:i/>
        </w:rPr>
        <w:t xml:space="preserve">baseline condition record</w:t>
      </w:r>
      <w:r>
        <w:t xml:space="preserve">: degradation is, physically, the evolution of this very</w:t>
      </w:r>
      <w:r>
        <w:t xml:space="preserve"> </w:t>
      </w:r>
      <w:r>
        <w:t xml:space="preserve">map. Cracks propagate from stress concentrations the map recorded; PID</w:t>
      </w:r>
      <w:r>
        <w:t xml:space="preserve"> </w:t>
      </w:r>
      <w:r>
        <w:t xml:space="preserve">develops preferentially where shunt precursors sat; solder-bond fatigue grows</w:t>
      </w:r>
      <w:r>
        <w:t xml:space="preserve"> </w:t>
      </w:r>
      <w:r>
        <w:t xml:space="preserve">from the resistance outliers the enrollment measurement flagged. Identity</w:t>
      </w:r>
      <w:r>
        <w:t xml:space="preserve"> </w:t>
      </w:r>
      <w:r>
        <w:t xml:space="preserve">verification and condition assessment collapse into one measurement,</w:t>
      </w:r>
      <w:r>
        <w:t xml:space="preserve"> </w:t>
      </w:r>
      <w:r>
        <w:t xml:space="preserve">which is what makes the economics of Section 6.7 close — and, as a bonus the</w:t>
      </w:r>
      <w:r>
        <w:t xml:space="preserve"> </w:t>
      </w:r>
      <w:r>
        <w:t xml:space="preserve">warranty industry will appreciate, the enrollment map is</w:t>
      </w:r>
      <w:r>
        <w:t xml:space="preserve"> </w:t>
      </w:r>
      <w:r>
        <w:rPr>
          <w:iCs/>
          <w:i/>
        </w:rPr>
        <w:t xml:space="preserve">predictive</w:t>
      </w:r>
      <w:r>
        <w:t xml:space="preserve">: the</w:t>
      </w:r>
      <w:r>
        <w:t xml:space="preserve"> </w:t>
      </w:r>
      <w:r>
        <w:t xml:space="preserve">defect population at manufacture is among the best available predictors of</w:t>
      </w:r>
      <w:r>
        <w:t xml:space="preserve"> </w:t>
      </w:r>
      <w:r>
        <w:t xml:space="preserve">the module’s degradation trajectory, so the identity record doubles as an</w:t>
      </w:r>
      <w:r>
        <w:t xml:space="preserve"> </w:t>
      </w:r>
      <w:r>
        <w:t xml:space="preserve">underwriting input (Chapter 13 returns to this).</w:t>
      </w:r>
    </w:p>
    <w:bookmarkEnd w:id="22"/>
    <w:bookmarkEnd w:id="23"/>
    <w:bookmarkStart w:id="24" w:name="the-sensing-toolbox"/>
    <w:p>
      <w:pPr>
        <w:pStyle w:val="Heading2"/>
      </w:pPr>
      <w:r>
        <w:t xml:space="preserve">6.2 The Sensing Toolbox</w:t>
      </w:r>
    </w:p>
    <w:p>
      <w:pPr>
        <w:pStyle w:val="FirstParagraph"/>
      </w:pPr>
      <w:r>
        <w:t xml:space="preserve">Table 6.1 organizes the modalities by role. This section states what each</w:t>
      </w:r>
      <w:r>
        <w:t xml:space="preserve"> </w:t>
      </w:r>
      <w:r>
        <w:t xml:space="preserve">measures and where it fits; the physics is developed only to the depth the system</w:t>
      </w:r>
      <w:r>
        <w:t xml:space="preserve"> </w:t>
      </w:r>
      <w:r>
        <w:t xml:space="preserve">architecture needs. Quantum-limited instruments appear first; classical</w:t>
      </w:r>
      <w:r>
        <w:t xml:space="preserve"> </w:t>
      </w:r>
      <w:r>
        <w:t xml:space="preserve">characterization modalities follow in Section 6.2’s closing paragraphs and in</w:t>
      </w:r>
      <w:r>
        <w:t xml:space="preserve"> </w:t>
      </w:r>
      <w:r>
        <w:t xml:space="preserve">Table 6.1’s lower rows.</w:t>
      </w:r>
    </w:p>
    <w:p>
      <w:pPr>
        <w:pStyle w:val="BodyText"/>
      </w:pPr>
      <w:r>
        <w:rPr>
          <w:bCs/>
          <w:b/>
        </w:rPr>
        <w:t xml:space="preserve">Nitrogen-vacancy (NV) magnetometry.</w:t>
      </w:r>
      <w:r>
        <w:t xml:space="preserve"> </w:t>
      </w:r>
      <w:r>
        <w:t xml:space="preserve">The quantum-limited workhorse, and worth a careful</w:t>
      </w:r>
      <w:r>
        <w:t xml:space="preserve"> </w:t>
      </w:r>
      <w:r>
        <w:t xml:space="preserve">paragraph of physics because the architecture’s claims rest on what it can and</w:t>
      </w:r>
      <w:r>
        <w:t xml:space="preserve"> </w:t>
      </w:r>
      <w:r>
        <w:t xml:space="preserve">cannot measure. An NV center is a point defect in diamond — a substitutional</w:t>
      </w:r>
      <w:r>
        <w:t xml:space="preserve"> </w:t>
      </w:r>
      <w:r>
        <w:t xml:space="preserve">nitrogen atom adjacent to a lattice vacancy — whose ground state is a spin</w:t>
      </w:r>
      <w:r>
        <w:t xml:space="preserve"> </w:t>
      </w:r>
      <w:r>
        <w:t xml:space="preserve">triplet with a convenient pair of properties: the spin can be</w:t>
      </w:r>
      <w:r>
        <w:t xml:space="preserve"> </w:t>
      </w:r>
      <w:r>
        <w:rPr>
          <w:iCs/>
          <w:i/>
        </w:rPr>
        <w:t xml:space="preserve">initialized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read out</w:t>
      </w:r>
      <w:r>
        <w:t xml:space="preserve"> </w:t>
      </w:r>
      <w:r>
        <w:t xml:space="preserve">optically (green excitation; the red fluorescence intensity</w:t>
      </w:r>
      <w:r>
        <w:t xml:space="preserve"> </w:t>
      </w:r>
      <w:r>
        <w:t xml:space="preserve">depends on the spin state), and its energy sublevels shift linearly with the</w:t>
      </w:r>
      <w:r>
        <w:t xml:space="preserve"> </w:t>
      </w:r>
      <w:r>
        <w:t xml:space="preserve">local magnetic field through the Zeeman effect. Sweeping a microwave drive</w:t>
      </w:r>
      <w:r>
        <w:t xml:space="preserve"> </w:t>
      </w:r>
      <w:r>
        <w:t xml:space="preserve">across the spin resonance while monitoring fluorescence — optically detected</w:t>
      </w:r>
      <w:r>
        <w:t xml:space="preserve"> </w:t>
      </w:r>
      <w:r>
        <w:t xml:space="preserve">magnetic resonance, ODMR — turns each NV center into an atomic-scale</w:t>
      </w:r>
      <w:r>
        <w:t xml:space="preserve"> </w:t>
      </w:r>
      <w:r>
        <w:t xml:space="preserve">magnetometer that operates at room temperature, with no cryogenics and no</w:t>
      </w:r>
      <w:r>
        <w:t xml:space="preserve"> </w:t>
      </w:r>
      <w:r>
        <w:t xml:space="preserve">shielding requirements beyond ordinary lab practice. Two deployment formats</w:t>
      </w:r>
      <w:r>
        <w:t xml:space="preserve"> </w:t>
      </w:r>
      <w:r>
        <w:t xml:space="preserve">matter here. In</w:t>
      </w:r>
      <w:r>
        <w:t xml:space="preserve"> </w:t>
      </w:r>
      <w:r>
        <w:rPr>
          <w:iCs/>
          <w:i/>
        </w:rPr>
        <w:t xml:space="preserve">wide-field</w:t>
      </w:r>
      <w:r>
        <w:t xml:space="preserve"> </w:t>
      </w:r>
      <w:r>
        <w:t xml:space="preserve">imaging, a thin layer of NV centers engineered</w:t>
      </w:r>
      <w:r>
        <w:t xml:space="preserve"> </w:t>
      </w:r>
      <w:r>
        <w:t xml:space="preserve">into a diamond plate is placed against (or within a millimeter of) the</w:t>
      </w:r>
      <w:r>
        <w:t xml:space="preserve"> </w:t>
      </w:r>
      <w:r>
        <w:t xml:space="preserve">device; a camera reads the fluorescence of millions of centers in parallel,</w:t>
      </w:r>
      <w:r>
        <w:t xml:space="preserve"> </w:t>
      </w:r>
      <w:r>
        <w:t xml:space="preserve">producing a full-field magnetic image in seconds to minutes at</w:t>
      </w:r>
      <w:r>
        <w:t xml:space="preserve"> </w:t>
      </w:r>
      <w:r>
        <w:t xml:space="preserve">micrometer-scale resolution over centimeter-scale fields of view — tiled</w:t>
      </w:r>
      <w:r>
        <w:t xml:space="preserve"> </w:t>
      </w:r>
      <w:r>
        <w:t xml:space="preserve">across a cell or module by scanning. In</w:t>
      </w:r>
      <w:r>
        <w:t xml:space="preserve"> </w:t>
      </w:r>
      <w:r>
        <w:rPr>
          <w:iCs/>
          <w:i/>
        </w:rPr>
        <w:t xml:space="preserve">standoff</w:t>
      </w:r>
      <w:r>
        <w:t xml:space="preserve"> </w:t>
      </w:r>
      <w:r>
        <w:t xml:space="preserve">arrays, discrete NV (or</w:t>
      </w:r>
      <w:r>
        <w:t xml:space="preserve"> </w:t>
      </w:r>
      <w:r>
        <w:t xml:space="preserve">fluxgate) sensors at centimeter distances trade resolution for speed and</w:t>
      </w:r>
      <w:r>
        <w:t xml:space="preserve"> </w:t>
      </w:r>
      <w:r>
        <w:t xml:space="preserve">robustness, suitable for field screening. Sensitivities depend on integration</w:t>
      </w:r>
      <w:r>
        <w:t xml:space="preserve"> </w:t>
      </w:r>
      <w:r>
        <w:t xml:space="preserve">time and sensor engineering, spanning roughly the nanotesla to sub-nanotesla</w:t>
      </w:r>
      <w:r>
        <w:t xml:space="preserve"> </w:t>
      </w:r>
      <w:r>
        <w:t xml:space="preserve">range in practical wide-field configurations — comfortably sufficient, since</w:t>
      </w:r>
      <w:r>
        <w:t xml:space="preserve"> </w:t>
      </w:r>
      <w:r>
        <w:t xml:space="preserve">the fields from ampere-scale currents in cell metallization at millimeter</w:t>
      </w:r>
      <w:r>
        <w:t xml:space="preserve"> </w:t>
      </w:r>
      <w:r>
        <w:t xml:space="preserve">distances sit in the microtesla regime.</w:t>
      </w:r>
    </w:p>
    <w:p>
      <w:pPr>
        <w:pStyle w:val="BodyText"/>
      </w:pPr>
      <w:r>
        <w:t xml:space="preserve">The measured quantity is the magnetic field above the device; the wanted</w:t>
      </w:r>
      <w:r>
        <w:t xml:space="preserve"> </w:t>
      </w:r>
      <w:r>
        <w:t xml:space="preserve">quantity is the</w:t>
      </w:r>
      <w:r>
        <w:t xml:space="preserve"> </w:t>
      </w:r>
      <w:r>
        <w:rPr>
          <w:bCs/>
          <w:b/>
        </w:rPr>
        <w:t xml:space="preserve">current density within it</w:t>
      </w:r>
      <w:r>
        <w:t xml:space="preserve">, recovered by inverting the</w:t>
      </w:r>
      <w:r>
        <w:t xml:space="preserve"> </w:t>
      </w:r>
      <w:r>
        <w:t xml:space="preserve">Biot–Savart relation. For the quasi-two-dimensional current sheets of a solar</w:t>
      </w:r>
      <w:r>
        <w:t xml:space="preserve"> </w:t>
      </w:r>
      <w:r>
        <w:t xml:space="preserve">cell the inversion is well-conditioned up to a spatial-frequency limit set by</w:t>
      </w:r>
      <w:r>
        <w:t xml:space="preserve"> </w:t>
      </w:r>
      <w:r>
        <w:t xml:space="preserve">the sensor standoff distance — the physics behind Table 6.1’s</w:t>
      </w:r>
      <w:r>
        <w:t xml:space="preserve"> </w:t>
      </w:r>
      <w:r>
        <w:t xml:space="preserve">resolution-versus-deployment trade — and its regularization choices are part</w:t>
      </w:r>
      <w:r>
        <w:t xml:space="preserve"> </w:t>
      </w:r>
      <w:r>
        <w:t xml:space="preserve">of the signed processing chain of Section 6.3 (and the subject of open</w:t>
      </w:r>
      <w:r>
        <w:t xml:space="preserve"> </w:t>
      </w:r>
      <w:r>
        <w:t xml:space="preserve">problem M2). What current-density maps reveal that optical modalities cannot:</w:t>
      </w:r>
      <w:r>
        <w:t xml:space="preserve"> </w:t>
      </w:r>
      <w:r>
        <w:t xml:space="preserve">shunt currents (localized vertical leakage paths), current detours around</w:t>
      </w:r>
      <w:r>
        <w:t xml:space="preserve"> </w:t>
      </w:r>
      <w:r>
        <w:t xml:space="preserve">cracked or interrupted fingers, asymmetric injection from degraded solder</w:t>
      </w:r>
      <w:r>
        <w:t xml:space="preserve"> </w:t>
      </w:r>
      <w:r>
        <w:t xml:space="preserve">bonds, and inactive regions — including variants of each that lie beneath the</w:t>
      </w:r>
      <w:r>
        <w:t xml:space="preserve"> </w:t>
      </w:r>
      <w:r>
        <w:t xml:space="preserve">radiative-recombination layer an EL camera images, or that manifest only as</w:t>
      </w:r>
      <w:r>
        <w:t xml:space="preserve"> </w:t>
      </w:r>
      <w:r>
        <w:t xml:space="preserve">current redistribution with no emission contrast at all. Magnetometry and EL</w:t>
      </w:r>
      <w:r>
        <w:t xml:space="preserve"> </w:t>
      </w:r>
      <w:r>
        <w:t xml:space="preserve">are thus genuinely complementary at the physics level, which is what gives</w:t>
      </w:r>
      <w:r>
        <w:t xml:space="preserve"> </w:t>
      </w:r>
      <w:r>
        <w:t xml:space="preserve">the cross-modal locking of Section 6.4 its teeth.</w:t>
      </w:r>
    </w:p>
    <w:p>
      <w:pPr>
        <w:pStyle w:val="BodyText"/>
      </w:pPr>
      <w:r>
        <w:rPr>
          <w:bCs/>
          <w:b/>
        </w:rPr>
        <w:t xml:space="preserve">Scanning SQUID and fluxgate magnetometry.</w:t>
      </w:r>
      <w:r>
        <w:t xml:space="preserve"> </w:t>
      </w:r>
      <w:r>
        <w:t xml:space="preserve">Higher field sensitivity (SQUIDs) at</w:t>
      </w:r>
      <w:r>
        <w:t xml:space="preserve"> </w:t>
      </w:r>
      <w:r>
        <w:t xml:space="preserve">the cost of cryogenics and slow scanning — laboratory reference tools, not line</w:t>
      </w:r>
      <w:r>
        <w:t xml:space="preserve"> </w:t>
      </w:r>
      <w:r>
        <w:t xml:space="preserve">tools. Fluxgate arrays offer a cheap, coarse intermediate useful for string-level</w:t>
      </w:r>
      <w:r>
        <w:t xml:space="preserve"> </w:t>
      </w:r>
      <w:r>
        <w:t xml:space="preserve">field screening.</w:t>
      </w:r>
    </w:p>
    <w:p>
      <w:pPr>
        <w:pStyle w:val="BodyText"/>
      </w:pPr>
      <w:r>
        <w:t xml:space="preserve">Field operating requirements for the magnetometric modalities deserve honest</w:t>
      </w:r>
      <w:r>
        <w:t xml:space="preserve"> </w:t>
      </w:r>
      <w:r>
        <w:t xml:space="preserve">listing, since site conditions are not a laboratory. The measurement needs</w:t>
      </w:r>
      <w:r>
        <w:t xml:space="preserve"> </w:t>
      </w:r>
      <w:r>
        <w:t xml:space="preserve">current through the device — forward bias injection (the EL condition,</w:t>
      </w:r>
      <w:r>
        <w:t xml:space="preserve"> </w:t>
      </w:r>
      <w:r>
        <w:t xml:space="preserve">typically performed at night or under opaque covers for installed modules)</w:t>
      </w:r>
      <w:r>
        <w:t xml:space="preserve"> </w:t>
      </w:r>
      <w:r>
        <w:t xml:space="preserve">or, in a useful daytime variant, the module’s own photocurrent under load</w:t>
      </w:r>
      <w:r>
        <w:t xml:space="preserve"> </w:t>
      </w:r>
      <w:r>
        <w:t xml:space="preserve">modulation, which trades signal control for zero setup. It needs standoff</w:t>
      </w:r>
      <w:r>
        <w:t xml:space="preserve"> </w:t>
      </w:r>
      <w:r>
        <w:t xml:space="preserve">control at millimeters for high-resolution work, achievable with contact</w:t>
      </w:r>
      <w:r>
        <w:t xml:space="preserve"> </w:t>
      </w:r>
      <w:r>
        <w:t xml:space="preserve">fixtures on accessible modules and genuinely awkward on trackers at height —</w:t>
      </w:r>
      <w:r>
        <w:t xml:space="preserve"> </w:t>
      </w:r>
      <w:r>
        <w:t xml:space="preserve">one reason the V3 tier often prefers pulling sampled modules to a ground</w:t>
      </w:r>
      <w:r>
        <w:t xml:space="preserve"> </w:t>
      </w:r>
      <w:r>
        <w:t xml:space="preserve">station. It tolerates Earth’s field and site magnetic clutter through</w:t>
      </w:r>
      <w:r>
        <w:t xml:space="preserve"> </w:t>
      </w:r>
      <w:r>
        <w:t xml:space="preserve">gradiometric and lock-in techniques (modulating the bias and detecting</w:t>
      </w:r>
      <w:r>
        <w:t xml:space="preserve"> </w:t>
      </w:r>
      <w:r>
        <w:t xml:space="preserve">synchronously rejects static backgrounds), but high-current DC cabling nearby</w:t>
      </w:r>
      <w:r>
        <w:t xml:space="preserve"> </w:t>
      </w:r>
      <w:r>
        <w:t xml:space="preserve">sets a noise floor the campaign plan must respect. None of these constraints</w:t>
      </w:r>
      <w:r>
        <w:t xml:space="preserve"> </w:t>
      </w:r>
      <w:r>
        <w:t xml:space="preserve">is disqualifying; all of them cost minutes per unit, which is exactly why the</w:t>
      </w:r>
      <w:r>
        <w:t xml:space="preserve"> </w:t>
      </w:r>
      <w:r>
        <w:t xml:space="preserve">sampling arithmetic of Section 6.6.1, rather than instrument physics, is</w:t>
      </w:r>
      <w:r>
        <w:t xml:space="preserve"> </w:t>
      </w:r>
      <w:r>
        <w:t xml:space="preserve">what makes field verification affordable.</w:t>
      </w:r>
    </w:p>
    <w:p>
      <w:pPr>
        <w:pStyle w:val="BodyText"/>
      </w:pPr>
      <w:r>
        <w:rPr>
          <w:bCs/>
          <w:b/>
        </w:rPr>
        <w:t xml:space="preserve">Complementary classical modalities.</w:t>
      </w:r>
      <w:r>
        <w:t xml:space="preserve"> </w:t>
      </w:r>
      <w:r>
        <w:t xml:space="preserve">The system design that follows never relies</w:t>
      </w:r>
      <w:r>
        <w:t xml:space="preserve"> </w:t>
      </w:r>
      <w:r>
        <w:t xml:space="preserve">on a single instrument class. EL imaging (fast, mature, optical-depth-limited), IR</w:t>
      </w:r>
      <w:r>
        <w:t xml:space="preserve"> </w:t>
      </w:r>
      <w:r>
        <w:t xml:space="preserve">thermography (coarse, field-deployable), and I–V characterization (integral, not</w:t>
      </w:r>
      <w:r>
        <w:t xml:space="preserve"> </w:t>
      </w:r>
      <w:r>
        <w:t xml:space="preserve">spatial) each corroborate the magnetometric map per Section 4.5’s Rule 2. These</w:t>
      </w:r>
      <w:r>
        <w:t xml:space="preserve"> </w:t>
      </w:r>
      <w:r>
        <w:t xml:space="preserve">are established semiconductor-characterization tools, not quantum probes; they</w:t>
      </w:r>
      <w:r>
        <w:t xml:space="preserve"> </w:t>
      </w:r>
      <w:r>
        <w:t xml:space="preserve">carry the routine tiers because their marginal cost and line speed are solved</w:t>
      </w:r>
      <w:r>
        <w:t xml:space="preserve"> </w:t>
      </w:r>
      <w:r>
        <w:t xml:space="preserve">problems. Table 6.1 positions all modalities together.</w:t>
      </w:r>
    </w:p>
    <w:p>
      <w:pPr>
        <w:pStyle w:val="BodyText"/>
      </w:pPr>
      <w:r>
        <w:rPr>
          <w:bCs/>
          <w:b/>
        </w:rPr>
        <w:t xml:space="preserve">Table 6.1</w:t>
      </w:r>
      <w:r>
        <w:t xml:space="preserve"> </w:t>
      </w:r>
      <w:r>
        <w:t xml:space="preserve">Measurement modalities for module structural characterization, as used</w:t>
      </w:r>
      <w:r>
        <w:t xml:space="preserve"> </w:t>
      </w:r>
      <w:r>
        <w:t xml:space="preserve">in this chapter’s architecture. Speeds and maturities are stated for 2026 and</w:t>
      </w:r>
      <w:r>
        <w:t xml:space="preserve"> </w:t>
      </w:r>
      <w:r>
        <w:t xml:space="preserve">will age in the reader’s favor; the</w:t>
      </w:r>
      <w:r>
        <w:t xml:space="preserve"> </w:t>
      </w:r>
      <w:r>
        <w:rPr>
          <w:iCs/>
          <w:i/>
        </w:rPr>
        <w:t xml:space="preserve">roles</w:t>
      </w:r>
      <w:r>
        <w:t xml:space="preserve"> </w:t>
      </w:r>
      <w:r>
        <w:t xml:space="preserve">column is the durable content.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(60-cell module)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 magnetometry (near-contact)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density via field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µm–1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(bench, current systems)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/ factory line (emerging)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Enrollment fingerprint; escalated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 magnetometry (standoff array)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Coarse current 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~mm–cm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Seconds–minutes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Field-portable (prototype)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re-verification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Scanning SQUID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~µm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/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Radiative recombination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µm–1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+ field (mature)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Corroborating fingerprint; routine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 thermography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Dissipative hot spots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(drone)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(mature)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screening,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I–V / dark I–V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 electrical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(integral)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+ field (mature)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 corroboration</w:t>
            </w:r>
          </w:p>
        </w:tc>
      </w:tr>
    </w:tbl>
    <w:p>
      <w:pPr>
        <w:pStyle w:val="BodyText"/>
      </w:pPr>
      <w:r>
        <w:t xml:space="preserve">The complementary classical modalities deserve their own cost-and-capability</w:t>
      </w:r>
      <w:r>
        <w:t xml:space="preserve"> </w:t>
      </w:r>
      <w:r>
        <w:t xml:space="preserve">honesty, since they carry the routine tiers. Factory EL is a solved problem:</w:t>
      </w:r>
      <w:r>
        <w:t xml:space="preserve"> </w:t>
      </w:r>
      <w:r>
        <w:t xml:space="preserve">in-line EL stations are standard equipment on modern lines, cycle within</w:t>
      </w:r>
      <w:r>
        <w:t xml:space="preserve"> </w:t>
      </w:r>
      <w:r>
        <w:t xml:space="preserve">takt, and produce full-module images whose per-unit marginal cost is</w:t>
      </w:r>
      <w:r>
        <w:t xml:space="preserve"> </w:t>
      </w:r>
      <w:r>
        <w:t xml:space="preserve">electricity and storage. Field EL has matured rapidly — daylight-capable</w:t>
      </w:r>
      <w:r>
        <w:t xml:space="preserve"> </w:t>
      </w:r>
      <w:r>
        <w:t xml:space="preserve">contact rigs and drone-mounted nighttime EL both operate commercially — with</w:t>
      </w:r>
      <w:r>
        <w:t xml:space="preserve"> </w:t>
      </w:r>
      <w:r>
        <w:t xml:space="preserve">per-module costs in the single dollars at campaign scale. Drone IR</w:t>
      </w:r>
      <w:r>
        <w:t xml:space="preserve"> </w:t>
      </w:r>
      <w:r>
        <w:t xml:space="preserve">thermography is cheaper still per module (entire plants in days) at the price</w:t>
      </w:r>
      <w:r>
        <w:t xml:space="preserve"> </w:t>
      </w:r>
      <w:r>
        <w:t xml:space="preserve">of coarse, screening-grade information. Flash testers and portable I–V</w:t>
      </w:r>
      <w:r>
        <w:t xml:space="preserve"> </w:t>
      </w:r>
      <w:r>
        <w:t xml:space="preserve">tracers are ubiquitous. The quantum layer’s instruments, by contrast,</w:t>
      </w:r>
      <w:r>
        <w:t xml:space="preserve"> </w:t>
      </w:r>
      <w:r>
        <w:t xml:space="preserve">currently price like laboratory equipment: wide-field NV microscopes are</w:t>
      </w:r>
      <w:r>
        <w:t xml:space="preserve"> </w:t>
      </w:r>
      <w:r>
        <w:t xml:space="preserve">six-figure instruments built in small volumes, and a factory-hardened</w:t>
      </w:r>
      <w:r>
        <w:t xml:space="preserve"> </w:t>
      </w:r>
      <w:r>
        <w:t xml:space="preserve">line-speed variant is a product that does not yet exist. The architecture’s</w:t>
      </w:r>
      <w:r>
        <w:t xml:space="preserve"> </w:t>
      </w:r>
      <w:r>
        <w:t xml:space="preserve">wager — argued in Section 6.7’s tiering rather than assumed — is that this</w:t>
      </w:r>
      <w:r>
        <w:t xml:space="preserve"> </w:t>
      </w:r>
      <w:r>
        <w:t xml:space="preserve">cost curve follows the usual trajectory of sensing instruments once an</w:t>
      </w:r>
      <w:r>
        <w:t xml:space="preserve"> </w:t>
      </w:r>
      <w:r>
        <w:t xml:space="preserve">industrial demand exists, and that in the meantime the small installed base</w:t>
      </w:r>
      <w:r>
        <w:t xml:space="preserve"> </w:t>
      </w:r>
      <w:r>
        <w:t xml:space="preserve">serves the escalation tiers, where a six-figure instrument amortized across</w:t>
      </w:r>
      <w:r>
        <w:t xml:space="preserve"> </w:t>
      </w:r>
      <w:r>
        <w:t xml:space="preserve">adjudications and acquisitions is cheap.</w:t>
      </w:r>
    </w:p>
    <w:p>
      <w:pPr>
        <w:pStyle w:val="BodyText"/>
      </w:pPr>
      <w:r>
        <w:t xml:space="preserve">Every instrument in the table is also, per Section 4.5’s Rule 3, an asset in</w:t>
      </w:r>
      <w:r>
        <w:t xml:space="preserve"> </w:t>
      </w:r>
      <w:r>
        <w:t xml:space="preserve">the system: the defect-map scanner that enrolls a million modules is a</w:t>
      </w:r>
      <w:r>
        <w:t xml:space="preserve"> </w:t>
      </w:r>
      <w:r>
        <w:t xml:space="preserve">million-fold single point of trust, and its own identity, firmware</w:t>
      </w:r>
      <w:r>
        <w:t xml:space="preserve"> </w:t>
      </w:r>
      <w:r>
        <w:t xml:space="preserve">attestation, and calibration lifecycle receive I-A treatment (Table 4.3)</w:t>
      </w:r>
      <w:r>
        <w:t xml:space="preserve"> </w:t>
      </w:r>
      <w:r>
        <w:t xml:space="preserve">without exception. The Tier 3 reference laboratory’s role is to anchor this</w:t>
      </w:r>
      <w:r>
        <w:t xml:space="preserve"> </w:t>
      </w:r>
      <w:r>
        <w:t xml:space="preserve">recursion: field and factory instruments calibrate against transported</w:t>
      </w:r>
      <w:r>
        <w:t xml:space="preserve"> </w:t>
      </w:r>
      <w:r>
        <w:t xml:space="preserve">reference artifacts — modules with laboratory-grade characterization whose</w:t>
      </w:r>
      <w:r>
        <w:t xml:space="preserve"> </w:t>
      </w:r>
      <w:r>
        <w:t xml:space="preserve">own histories live on the ledger — so that a template’s meaning is traceable</w:t>
      </w:r>
      <w:r>
        <w:t xml:space="preserve"> </w:t>
      </w:r>
      <w:r>
        <w:t xml:space="preserve">through the instrument chain to a metrological root, in exactly the pattern</w:t>
      </w:r>
      <w:r>
        <w:t xml:space="preserve"> </w:t>
      </w:r>
      <w:r>
        <w:t xml:space="preserve">dimensional and electrical metrology have used for a century.</w:t>
      </w:r>
    </w:p>
    <w:p>
      <w:pPr>
        <w:pStyle w:val="BodyText"/>
      </w:pPr>
      <w:r>
        <w:t xml:space="preserve">The honest maturity statement: factory-speed NV magnetometry of full modules is at</w:t>
      </w:r>
      <w:r>
        <w:t xml:space="preserve"> </w:t>
      </w:r>
      <w:r>
        <w:t xml:space="preserve">the advanced-prototype stage — bench systems image cells in minutes; in-line</w:t>
      </w:r>
      <w:r>
        <w:t xml:space="preserve"> </w:t>
      </w:r>
      <w:r>
        <w:t xml:space="preserve">throughput at seconds-per-module is an engineering extrapolation with identified</w:t>
      </w:r>
      <w:r>
        <w:t xml:space="preserve"> </w:t>
      </w:r>
      <w:r>
        <w:t xml:space="preserve">paths (wide-field NV imaging, parallel sensor tiles) rather than a shipping product.</w:t>
      </w:r>
      <w:r>
        <w:t xml:space="preserve"> </w:t>
      </w:r>
      <w:r>
        <w:t xml:space="preserve">The architecture is therefore designed so that EL carries the routine load today and</w:t>
      </w:r>
      <w:r>
        <w:t xml:space="preserve"> </w:t>
      </w:r>
      <w:r>
        <w:t xml:space="preserve">the magnetometric layer raises the assurance ceiling where and when it is deployed —</w:t>
      </w:r>
      <w:r>
        <w:t xml:space="preserve"> </w:t>
      </w:r>
      <w:r>
        <w:t xml:space="preserve">a deployment-time dial, not an all-or-nothing bet (Section 6.7).</w:t>
      </w:r>
    </w:p>
    <w:bookmarkEnd w:id="24"/>
    <w:bookmarkStart w:id="25" w:name="from-measurement-to-fingerprint-template"/>
    <w:p>
      <w:pPr>
        <w:pStyle w:val="Heading2"/>
      </w:pPr>
      <w:r>
        <w:t xml:space="preserve">6.3 From Measurement to Fingerprint Template</w:t>
      </w:r>
    </w:p>
    <w:p>
      <w:pPr>
        <w:pStyle w:val="FirstParagraph"/>
      </w:pPr>
      <w:r>
        <w:t xml:space="preserve">A raw defect map is a large image-like object (Table 4.1 budgeted 10–100 MB); a</w:t>
      </w:r>
      <w:r>
        <w:t xml:space="preserve"> </w:t>
      </w:r>
      <w:r>
        <w:t xml:space="preserve">fingerprint template is the compact, comparison-ready derivative committed at</w:t>
      </w:r>
      <w:r>
        <w:t xml:space="preserve"> </w:t>
      </w:r>
      <w:r>
        <w:t xml:space="preserve">enrollment. The distinction matters legally as well as technically: the raw</w:t>
      </w:r>
      <w:r>
        <w:t xml:space="preserve"> </w:t>
      </w:r>
      <w:r>
        <w:t xml:space="preserve">map is the</w:t>
      </w:r>
      <w:r>
        <w:t xml:space="preserve"> </w:t>
      </w:r>
      <w:r>
        <w:rPr>
          <w:iCs/>
          <w:i/>
        </w:rPr>
        <w:t xml:space="preserve">evidence</w:t>
      </w:r>
      <w:r>
        <w:t xml:space="preserve">, preserved in custody for the disputes that want</w:t>
      </w:r>
      <w:r>
        <w:t xml:space="preserve"> </w:t>
      </w:r>
      <w:r>
        <w:t xml:space="preserve">everything; the template is the</w:t>
      </w:r>
      <w:r>
        <w:t xml:space="preserve"> </w:t>
      </w:r>
      <w:r>
        <w:rPr>
          <w:iCs/>
          <w:i/>
        </w:rPr>
        <w:t xml:space="preserve">operational instrument</w:t>
      </w:r>
      <w:r>
        <w:t xml:space="preserve">, sized and</w:t>
      </w:r>
      <w:r>
        <w:t xml:space="preserve"> </w:t>
      </w:r>
      <w:r>
        <w:t xml:space="preserve">structured for millions of fast comparisons; and because each processing</w:t>
      </w:r>
      <w:r>
        <w:t xml:space="preserve"> </w:t>
      </w:r>
      <w:r>
        <w:t xml:space="preserve">stage signs its output against its input’s digest, a court or counterparty</w:t>
      </w:r>
      <w:r>
        <w:t xml:space="preserve"> </w:t>
      </w:r>
      <w:r>
        <w:t xml:space="preserve">can always walk from the operational answer back to the primary evidence and</w:t>
      </w:r>
      <w:r>
        <w:t xml:space="preserve"> </w:t>
      </w:r>
      <w:r>
        <w:t xml:space="preserve">recompute the walk. The pipeline, each stage signed per the provenance-chain</w:t>
      </w:r>
      <w:r>
        <w:t xml:space="preserve"> </w:t>
      </w:r>
      <w:r>
        <w:t xml:space="preserve">discipline of Section 4.5: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Registration and normalization.</w:t>
      </w:r>
      <w:r>
        <w:t xml:space="preserve"> </w:t>
      </w:r>
      <w:r>
        <w:t xml:space="preserve">Map is registered to the module’s cell grid</w:t>
      </w:r>
      <w:r>
        <w:t xml:space="preserve"> </w:t>
      </w:r>
      <w:r>
        <w:t xml:space="preserve">(busbars and cell edges provide the frame), normalized for bias current and</w:t>
      </w:r>
      <w:r>
        <w:t xml:space="preserve"> </w:t>
      </w:r>
      <w:r>
        <w:t xml:space="preserve">temperature — both recorded, since comparison across operating points is a known</w:t>
      </w:r>
      <w:r>
        <w:t xml:space="preserve"> </w:t>
      </w:r>
      <w:r>
        <w:t xml:space="preserve">error source. The error budget assigns this stage its own allocation:</w:t>
      </w:r>
      <w:r>
        <w:t xml:space="preserve"> </w:t>
      </w:r>
      <w:r>
        <w:t xml:space="preserve">registration residuals must sit well below the smallest stable feature’s</w:t>
      </w:r>
      <w:r>
        <w:t xml:space="preserve"> </w:t>
      </w:r>
      <w:r>
        <w:t xml:space="preserve">scale, which the busbar skeleton achieves comfortably; temperature</w:t>
      </w:r>
      <w:r>
        <w:t xml:space="preserve"> </w:t>
      </w:r>
      <w:r>
        <w:t xml:space="preserve">normalization matters because shunt behavior and series resistances are</w:t>
      </w:r>
      <w:r>
        <w:t xml:space="preserve"> </w:t>
      </w:r>
      <w:r>
        <w:t xml:space="preserve">temperature-dependent, and the enrollment record therefore stores the</w:t>
      </w:r>
      <w:r>
        <w:t xml:space="preserve"> </w:t>
      </w:r>
      <w:r>
        <w:t xml:space="preserve">measurement conditions as first-class data rather than as lab-notebook</w:t>
      </w:r>
      <w:r>
        <w:t xml:space="preserve"> </w:t>
      </w:r>
      <w:r>
        <w:t xml:space="preserve">afterthoughts.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Feature decomposition.</w:t>
      </w:r>
      <w:r>
        <w:t xml:space="preserve"> </w:t>
      </w:r>
      <w:r>
        <w:t xml:space="preserve">The map is decomposed into a</w:t>
      </w:r>
      <w:r>
        <w:t xml:space="preserve"> </w:t>
      </w:r>
      <w:r>
        <w:rPr>
          <w:iCs/>
          <w:i/>
        </w:rPr>
        <w:t xml:space="preserve">stable-structure layer</w:t>
      </w:r>
      <w:r>
        <w:t xml:space="preserve"> </w:t>
      </w:r>
      <w:r>
        <w:t xml:space="preserve">(grain-boundary current texture, as-built shunt population, fixed process</w:t>
      </w:r>
      <w:r>
        <w:t xml:space="preserve"> </w:t>
      </w:r>
      <w:r>
        <w:t xml:space="preserve">signatures) and a</w:t>
      </w:r>
      <w:r>
        <w:t xml:space="preserve"> </w:t>
      </w:r>
      <w:r>
        <w:rPr>
          <w:iCs/>
          <w:i/>
        </w:rPr>
        <w:t xml:space="preserve">condition layer</w:t>
      </w:r>
      <w:r>
        <w:t xml:space="preserve"> </w:t>
      </w:r>
      <w:r>
        <w:t xml:space="preserve">(features known to evolve: crack networks,</w:t>
      </w:r>
      <w:r>
        <w:t xml:space="preserve"> </w:t>
      </w:r>
      <w:r>
        <w:t xml:space="preserve">solder-bond resistances, PID-susceptible patterns). The decomposition is the</w:t>
      </w:r>
      <w:r>
        <w:t xml:space="preserve"> </w:t>
      </w:r>
      <w:r>
        <w:t xml:space="preserve">scientific heart of the scheme — Section 3.4 previewed why: identity must rest on</w:t>
      </w:r>
      <w:r>
        <w:t xml:space="preserve"> </w:t>
      </w:r>
      <w:r>
        <w:t xml:space="preserve">the stable layer, while the condition layer becomes the degradation record.</w:t>
      </w:r>
      <w:r>
        <w:t xml:space="preserve"> </w:t>
      </w:r>
      <w:r>
        <w:t xml:space="preserve">The assignment of feature classes to layers is itself versioned scientific</w:t>
      </w:r>
      <w:r>
        <w:t xml:space="preserve"> </w:t>
      </w:r>
      <w:r>
        <w:t xml:space="preserve">content: it encodes the field’s current understanding of which features</w:t>
      </w:r>
      <w:r>
        <w:t xml:space="preserve"> </w:t>
      </w:r>
      <w:r>
        <w:t xml:space="preserve">age, it improves as longitudinal data accumulates (open problem M1), and</w:t>
      </w:r>
      <w:r>
        <w:t xml:space="preserve"> </w:t>
      </w:r>
      <w:r>
        <w:t xml:space="preserve">the pilot’s mid-course re-decomposition (Section 11.5, lesson 6) was</w:t>
      </w:r>
      <w:r>
        <w:t xml:space="preserve"> </w:t>
      </w:r>
      <w:r>
        <w:t xml:space="preserve">precisely an upgrade of this assignment, executed through the schema’s</w:t>
      </w:r>
      <w:r>
        <w:t xml:space="preserve"> </w:t>
      </w:r>
      <w:r>
        <w:t xml:space="preserve">versioning machinery rather than through a data migration.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Template encoding.</w:t>
      </w:r>
      <w:r>
        <w:t xml:space="preserve"> </w:t>
      </w:r>
      <w:r>
        <w:t xml:space="preserve">The stable layer is encoded as a feature vector with a</w:t>
      </w:r>
      <w:r>
        <w:t xml:space="preserve"> </w:t>
      </w:r>
      <w:r>
        <w:t xml:space="preserve">defined similarity metric and decision thresholds calibrated on false-accept /</w:t>
      </w:r>
      <w:r>
        <w:t xml:space="preserve"> </w:t>
      </w:r>
      <w:r>
        <w:t xml:space="preserve">false-reject trade-offs (the biometric formalism transfers directly, and</w:t>
      </w:r>
      <w:r>
        <w:t xml:space="preserve"> </w:t>
      </w:r>
      <w:r>
        <w:t xml:space="preserve">Appendix B’s comparison table uses its vocabulary). The condition layer is</w:t>
      </w:r>
      <w:r>
        <w:t xml:space="preserve"> </w:t>
      </w:r>
      <w:r>
        <w:t xml:space="preserve">encoded as a versioned condition summary. Threshold calibration is</w:t>
      </w:r>
      <w:r>
        <w:t xml:space="preserve"> </w:t>
      </w:r>
      <w:r>
        <w:t xml:space="preserve">empirical and cohort-based: the FAR side is estimated by cross-comparing</w:t>
      </w:r>
      <w:r>
        <w:t xml:space="preserve"> </w:t>
      </w:r>
      <w:r>
        <w:t xml:space="preserve">templates across large production populations (every pair of distinct</w:t>
      </w:r>
      <w:r>
        <w:t xml:space="preserve"> </w:t>
      </w:r>
      <w:r>
        <w:t xml:space="preserve">modules is a labeled impostor trial, so a production month yields billions</w:t>
      </w:r>
      <w:r>
        <w:t xml:space="preserve"> </w:t>
      </w:r>
      <w:r>
        <w:t xml:space="preserve">of trials free), while the FRR side requires re-measurement campaigns</w:t>
      </w:r>
      <w:r>
        <w:t xml:space="preserve"> </w:t>
      </w:r>
      <w:r>
        <w:t xml:space="preserve">under field conditions — scarcer data, and the reason verification</w:t>
      </w:r>
      <w:r>
        <w:t xml:space="preserve"> </w:t>
      </w:r>
      <w:r>
        <w:t xml:space="preserve">protocols always carry a re-measure-before-escalate step.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Commitment.</w:t>
      </w:r>
      <w:r>
        <w:t xml:space="preserve"> </w:t>
      </w:r>
      <w:r>
        <w:t xml:space="preserve">Template digest and condition-summary digest enter the</w:t>
      </w:r>
      <w:r>
        <w:t xml:space="preserve"> </w:t>
      </w:r>
      <w:r>
        <w:rPr>
          <w:rStyle w:val="VerbatimChar"/>
        </w:rPr>
        <w:t xml:space="preserve">EVT_REGISTER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EVT_INSPECT</w:t>
      </w:r>
      <w:r>
        <w:t xml:space="preserve">) payload; full maps go to replicated off-chain</w:t>
      </w:r>
      <w:r>
        <w:t xml:space="preserve"> </w:t>
      </w:r>
      <w:r>
        <w:t xml:space="preserve">custody per Section 4.2, encrypted per Section 4.2.1 — the full map is</w:t>
      </w:r>
      <w:r>
        <w:t xml:space="preserve"> </w:t>
      </w:r>
      <w:r>
        <w:t xml:space="preserve">commercially sensitive (it reveals process signatures a competitor could</w:t>
      </w:r>
      <w:r>
        <w:t xml:space="preserve"> </w:t>
      </w:r>
      <w:r>
        <w:t xml:space="preserve">read) even though the template digest reveals nothing.</w:t>
      </w:r>
    </w:p>
    <w:p>
      <w:pPr>
        <w:pStyle w:val="FirstParagraph"/>
      </w:pPr>
      <w:r>
        <w:t xml:space="preserve">Template sizes, for the record and for Chapter 7’s storage arithmetic: the</w:t>
      </w:r>
      <w:r>
        <w:t xml:space="preserve"> </w:t>
      </w:r>
      <w:r>
        <w:t xml:space="preserve">stable-structure template encodes to tens or hundreds of kilobytes per module</w:t>
      </w:r>
      <w:r>
        <w:t xml:space="preserve"> </w:t>
      </w:r>
      <w:r>
        <w:t xml:space="preserve">depending on modality and version (grain-texture features dominate); the</w:t>
      </w:r>
      <w:r>
        <w:t xml:space="preserve"> </w:t>
      </w:r>
      <w:r>
        <w:t xml:space="preserve">condition summary is similar; the underlying full maps are the 10–100 MB</w:t>
      </w:r>
      <w:r>
        <w:t xml:space="preserve"> </w:t>
      </w:r>
      <w:r>
        <w:t xml:space="preserve">payloads of Table 4.1. Only digests of any of these touch the ledger. The</w:t>
      </w:r>
      <w:r>
        <w:t xml:space="preserve"> </w:t>
      </w:r>
      <w:r>
        <w:t xml:space="preserve">encoding is a versioned, documented format per Section 4.2.1’s longevity</w:t>
      </w:r>
      <w:r>
        <w:t xml:space="preserve"> </w:t>
      </w:r>
      <w:r>
        <w:t xml:space="preserve">rules — and its openness is precisely what standardization gap S3 is about,</w:t>
      </w:r>
      <w:r>
        <w:t xml:space="preserve"> </w:t>
      </w:r>
      <w:r>
        <w:t xml:space="preserve">since a template only proves anything to a verifier whose software can</w:t>
      </w:r>
      <w:r>
        <w:t xml:space="preserve"> </w:t>
      </w:r>
      <w:r>
        <w:t xml:space="preserve">compute the same features from a fresh measurement.</w:t>
      </w:r>
    </w:p>
    <w:p>
      <w:pPr>
        <w:pStyle w:val="BodyText"/>
      </w:pPr>
      <w:r>
        <w:rPr>
          <w:bCs/>
          <w:b/>
        </w:rPr>
        <w:t xml:space="preserve">Figure 6.1</w:t>
      </w:r>
      <w:r>
        <w:t xml:space="preserve"> </w:t>
      </w:r>
      <w:r>
        <w:t xml:space="preserve">The enrollment pipeline. Everything to the right of the instrument is</w:t>
      </w:r>
      <w:r>
        <w:t xml:space="preserve"> </w:t>
      </w:r>
      <w:r>
        <w:t xml:space="preserve">a signed computation chain; the two-layer decomposition feeds identity and condition</w:t>
      </w:r>
      <w:r>
        <w:t xml:space="preserve"> </w:t>
      </w:r>
      <w:r>
        <w:t xml:space="preserve">records separately.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M[Module under bias] --&gt; Q[NV magnetometer&lt;br&gt;signed raw field map]</w:t>
      </w:r>
      <w:r>
        <w:br/>
      </w:r>
      <w:r>
        <w:rPr>
          <w:rStyle w:val="VerbatimChar"/>
        </w:rPr>
        <w:t xml:space="preserve">    Q --&gt; INV[Current-density&lt;br&gt;inversion, signed]</w:t>
      </w:r>
      <w:r>
        <w:br/>
      </w:r>
      <w:r>
        <w:rPr>
          <w:rStyle w:val="VerbatimChar"/>
        </w:rPr>
        <w:t xml:space="preserve">    INV --&gt; REG[Grid registration &amp;&lt;br&gt;normalization, signed]</w:t>
      </w:r>
      <w:r>
        <w:br/>
      </w:r>
      <w:r>
        <w:rPr>
          <w:rStyle w:val="VerbatimChar"/>
        </w:rPr>
        <w:t xml:space="preserve">    REG --&gt; DEC{Two-layer&lt;br&gt;decomposition}</w:t>
      </w:r>
      <w:r>
        <w:br/>
      </w:r>
      <w:r>
        <w:rPr>
          <w:rStyle w:val="VerbatimChar"/>
        </w:rPr>
        <w:t xml:space="preserve">    DEC --&gt; ST[Stable-structure layer&lt;br&gt;→ identity template]</w:t>
      </w:r>
      <w:r>
        <w:br/>
      </w:r>
      <w:r>
        <w:rPr>
          <w:rStyle w:val="VerbatimChar"/>
        </w:rPr>
        <w:t xml:space="preserve">    DEC --&gt; CN[Condition layer&lt;br&gt;→ condition summary]</w:t>
      </w:r>
      <w:r>
        <w:br/>
      </w:r>
      <w:r>
        <w:rPr>
          <w:rStyle w:val="VerbatimChar"/>
        </w:rPr>
        <w:t xml:space="preserve">    ST --&gt; TD[Template digest]</w:t>
      </w:r>
      <w:r>
        <w:br/>
      </w:r>
      <w:r>
        <w:rPr>
          <w:rStyle w:val="VerbatimChar"/>
        </w:rPr>
        <w:t xml:space="preserve">    CN --&gt; CD[Condition digest]</w:t>
      </w:r>
      <w:r>
        <w:br/>
      </w:r>
      <w:r>
        <w:rPr>
          <w:rStyle w:val="VerbatimChar"/>
        </w:rPr>
        <w:t xml:space="preserve">    TD --&gt; EV[EVT_REGISTER /&lt;br&gt;EVT_INSPECT payload]</w:t>
      </w:r>
      <w:r>
        <w:br/>
      </w:r>
      <w:r>
        <w:rPr>
          <w:rStyle w:val="VerbatimChar"/>
        </w:rPr>
        <w:t xml:space="preserve">    CD --&gt; EV</w:t>
      </w:r>
      <w:r>
        <w:br/>
      </w:r>
      <w:r>
        <w:rPr>
          <w:rStyle w:val="VerbatimChar"/>
        </w:rPr>
        <w:t xml:space="preserve">    Q -. full maps .-&gt; STOR[(Replicated&lt;br&gt;off-chain custody)]</w:t>
      </w:r>
      <w:r>
        <w:br/>
      </w:r>
      <w:r>
        <w:rPr>
          <w:rStyle w:val="VerbatimChar"/>
        </w:rPr>
        <w:t xml:space="preserve">    EV --&gt; LEDG[Consortium ledger&lt;br&gt;+ public anchor]</w:t>
      </w:r>
    </w:p>
    <w:bookmarkEnd w:id="25"/>
    <w:bookmarkStart w:id="26" w:name="binding-the-map-to-the-identity-record"/>
    <w:p>
      <w:pPr>
        <w:pStyle w:val="Heading2"/>
      </w:pPr>
      <w:r>
        <w:t xml:space="preserve">6.4 Binding the Map to the Identity Record</w:t>
      </w:r>
    </w:p>
    <w:p>
      <w:pPr>
        <w:pStyle w:val="FirstParagraph"/>
      </w:pPr>
      <w:r>
        <w:t xml:space="preserve">The binding construction — the part of the mechanism at the center of the patent</w:t>
      </w:r>
      <w:r>
        <w:t xml:space="preserve"> </w:t>
      </w:r>
      <w:r>
        <w:t xml:space="preserve">application — has three elements beyond the pipeline above.</w:t>
      </w:r>
    </w:p>
    <w:p>
      <w:pPr>
        <w:pStyle w:val="BodyText"/>
      </w:pPr>
      <w:r>
        <w:rPr>
          <w:bCs/>
          <w:b/>
        </w:rPr>
        <w:t xml:space="preserve">Cross-modal locking.</w:t>
      </w:r>
      <w:r>
        <w:t xml:space="preserve"> </w:t>
      </w:r>
      <w:r>
        <w:t xml:space="preserve">The enrollment event commits templates from at least two</w:t>
      </w:r>
      <w:r>
        <w:t xml:space="preserve"> </w:t>
      </w:r>
      <w:r>
        <w:t xml:space="preserve">physically independent modalities (magnetometric stable-structure plus EL structural)</w:t>
      </w:r>
      <w:r>
        <w:t xml:space="preserve"> </w:t>
      </w:r>
      <w:r>
        <w:rPr>
          <w:iCs/>
          <w:i/>
        </w:rPr>
        <w:t xml:space="preserve">with a recorded spatial co-registration between them</w:t>
      </w:r>
      <w:r>
        <w:t xml:space="preserve">. An attacker must now forge</w:t>
      </w:r>
      <w:r>
        <w:t xml:space="preserve"> </w:t>
      </w:r>
      <w:r>
        <w:t xml:space="preserve">two physically distinct signatures</w:t>
      </w:r>
      <w:r>
        <w:t xml:space="preserve"> </w:t>
      </w:r>
      <w:r>
        <w:rPr>
          <w:bCs/>
          <w:b/>
        </w:rPr>
        <w:t xml:space="preserve">and their mutual geometric relationship</w:t>
      </w:r>
      <w:r>
        <w:t xml:space="preserve"> </w:t>
      </w:r>
      <w:r>
        <w:t xml:space="preserve">— and</w:t>
      </w:r>
      <w:r>
        <w:t xml:space="preserve"> </w:t>
      </w:r>
      <w:r>
        <w:t xml:space="preserve">the co-registration is cheap for the legitimate enroller (one fixture, one</w:t>
      </w:r>
      <w:r>
        <w:t xml:space="preserve"> </w:t>
      </w:r>
      <w:r>
        <w:t xml:space="preserve">timestamp) while roughly squaring the forger’s problem, since the modalities sample</w:t>
      </w:r>
      <w:r>
        <w:t xml:space="preserve"> </w:t>
      </w:r>
      <w:r>
        <w:t xml:space="preserve">different depths of the device (EL sees radiative recombination; magnetometry sees</w:t>
      </w:r>
      <w:r>
        <w:t xml:space="preserve"> </w:t>
      </w:r>
      <w:r>
        <w:t xml:space="preserve">current paths, including buried ones). Mechanically, co-registration is a</w:t>
      </w:r>
      <w:r>
        <w:t xml:space="preserve"> </w:t>
      </w:r>
      <w:r>
        <w:t xml:space="preserve">shared coordinate solution: both instruments image the same fiducial</w:t>
      </w:r>
      <w:r>
        <w:t xml:space="preserve"> </w:t>
      </w:r>
      <w:r>
        <w:t xml:space="preserve">skeleton (busbars, cell edges) in the same fixture without re-handling the</w:t>
      </w:r>
      <w:r>
        <w:t xml:space="preserve"> </w:t>
      </w:r>
      <w:r>
        <w:t xml:space="preserve">module between captures, and the enrollment payload records the transform</w:t>
      </w:r>
      <w:r>
        <w:t xml:space="preserve"> </w:t>
      </w:r>
      <w:r>
        <w:t xml:space="preserve">between the two feature sets along with its residuals. At verification, the</w:t>
      </w:r>
      <w:r>
        <w:t xml:space="preserve"> </w:t>
      </w:r>
      <w:r>
        <w:t xml:space="preserve">lock is checked by confirming not only that each modality matches its</w:t>
      </w:r>
      <w:r>
        <w:t xml:space="preserve"> </w:t>
      </w:r>
      <w:r>
        <w:t xml:space="preserve">template but that features</w:t>
      </w:r>
      <w:r>
        <w:t xml:space="preserve"> </w:t>
      </w:r>
      <w:r>
        <w:rPr>
          <w:iCs/>
          <w:i/>
        </w:rPr>
        <w:t xml:space="preserve">shared across modalities</w:t>
      </w:r>
      <w:r>
        <w:t xml:space="preserve"> </w:t>
      </w:r>
      <w:r>
        <w:t xml:space="preserve">— a grain boundary</w:t>
      </w:r>
      <w:r>
        <w:t xml:space="preserve"> </w:t>
      </w:r>
      <w:r>
        <w:t xml:space="preserve">visible in EL whose current-texture counterpart appears in the field map —</w:t>
      </w:r>
      <w:r>
        <w:t xml:space="preserve"> </w:t>
      </w:r>
      <w:r>
        <w:t xml:space="preserve">sit at the recorded mutual positions. A forger who solves each modality</w:t>
      </w:r>
      <w:r>
        <w:t xml:space="preserve"> </w:t>
      </w:r>
      <w:r>
        <w:t xml:space="preserve">separately (already implausible) discovers that the solutions must also be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same object’s</w:t>
      </w:r>
      <w:r>
        <w:t xml:space="preserve"> </w:t>
      </w:r>
      <w:r>
        <w:t xml:space="preserve">solutions, aligned to sub-feature precision. Independence</w:t>
      </w:r>
      <w:r>
        <w:t xml:space="preserve"> </w:t>
      </w:r>
      <w:r>
        <w:t xml:space="preserve">between the modalities is what makes the multiplication legitimate; this is</w:t>
      </w:r>
      <w:r>
        <w:t xml:space="preserve"> </w:t>
      </w:r>
      <w:r>
        <w:t xml:space="preserve">Rule 2 of Section 4.5 executed in physics rather than in signatures.</w:t>
      </w:r>
    </w:p>
    <w:p>
      <w:pPr>
        <w:pStyle w:val="BodyText"/>
      </w:pPr>
      <w:r>
        <w:rPr>
          <w:bCs/>
          <w:b/>
        </w:rPr>
        <w:t xml:space="preserve">Challenge-parameterized measurement.</w:t>
      </w:r>
      <w:r>
        <w:t xml:space="preserve"> </w:t>
      </w:r>
      <w:r>
        <w:t xml:space="preserve">The field verification protocol does not</w:t>
      </w:r>
      <w:r>
        <w:t xml:space="preserve"> </w:t>
      </w:r>
      <w:r>
        <w:t xml:space="preserve">simply re-measure and compare. The verifier draws a random challenge — a bias</w:t>
      </w:r>
      <w:r>
        <w:t xml:space="preserve"> </w:t>
      </w:r>
      <w:r>
        <w:t xml:space="preserve">current level and a subset of cells/regions, from a challenge space fixed at</w:t>
      </w:r>
      <w:r>
        <w:t xml:space="preserve"> </w:t>
      </w:r>
      <w:r>
        <w:t xml:space="preserve">enrollment — and the comparison is performed on the challenged slice. Because</w:t>
      </w:r>
      <w:r>
        <w:t xml:space="preserve"> </w:t>
      </w:r>
      <w:r>
        <w:t xml:space="preserve">current-flow patterns vary with bias point in a device-specific, defect-determined</w:t>
      </w:r>
      <w:r>
        <w:t xml:space="preserve"> </w:t>
      </w:r>
      <w:r>
        <w:t xml:space="preserve">way, a static replica (a</w:t>
      </w:r>
      <w:r>
        <w:t xml:space="preserve"> </w:t>
      </w:r>
      <w:r>
        <w:t xml:space="preserve">“</w:t>
      </w:r>
      <w:r>
        <w:t xml:space="preserve">defect decal</w:t>
      </w:r>
      <w:r>
        <w:t xml:space="preserve">”</w:t>
      </w:r>
      <w:r>
        <w:t xml:space="preserve">) that matches one operating point fails at</w:t>
      </w:r>
      <w:r>
        <w:t xml:space="preserve"> </w:t>
      </w:r>
      <w:r>
        <w:t xml:space="preserve">another. This imports the liveness logic of challenge–response authentication</w:t>
      </w:r>
      <w:r>
        <w:t xml:space="preserve"> </w:t>
      </w:r>
      <w:r>
        <w:t xml:space="preserve">(Section 3.3) into a device with no processor:</w:t>
      </w:r>
      <w:r>
        <w:t xml:space="preserve"> </w:t>
      </w:r>
      <w:r>
        <w:rPr>
          <w:bCs/>
          <w:b/>
        </w:rPr>
        <w:t xml:space="preserve">the physics answers the challenge.</w:t>
      </w:r>
    </w:p>
    <w:p>
      <w:pPr>
        <w:pStyle w:val="BodyText"/>
      </w:pPr>
      <w:r>
        <w:t xml:space="preserve">The challenge space’s size is what makes the mechanism more than a gesture.</w:t>
      </w:r>
      <w:r>
        <w:t xml:space="preserve"> </w:t>
      </w:r>
      <w:r>
        <w:t xml:space="preserve">Enrollment captures the map at several bias points spanning the device’s</w:t>
      </w:r>
      <w:r>
        <w:t xml:space="preserve"> </w:t>
      </w:r>
      <w:r>
        <w:t xml:space="preserve">operating range, from which the</w:t>
      </w:r>
      <w:r>
        <w:t xml:space="preserve"> </w:t>
      </w:r>
      <w:r>
        <w:rPr>
          <w:iCs/>
          <w:i/>
        </w:rPr>
        <w:t xml:space="preserve">bias response</w:t>
      </w:r>
      <w:r>
        <w:t xml:space="preserve"> </w:t>
      </w:r>
      <w:r>
        <w:t xml:space="preserve">of each stable feature is</w:t>
      </w:r>
      <w:r>
        <w:t xml:space="preserve"> </w:t>
      </w:r>
      <w:r>
        <w:t xml:space="preserve">characterized — shunts whose current share grows nonlinearly with bias,</w:t>
      </w:r>
      <w:r>
        <w:t xml:space="preserve"> </w:t>
      </w:r>
      <w:r>
        <w:t xml:space="preserve">detour paths whose visibility switches with injection level, resistive</w:t>
      </w:r>
      <w:r>
        <w:t xml:space="preserve"> </w:t>
      </w:r>
      <w:r>
        <w:t xml:space="preserve">signatures that migrate. A challenge then names a bias point (drawn from a</w:t>
      </w:r>
      <w:r>
        <w:t xml:space="preserve"> </w:t>
      </w:r>
      <w:r>
        <w:t xml:space="preserve">continuum, not a menu), a cell subset, and a feature class; the expected</w:t>
      </w:r>
      <w:r>
        <w:t xml:space="preserve"> </w:t>
      </w:r>
      <w:r>
        <w:t xml:space="preserve">response is computable from the enrollment characterization but the</w:t>
      </w:r>
      <w:r>
        <w:t xml:space="preserve"> </w:t>
      </w:r>
      <w:r>
        <w:rPr>
          <w:iCs/>
          <w:i/>
        </w:rPr>
        <w:t xml:space="preserve">full</w:t>
      </w:r>
      <w:r>
        <w:t xml:space="preserve"> </w:t>
      </w:r>
      <w:r>
        <w:t xml:space="preserve">response surface was never published — only its digest-committed</w:t>
      </w:r>
      <w:r>
        <w:t xml:space="preserve"> </w:t>
      </w:r>
      <w:r>
        <w:t xml:space="preserve">parameterization, disclosed slice by slice as challenges consume it. An</w:t>
      </w:r>
      <w:r>
        <w:t xml:space="preserve"> </w:t>
      </w:r>
      <w:r>
        <w:t xml:space="preserve">adversary who obtained every template in the registry still faces the</w:t>
      </w:r>
      <w:r>
        <w:t xml:space="preserve"> </w:t>
      </w:r>
      <w:r>
        <w:t xml:space="preserve">question a static artifact cannot answer:</w:t>
      </w:r>
      <w:r>
        <w:t xml:space="preserve"> </w:t>
      </w:r>
      <w:r>
        <w:rPr>
          <w:iCs/>
          <w:i/>
        </w:rPr>
        <w:t xml:space="preserve">how does your defect population</w:t>
      </w:r>
      <w:r>
        <w:rPr>
          <w:iCs/>
          <w:i/>
        </w:rPr>
        <w:t xml:space="preserve"> </w:t>
      </w:r>
      <w:r>
        <w:rPr>
          <w:iCs/>
          <w:i/>
        </w:rPr>
        <w:t xml:space="preserve">respond to a bias point nobody has asked about before?</w:t>
      </w:r>
      <w:r>
        <w:t xml:space="preserve"> </w:t>
      </w:r>
      <w:r>
        <w:t xml:space="preserve">Only a device with</w:t>
      </w:r>
      <w:r>
        <w:t xml:space="preserve"> </w:t>
      </w:r>
      <w:r>
        <w:t xml:space="preserve">an actual, physically consistent defect population responds correctly, and</w:t>
      </w:r>
      <w:r>
        <w:t xml:space="preserve"> </w:t>
      </w:r>
      <w:r>
        <w:t xml:space="preserve">manufacturing such a device is the R3 problem again. The design’s honest</w:t>
      </w:r>
      <w:r>
        <w:t xml:space="preserve"> </w:t>
      </w:r>
      <w:r>
        <w:t xml:space="preserve">caveat is inversion ambiguity — whether distinct defect populations could</w:t>
      </w:r>
      <w:r>
        <w:t xml:space="preserve"> </w:t>
      </w:r>
      <w:r>
        <w:t xml:space="preserve">share response surfaces within measurement error across the challenge space</w:t>
      </w:r>
      <w:r>
        <w:t xml:space="preserve"> </w:t>
      </w:r>
      <w:r>
        <w:t xml:space="preserve">— which is exactly open problem M2, stated so the research community can</w:t>
      </w:r>
      <w:r>
        <w:t xml:space="preserve"> </w:t>
      </w:r>
      <w:r>
        <w:t xml:space="preserve">attack it rather than discover it.</w:t>
      </w:r>
    </w:p>
    <w:p>
      <w:pPr>
        <w:pStyle w:val="BodyText"/>
      </w:pPr>
      <w:r>
        <w:rPr>
          <w:bCs/>
          <w:b/>
        </w:rPr>
        <w:t xml:space="preserve">Supersession with provenance.</w:t>
      </w:r>
      <w:r>
        <w:t xml:space="preserve"> </w:t>
      </w:r>
      <w:r>
        <w:t xml:space="preserve">Structure evolves; templates age.</w:t>
      </w:r>
      <w:r>
        <w:t xml:space="preserve"> </w:t>
      </w:r>
      <w:r>
        <w:rPr>
          <w:rStyle w:val="VerbatimChar"/>
        </w:rPr>
        <w:t xml:space="preserve">EVT_REENROLL</w:t>
      </w:r>
      <w:r>
        <w:t xml:space="preserve"> </w:t>
      </w:r>
      <w:r>
        <w:t xml:space="preserve">(Section 5.3) lets an accredited verifier commit a new template that</w:t>
      </w:r>
      <w:r>
        <w:t xml:space="preserve"> </w:t>
      </w:r>
      <w:r>
        <w:rPr>
          <w:iCs/>
          <w:i/>
        </w:rPr>
        <w:t xml:space="preserve">supersedes</w:t>
      </w:r>
      <w:r>
        <w:t xml:space="preserve"> </w:t>
      </w:r>
      <w:r>
        <w:t xml:space="preserve">the old with an explicit reason and a full measurement trail — never replacing it.</w:t>
      </w:r>
      <w:r>
        <w:t xml:space="preserve"> </w:t>
      </w:r>
      <w:r>
        <w:t xml:space="preserve">The chain of superseded templates is itself evidence: each re-enrollment’s condition</w:t>
      </w:r>
      <w:r>
        <w:t xml:space="preserve"> </w:t>
      </w:r>
      <w:r>
        <w:t xml:space="preserve">layer must be a physically plausible evolution of its predecessor (cracks extend,</w:t>
      </w:r>
      <w:r>
        <w:t xml:space="preserve"> </w:t>
      </w:r>
      <w:r>
        <w:t xml:space="preserve">they do not heal), and implausible transitions flag substitution. Identity, on this</w:t>
      </w:r>
      <w:r>
        <w:t xml:space="preserve"> </w:t>
      </w:r>
      <w:r>
        <w:t xml:space="preserve">design, is not a static match to a birth certificate but</w:t>
      </w:r>
      <w:r>
        <w:t xml:space="preserve"> </w:t>
      </w:r>
      <w:r>
        <w:rPr>
          <w:iCs/>
          <w:i/>
        </w:rPr>
        <w:t xml:space="preserve">continuity of documented</w:t>
      </w:r>
      <w:r>
        <w:rPr>
          <w:iCs/>
          <w:i/>
        </w:rPr>
        <w:t xml:space="preserve"> </w:t>
      </w:r>
      <w:r>
        <w:rPr>
          <w:iCs/>
          <w:i/>
        </w:rPr>
        <w:t xml:space="preserve">physical evolution</w:t>
      </w:r>
      <w:r>
        <w:t xml:space="preserve"> </w:t>
      </w:r>
      <w:r>
        <w:t xml:space="preserve">— which is, on reflection, how identity works for every aging</w:t>
      </w:r>
      <w:r>
        <w:t xml:space="preserve"> </w:t>
      </w:r>
      <w:r>
        <w:t xml:space="preserve">physical thing, formalized.</w:t>
      </w:r>
    </w:p>
    <w:p>
      <w:pPr>
        <w:pStyle w:val="BodyText"/>
      </w:pPr>
      <w:r>
        <w:t xml:space="preserve">The evolution-plausibility check (requirement R5) deserves its mechanics</w:t>
      </w:r>
      <w:r>
        <w:t xml:space="preserve"> </w:t>
      </w:r>
      <w:r>
        <w:t xml:space="preserve">spelled out, because it is the supersession mechanism’s immune system. Crack</w:t>
      </w:r>
      <w:r>
        <w:t xml:space="preserve"> </w:t>
      </w:r>
      <w:r>
        <w:t xml:space="preserve">networks grow monotonically: a verification image whose crack set is a strict</w:t>
      </w:r>
      <w:r>
        <w:t xml:space="preserve"> </w:t>
      </w:r>
      <w:r>
        <w:t xml:space="preserve">superset of the enrollment’s, with extensions rooted at recorded stress</w:t>
      </w:r>
      <w:r>
        <w:t xml:space="preserve"> </w:t>
      </w:r>
      <w:r>
        <w:t xml:space="preserve">concentrations, is a plausible successor; an image whose cracks have</w:t>
      </w:r>
      <w:r>
        <w:t xml:space="preserve"> </w:t>
      </w:r>
      <w:r>
        <w:rPr>
          <w:iCs/>
          <w:i/>
        </w:rPr>
        <w:t xml:space="preserve">vanished</w:t>
      </w:r>
      <w:r>
        <w:t xml:space="preserve">, migrated, or appeared with morphologies inconsistent with the</w:t>
      </w:r>
      <w:r>
        <w:t xml:space="preserve"> </w:t>
      </w:r>
      <w:r>
        <w:t xml:space="preserve">module’s recorded mechanical history is not. Shunt populations drift in</w:t>
      </w:r>
      <w:r>
        <w:t xml:space="preserve"> </w:t>
      </w:r>
      <w:r>
        <w:t xml:space="preserve">bounded ways — existing shunts strengthen with PID stress and partially</w:t>
      </w:r>
      <w:r>
        <w:t xml:space="preserve"> </w:t>
      </w:r>
      <w:r>
        <w:t xml:space="preserve">recover under reverse-bias regimes, but new shunts do not materialize in</w:t>
      </w:r>
      <w:r>
        <w:t xml:space="preserve"> </w:t>
      </w:r>
      <w:r>
        <w:t xml:space="preserve">patterns uncorrelated with cell structure. Solder-bond resistances walk</w:t>
      </w:r>
      <w:r>
        <w:t xml:space="preserve"> </w:t>
      </w:r>
      <w:r>
        <w:t xml:space="preserve">upward with thermal-cycle counts at rates the fatigue literature bounds.</w:t>
      </w:r>
      <w:r>
        <w:t xml:space="preserve"> </w:t>
      </w:r>
      <w:r>
        <w:t xml:space="preserve">Each of these is a checkable directional constraint, and the checks compose:</w:t>
      </w:r>
      <w:r>
        <w:t xml:space="preserve"> </w:t>
      </w:r>
      <w:r>
        <w:t xml:space="preserve">a substituted module must not merely resemble the target — it must present a</w:t>
      </w:r>
      <w:r>
        <w:t xml:space="preserve"> </w:t>
      </w:r>
      <w:r>
        <w:t xml:space="preserve">condition layer that is a</w:t>
      </w:r>
      <w:r>
        <w:t xml:space="preserve"> </w:t>
      </w:r>
      <w:r>
        <w:rPr>
          <w:iCs/>
          <w:i/>
        </w:rPr>
        <w:t xml:space="preserve">physically legal evolution</w:t>
      </w:r>
      <w:r>
        <w:t xml:space="preserve"> </w:t>
      </w:r>
      <w:r>
        <w:t xml:space="preserve">of a specific recorded</w:t>
      </w:r>
      <w:r>
        <w:t xml:space="preserve"> </w:t>
      </w:r>
      <w:r>
        <w:t xml:space="preserve">past it never lived. The check’s power grows with every recorded inspection</w:t>
      </w:r>
      <w:r>
        <w:t xml:space="preserve"> </w:t>
      </w:r>
      <w:r>
        <w:t xml:space="preserve">(more waypoints to be consistent with), which pleasingly means the assets</w:t>
      </w:r>
      <w:r>
        <w:t xml:space="preserve"> </w:t>
      </w:r>
      <w:r>
        <w:t xml:space="preserve">with the most valuable histories are also the hardest to impersonate.</w:t>
      </w:r>
    </w:p>
    <w:bookmarkEnd w:id="26"/>
    <w:bookmarkStart w:id="27" w:name="requirements-stated-generally"/>
    <w:p>
      <w:pPr>
        <w:pStyle w:val="Heading2"/>
      </w:pPr>
      <w:r>
        <w:t xml:space="preserve">6.5 Requirements Stated Generally</w:t>
      </w:r>
    </w:p>
    <w:p>
      <w:pPr>
        <w:pStyle w:val="FirstParagraph"/>
      </w:pPr>
      <w:r>
        <w:t xml:space="preserve">For readers who will adopt a different sensing modality — and to keep the</w:t>
      </w:r>
      <w:r>
        <w:t xml:space="preserve"> </w:t>
      </w:r>
      <w:r>
        <w:t xml:space="preserve">architecture honest about what it actually depends on — the properties the binding</w:t>
      </w:r>
      <w:r>
        <w:t xml:space="preserve"> </w:t>
      </w:r>
      <w:r>
        <w:t xml:space="preserve">layer requires of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fingerprint mechanism:</w:t>
      </w:r>
    </w:p>
    <w:p>
      <w:pPr>
        <w:pStyle w:val="BodyText"/>
      </w:pPr>
      <w:r>
        <w:rPr>
          <w:bCs/>
          <w:b/>
        </w:rPr>
        <w:t xml:space="preserve">Table 6.2</w:t>
      </w:r>
      <w:r>
        <w:t xml:space="preserve"> </w:t>
      </w:r>
      <w:r>
        <w:t xml:space="preserve">Requirements on a passive binding modality, and how the defect-map</w:t>
      </w:r>
      <w:r>
        <w:t xml:space="preserve"> </w:t>
      </w:r>
      <w:r>
        <w:t xml:space="preserve">construction meets them.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Defect-map realization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Uniqueness 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space large and device-individual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Stochastic solidification/process defects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Stable 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Identifiable features invariant over service life at field measurement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 texture, as-built shunt population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Forgery asymmetry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Reproducing features in a physical artifact costs ≫ asset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controlling bulk semiconductor microstructure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 Challengeability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can be parameterized so static replicas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Bias-dependent current-path physics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 Evolution plausibility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drift constrained by known physics, so histories are checkable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Crack/degradation physics is directional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 Field 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cost and time compatible with Section 1.3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routine; magnetometric escalation (6.7)</w:t>
            </w:r>
          </w:p>
        </w:tc>
      </w:tr>
    </w:tbl>
    <w:p>
      <w:pPr>
        <w:pStyle w:val="BodyText"/>
      </w:pPr>
      <w:r>
        <w:t xml:space="preserve">The table’s compression hides judgment calls that a reader adopting an</w:t>
      </w:r>
      <w:r>
        <w:t xml:space="preserve"> </w:t>
      </w:r>
      <w:r>
        <w:t xml:space="preserve">alternative modality needs unpacked. R1’s</w:t>
      </w:r>
      <w:r>
        <w:t xml:space="preserve"> </w:t>
      </w:r>
      <w:r>
        <w:t xml:space="preserve">“</w:t>
      </w:r>
      <w:r>
        <w:t xml:space="preserve">large</w:t>
      </w:r>
      <w:r>
        <w:t xml:space="preserve">”</w:t>
      </w:r>
      <w:r>
        <w:t xml:space="preserve"> </w:t>
      </w:r>
      <w:r>
        <w:t xml:space="preserve">has a number behind it:</w:t>
      </w:r>
      <w:r>
        <w:t xml:space="preserve"> </w:t>
      </w:r>
      <w:r>
        <w:t xml:space="preserve">the feature space must discriminate among the ~10⁹ units a global product</w:t>
      </w:r>
      <w:r>
        <w:t xml:space="preserve"> </w:t>
      </w:r>
      <w:r>
        <w:t xml:space="preserve">line ships over its life, with FAR at the decision threshold small enough</w:t>
      </w:r>
      <w:r>
        <w:t xml:space="preserve"> </w:t>
      </w:r>
      <w:r>
        <w:t xml:space="preserve">that expected collisions across the population are negligible — hundreds of</w:t>
      </w:r>
      <w:r>
        <w:t xml:space="preserve"> </w:t>
      </w:r>
      <w:r>
        <w:t xml:space="preserve">effective bits, comfortably available in spatial defect structure and</w:t>
      </w:r>
      <w:r>
        <w:t xml:space="preserve"> </w:t>
      </w:r>
      <w:r>
        <w:t xml:space="preserve">absolutely unavailable in scalar electrical parameters. R2’s</w:t>
      </w:r>
      <w:r>
        <w:t xml:space="preserve"> </w:t>
      </w:r>
      <w:r>
        <w:t xml:space="preserve">“</w:t>
      </w:r>
      <w:r>
        <w:t xml:space="preserve">identifiable</w:t>
      </w:r>
      <w:r>
        <w:t xml:space="preserve"> </w:t>
      </w:r>
      <w:r>
        <w:t xml:space="preserve">subset</w:t>
      </w:r>
      <w:r>
        <w:t xml:space="preserve">”</w:t>
      </w:r>
      <w:r>
        <w:t xml:space="preserve"> </w:t>
      </w:r>
      <w:r>
        <w:t xml:space="preserve">is doing the honest work: no one claims the whole map is stable;</w:t>
      </w:r>
      <w:r>
        <w:t xml:space="preserve"> </w:t>
      </w:r>
      <w:r>
        <w:t xml:space="preserve">the claim is that a decomposable subset is, and the requirement is really</w:t>
      </w:r>
      <w:r>
        <w:t xml:space="preserve"> </w:t>
      </w:r>
      <w:r>
        <w:t xml:space="preserve">that the</w:t>
      </w:r>
      <w:r>
        <w:t xml:space="preserve"> </w:t>
      </w:r>
      <w:r>
        <w:rPr>
          <w:iCs/>
          <w:i/>
        </w:rPr>
        <w:t xml:space="preserve">decomposition</w:t>
      </w:r>
      <w:r>
        <w:t xml:space="preserve"> </w:t>
      </w:r>
      <w:r>
        <w:t xml:space="preserve">be defensible and versionable. R3 must hold against</w:t>
      </w:r>
      <w:r>
        <w:t xml:space="preserve"> </w:t>
      </w:r>
      <w:r>
        <w:t xml:space="preserve">the strongest economically rational adversary of Chapter 8 — for modules</w:t>
      </w:r>
      <w:r>
        <w:t xml:space="preserve"> </w:t>
      </w:r>
      <w:r>
        <w:t xml:space="preserve">that is A1/A2 with per-unit budgets in the tens of dollars, and the</w:t>
      </w:r>
      <w:r>
        <w:t xml:space="preserve"> </w:t>
      </w:r>
      <w:r>
        <w:t xml:space="preserve">manufacture-a-matching-bulk-structure attack exceeds that by orders of</w:t>
      </w:r>
      <w:r>
        <w:t xml:space="preserve"> </w:t>
      </w:r>
      <w:r>
        <w:t xml:space="preserve">magnitude; a modality whose forgery is a benchtop operation (surface</w:t>
      </w:r>
      <w:r>
        <w:t xml:space="preserve"> </w:t>
      </w:r>
      <w:r>
        <w:t xml:space="preserve">texture, for an adversary who can re-laminate) fails R3 for exactly the</w:t>
      </w:r>
      <w:r>
        <w:t xml:space="preserve"> </w:t>
      </w:r>
      <w:r>
        <w:t xml:space="preserve">high-value transactions that matter. R4 excludes modalities whose</w:t>
      </w:r>
      <w:r>
        <w:t xml:space="preserve"> </w:t>
      </w:r>
      <w:r>
        <w:t xml:space="preserve">measurement admits a static simulacrum — a photograph fools a photograph.</w:t>
      </w:r>
      <w:r>
        <w:t xml:space="preserve"> </w:t>
      </w:r>
      <w:r>
        <w:t xml:space="preserve">R5 is the requirement most proposals forget: a fingerprint whose legitimate</w:t>
      </w:r>
      <w:r>
        <w:t xml:space="preserve"> </w:t>
      </w:r>
      <w:r>
        <w:t xml:space="preserve">drift is</w:t>
      </w:r>
      <w:r>
        <w:t xml:space="preserve"> </w:t>
      </w:r>
      <w:r>
        <w:rPr>
          <w:iCs/>
          <w:i/>
        </w:rPr>
        <w:t xml:space="preserve">unmodeled</w:t>
      </w:r>
      <w:r>
        <w:t xml:space="preserve"> </w:t>
      </w:r>
      <w:r>
        <w:t xml:space="preserve">cannot distinguish aging from substitution, and so</w:t>
      </w:r>
      <w:r>
        <w:t xml:space="preserve"> </w:t>
      </w:r>
      <w:r>
        <w:t xml:space="preserve">fails precisely when the asset’s history becomes valuable. R6, finally, is</w:t>
      </w:r>
      <w:r>
        <w:t xml:space="preserve"> </w:t>
      </w:r>
      <w:r>
        <w:t xml:space="preserve">the one requirement where the quantum modality currently scores worst, and</w:t>
      </w:r>
      <w:r>
        <w:t xml:space="preserve"> </w:t>
      </w:r>
      <w:r>
        <w:t xml:space="preserve">the tier design of Section 6.7 is the architecture’s honest accounting of</w:t>
      </w:r>
      <w:r>
        <w:t xml:space="preserve"> </w:t>
      </w:r>
      <w:r>
        <w:t xml:space="preserve">that fact rather than a workaround pretending otherwise.</w:t>
      </w:r>
    </w:p>
    <w:bookmarkEnd w:id="27"/>
    <w:bookmarkStart w:id="29" w:name="Xcfa16a923d093d19e4248ebac294cac51e3a36a"/>
    <w:p>
      <w:pPr>
        <w:pStyle w:val="Heading2"/>
      </w:pPr>
      <w:r>
        <w:t xml:space="preserve">6.6 The Verification Workflow: Trusting a History You Didn’t Witness</w:t>
      </w:r>
    </w:p>
    <w:p>
      <w:pPr>
        <w:pStyle w:val="FirstParagraph"/>
      </w:pPr>
      <w:r>
        <w:t xml:space="preserve">The point of all of it. A downstream party (D) — insurer, buyer, grid operator,</w:t>
      </w:r>
      <w:r>
        <w:t xml:space="preserve"> </w:t>
      </w:r>
      <w:r>
        <w:t xml:space="preserve">adjudicator — holds none of the asset’s history and distrusts its custodian. The</w:t>
      </w:r>
      <w:r>
        <w:t xml:space="preserve"> </w:t>
      </w:r>
      <w:r>
        <w:t xml:space="preserve">workflow by which (D) reaches justified confidence, at a chosen assurance level,</w:t>
      </w:r>
      <w:r>
        <w:t xml:space="preserve"> </w:t>
      </w:r>
      <w:r>
        <w:t xml:space="preserve">decomposes trust into four separable questions, each answered by a different</w:t>
      </w:r>
      <w:r>
        <w:t xml:space="preserve"> </w:t>
      </w:r>
      <w:r>
        <w:t xml:space="preserve">mechanism with a different failure mode:</w:t>
      </w:r>
      <w:r>
        <w:t xml:space="preserve"> </w:t>
      </w:r>
      <w:r>
        <w:rPr>
          <w:iCs/>
          <w:i/>
        </w:rPr>
        <w:t xml:space="preserve">Is the record authentic?</w:t>
      </w:r>
      <w:r>
        <w:t xml:space="preserve"> </w:t>
      </w:r>
      <w:r>
        <w:t xml:space="preserve">(cryptography and anchors).</w:t>
      </w:r>
      <w:r>
        <w:t xml:space="preserve"> </w:t>
      </w:r>
      <w:r>
        <w:rPr>
          <w:iCs/>
          <w:i/>
        </w:rPr>
        <w:t xml:space="preserve">Is the record’s internal evidence sound?</w:t>
      </w:r>
      <w:r>
        <w:t xml:space="preserve"> </w:t>
      </w:r>
      <w:r>
        <w:t xml:space="preserve">(policy over the graph).</w:t>
      </w:r>
      <w:r>
        <w:t xml:space="preserve"> </w:t>
      </w:r>
      <w:r>
        <w:rPr>
          <w:iCs/>
          <w:i/>
        </w:rPr>
        <w:t xml:space="preserve">Does matter match record?</w:t>
      </w:r>
      <w:r>
        <w:t xml:space="preserve"> </w:t>
      </w:r>
      <w:r>
        <w:t xml:space="preserve">(physical verification</w:t>
      </w:r>
      <w:r>
        <w:t xml:space="preserve"> </w:t>
      </w:r>
      <w:r>
        <w:t xml:space="preserve">on a sound sample).</w:t>
      </w:r>
      <w:r>
        <w:t xml:space="preserve"> </w:t>
      </w:r>
      <w:r>
        <w:rPr>
          <w:iCs/>
          <w:i/>
        </w:rPr>
        <w:t xml:space="preserve">What remains unknown, and what does it cost?</w:t>
      </w:r>
      <w:r>
        <w:t xml:space="preserve"> </w:t>
      </w:r>
      <w:r>
        <w:t xml:space="preserve">(explicit</w:t>
      </w:r>
      <w:r>
        <w:t xml:space="preserve"> </w:t>
      </w:r>
      <w:r>
        <w:t xml:space="preserve">residuals). The decomposition is the contribution; every step below is an</w:t>
      </w:r>
      <w:r>
        <w:t xml:space="preserve"> </w:t>
      </w:r>
      <w:r>
        <w:t xml:space="preserve">implementation choice within it.</w:t>
      </w:r>
    </w:p>
    <w:p>
      <w:pPr>
        <w:pStyle w:val="BodyText"/>
      </w:pPr>
      <w:r>
        <w:rPr>
          <w:bCs/>
          <w:b/>
        </w:rPr>
        <w:t xml:space="preserve">Step 1 — Record authenticity (no site visit).</w:t>
      </w:r>
      <w:r>
        <w:t xml:space="preserve"> </w:t>
      </w:r>
      <w:r>
        <w:t xml:space="preserve">(D) resolves the asset DID,</w:t>
      </w:r>
      <w:r>
        <w:t xml:space="preserve"> </w:t>
      </w:r>
      <w:r>
        <w:t xml:space="preserve">retrieves the event stream, checks signatures and corroboration classes, verifies</w:t>
      </w:r>
      <w:r>
        <w:t xml:space="preserve"> </w:t>
      </w:r>
      <w:r>
        <w:t xml:space="preserve">digests against off-chain payloads, and verifies block inclusion against the</w:t>
      </w:r>
      <w:r>
        <w:t xml:space="preserve"> </w:t>
      </w:r>
      <w:r>
        <w:rPr>
          <w:iCs/>
          <w:i/>
        </w:rPr>
        <w:t xml:space="preserve">public</w:t>
      </w:r>
      <w:r>
        <w:t xml:space="preserve"> </w:t>
      </w:r>
      <w:r>
        <w:t xml:space="preserve">anchors (Section 4.4). Outcome: the history is exactly what was recorded,</w:t>
      </w:r>
      <w:r>
        <w:t xml:space="preserve"> </w:t>
      </w:r>
      <w:r>
        <w:t xml:space="preserve">by the named parties, at the anchored times — regardless of what the consortium</w:t>
      </w:r>
      <w:r>
        <w:t xml:space="preserve"> </w:t>
      </w:r>
      <w:r>
        <w:t xml:space="preserve">would now prefer. Operationally this is software, not diligence labor: the</w:t>
      </w:r>
      <w:r>
        <w:t xml:space="preserve"> </w:t>
      </w:r>
      <w:r>
        <w:t xml:space="preserve">pilot insurer’s client (Section 11.3) runs Step 1 continuously across its</w:t>
      </w:r>
      <w:r>
        <w:t xml:space="preserve"> </w:t>
      </w:r>
      <w:r>
        <w:t xml:space="preserve">whole book as a subscription service against headers and anchors, at a</w:t>
      </w:r>
      <w:r>
        <w:t xml:space="preserve"> </w:t>
      </w:r>
      <w:r>
        <w:t xml:space="preserve">compute cost that rounds to nothing, so that by the time a human underwriter</w:t>
      </w:r>
      <w:r>
        <w:t xml:space="preserve"> </w:t>
      </w:r>
      <w:r>
        <w:t xml:space="preserve">opens a file, authenticity is a solved input rather than a task.</w:t>
      </w:r>
    </w:p>
    <w:p>
      <w:pPr>
        <w:pStyle w:val="BodyText"/>
      </w:pPr>
      <w:r>
        <w:rPr>
          <w:bCs/>
          <w:b/>
        </w:rPr>
        <w:t xml:space="preserve">Step 2 — Evidence-graph review (no site visit).</w:t>
      </w:r>
      <w:r>
        <w:t xml:space="preserve"> </w:t>
      </w:r>
      <w:r>
        <w:t xml:space="preserve">(D) traverses the</w:t>
      </w:r>
      <w:r>
        <w:t xml:space="preserve"> </w:t>
      </w:r>
      <w:r>
        <w:rPr>
          <w:rStyle w:val="VerbatimChar"/>
        </w:rPr>
        <w:t xml:space="preserve">prior_refs</w:t>
      </w:r>
      <w:r>
        <w:t xml:space="preserve"> </w:t>
      </w:r>
      <w:r>
        <w:t xml:space="preserve">DAG for the question at hand: does the commissioning event carry Class C</w:t>
      </w:r>
      <w:r>
        <w:t xml:space="preserve"> </w:t>
      </w:r>
      <w:r>
        <w:t xml:space="preserve">corroboration? Were the instruments in calibration (their own DIDs, Step 1 applied</w:t>
      </w:r>
      <w:r>
        <w:t xml:space="preserve"> </w:t>
      </w:r>
      <w:r>
        <w:t xml:space="preserve">recursively)? Do successive condition layers form a physically plausible evolution</w:t>
      </w:r>
      <w:r>
        <w:t xml:space="preserve"> </w:t>
      </w:r>
      <w:r>
        <w:t xml:space="preserve">(R5)? Is the event cadence complete against the cohort baseline (Section 5.7)?</w:t>
      </w:r>
      <w:r>
        <w:t xml:space="preserve"> </w:t>
      </w:r>
      <w:r>
        <w:t xml:space="preserve">Automated policy engines do this wholesale; Chapter 11 shows one. The step’s</w:t>
      </w:r>
      <w:r>
        <w:t xml:space="preserve"> </w:t>
      </w:r>
      <w:r>
        <w:t xml:space="preserve">output is deliberately graded rather than binary — a</w:t>
      </w:r>
      <w:r>
        <w:t xml:space="preserve"> </w:t>
      </w:r>
      <w:r>
        <w:rPr>
          <w:iCs/>
          <w:i/>
        </w:rPr>
        <w:t xml:space="preserve">policy score</w:t>
      </w:r>
      <w:r>
        <w:t xml:space="preserve"> </w:t>
      </w:r>
      <w:r>
        <w:t xml:space="preserve">per asset</w:t>
      </w:r>
      <w:r>
        <w:t xml:space="preserve"> </w:t>
      </w:r>
      <w:r>
        <w:t xml:space="preserve">with named deficiencies (retroactive registration class, an I-B instrument</w:t>
      </w:r>
      <w:r>
        <w:t xml:space="preserve"> </w:t>
      </w:r>
      <w:r>
        <w:t xml:space="preserve">where policy prefers I-A, a cadence gap in years 7–9) — because (D)’s</w:t>
      </w:r>
      <w:r>
        <w:t xml:space="preserve"> </w:t>
      </w:r>
      <w:r>
        <w:t xml:space="preserve">decision is a pricing decision, and pricing wants defects enumerated, not</w:t>
      </w:r>
      <w:r>
        <w:t xml:space="preserve"> </w:t>
      </w:r>
      <w:r>
        <w:t xml:space="preserve">laundered into a pass/fail. The deficiencies also parameterize Step 3: a</w:t>
      </w:r>
      <w:r>
        <w:t xml:space="preserve"> </w:t>
      </w:r>
      <w:r>
        <w:t xml:space="preserve">fleet whose graph review is clean draws the baseline sample; each named</w:t>
      </w:r>
      <w:r>
        <w:t xml:space="preserve"> </w:t>
      </w:r>
      <w:r>
        <w:t xml:space="preserve">deficiency inflates the sample or targets it, so that physical verification</w:t>
      </w:r>
      <w:r>
        <w:t xml:space="preserve"> </w:t>
      </w:r>
      <w:r>
        <w:t xml:space="preserve">spends itself where the paper is weakest.</w:t>
      </w:r>
    </w:p>
    <w:p>
      <w:pPr>
        <w:pStyle w:val="BodyText"/>
      </w:pPr>
      <w:r>
        <w:rPr>
          <w:bCs/>
          <w:b/>
        </w:rPr>
        <w:t xml:space="preserve">Step 3 — Physical verification (site visit, sampled).</w:t>
      </w:r>
      <w:r>
        <w:t xml:space="preserve"> </w:t>
      </w:r>
      <w:r>
        <w:t xml:space="preserve">For the assurance level</w:t>
      </w:r>
      <w:r>
        <w:t xml:space="preserve"> </w:t>
      </w:r>
      <w:r>
        <w:t xml:space="preserve">the transaction warrants, (D) (or an accredited verifier (D) trusts) draws the</w:t>
      </w:r>
      <w:r>
        <w:t xml:space="preserve"> </w:t>
      </w:r>
      <w:r>
        <w:t xml:space="preserve">challenge, measures the challenged slice in the field, and compares against the</w:t>
      </w:r>
      <w:r>
        <w:t xml:space="preserve"> </w:t>
      </w:r>
      <w:r>
        <w:t xml:space="preserve">enrolled template chain. Sampling design — how many units, chosen how — is itself</w:t>
      </w:r>
      <w:r>
        <w:t xml:space="preserve"> </w:t>
      </w:r>
      <w:r>
        <w:t xml:space="preserve">committed to the ledger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visit, so the custodian cannot cherry-pick and</w:t>
      </w:r>
      <w:r>
        <w:t xml:space="preserve"> </w:t>
      </w:r>
      <w:r>
        <w:t xml:space="preserve">(D) can later prove the rigor of its own diligence. Failures within the</w:t>
      </w:r>
      <w:r>
        <w:t xml:space="preserve"> </w:t>
      </w:r>
      <w:r>
        <w:t xml:space="preserve">sample follow the escalation discipline of Section 3.6: re-measure (to</w:t>
      </w:r>
      <w:r>
        <w:t xml:space="preserve"> </w:t>
      </w:r>
      <w:r>
        <w:t xml:space="preserve">exhaust instrument and registration error), escalate modality, then classify</w:t>
      </w:r>
      <w:r>
        <w:t xml:space="preserve"> </w:t>
      </w:r>
      <w:r>
        <w:t xml:space="preserve">— honest mismatch with documented cause (an unlogged replacement, filed as a</w:t>
      </w:r>
      <w:r>
        <w:t xml:space="preserve"> </w:t>
      </w:r>
      <w:r>
        <w:t xml:space="preserve">finding), or unexplained mismatch (a flag, a quarantine, and an inflated</w:t>
      </w:r>
      <w:r>
        <w:t xml:space="preserve"> </w:t>
      </w:r>
      <w:r>
        <w:t xml:space="preserve">sample for the stratum, since one confirmed substitution converts the</w:t>
      </w:r>
      <w:r>
        <w:t xml:space="preserve"> </w:t>
      </w:r>
      <w:r>
        <w:t xml:space="preserve">statistical question from</w:t>
      </w:r>
      <w:r>
        <w:t xml:space="preserve"> </w:t>
      </w:r>
      <w:r>
        <w:t xml:space="preserve">“</w:t>
      </w:r>
      <w:r>
        <w:t xml:space="preserve">is the fleet clean?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how deep does this go?</w:t>
      </w:r>
      <w:r>
        <w:t xml:space="preserve">”</w:t>
      </w:r>
      <w:r>
        <w:t xml:space="preserve">).</w:t>
      </w:r>
      <w:r>
        <w:t xml:space="preserve"> </w:t>
      </w:r>
      <w:r>
        <w:t xml:space="preserve">The verification campaign’s own events — design, measurements, findings —</w:t>
      </w:r>
      <w:r>
        <w:t xml:space="preserve"> </w:t>
      </w:r>
      <w:r>
        <w:t xml:space="preserve">enter the assets’ records, so the next verifier inherits this one’s work.</w:t>
      </w:r>
    </w:p>
    <w:p>
      <w:pPr>
        <w:pStyle w:val="BodyText"/>
      </w:pPr>
      <w:r>
        <w:rPr>
          <w:bCs/>
          <w:b/>
        </w:rPr>
        <w:t xml:space="preserve">Step 4 — Decision with quantified residuals.</w:t>
      </w:r>
      <w:r>
        <w:t xml:space="preserve"> </w:t>
      </w:r>
      <w:r>
        <w:t xml:space="preserve">(D) now holds: authenticated</w:t>
      </w:r>
      <w:r>
        <w:t xml:space="preserve"> </w:t>
      </w:r>
      <w:r>
        <w:t xml:space="preserve">history, policy-checked evidence graph, and physical binding verified on a random</w:t>
      </w:r>
      <w:r>
        <w:t xml:space="preserve"> </w:t>
      </w:r>
      <w:r>
        <w:t xml:space="preserve">sample at stated false-accept rates. What remains unverifiable is enumerable</w:t>
      </w:r>
      <w:r>
        <w:t xml:space="preserve"> </w:t>
      </w:r>
      <w:r>
        <w:t xml:space="preserve">(enrollment-time substitution; events off the ledger entirely) and priced rather</w:t>
      </w:r>
      <w:r>
        <w:t xml:space="preserve"> </w:t>
      </w:r>
      <w:r>
        <w:t xml:space="preserve">than unknown.</w:t>
      </w:r>
    </w:p>
    <w:bookmarkStart w:id="28" w:name="the-sampling-arithmetic"/>
    <w:p>
      <w:pPr>
        <w:pStyle w:val="Heading3"/>
      </w:pPr>
      <w:r>
        <w:t xml:space="preserve">6.6.1 The Sampling Arithmetic</w:t>
      </w:r>
    </w:p>
    <w:p>
      <w:pPr>
        <w:pStyle w:val="FirstParagraph"/>
      </w:pPr>
      <w:r>
        <w:t xml:space="preserve">Step 3’s economics rest on sampling statistics, and the arithmetic deserves</w:t>
      </w:r>
      <w:r>
        <w:t xml:space="preserve"> </w:t>
      </w:r>
      <w:r>
        <w:t xml:space="preserve">one worked paragraph because it is where most of the cost savings live.</w:t>
      </w:r>
      <w:r>
        <w:t xml:space="preserve"> </w:t>
      </w:r>
      <w:r>
        <w:t xml:space="preserve">Suppose (D) underwrites a 25,000-module plant and wants 95% confidence that</w:t>
      </w:r>
      <w:r>
        <w:t xml:space="preserve"> </w:t>
      </w:r>
      <w:r>
        <w:t xml:space="preserve">fewer than 1% of units would fail physical verification (substitution,</w:t>
      </w:r>
      <w:r>
        <w:t xml:space="preserve"> </w:t>
      </w:r>
      <w:r>
        <w:t xml:space="preserve">misidentification, or gross undisclosed damage). Under standard acceptance-</w:t>
      </w:r>
      <w:r>
        <w:t xml:space="preserve"> </w:t>
      </w:r>
      <w:r>
        <w:t xml:space="preserve">sampling arithmetic, a random sample of roughly 300 units with zero failures</w:t>
      </w:r>
      <w:r>
        <w:t xml:space="preserve"> </w:t>
      </w:r>
      <w:r>
        <w:t xml:space="preserve">delivers that assurance — 1.2% of the fleet, a few technician-days with a</w:t>
      </w:r>
      <w:r>
        <w:t xml:space="preserve"> </w:t>
      </w:r>
      <w:r>
        <w:t xml:space="preserve">handheld V2 rig. Tightening to 0.5% at 99% confidence roughly triples the</w:t>
      </w:r>
      <w:r>
        <w:t xml:space="preserve"> </w:t>
      </w:r>
      <w:r>
        <w:t xml:space="preserve">sample; loosening to lot-level questions (is</w:t>
      </w:r>
      <w:r>
        <w:t xml:space="preserve"> </w:t>
      </w:r>
      <w:r>
        <w:rPr>
          <w:iCs/>
          <w:i/>
        </w:rPr>
        <w:t xml:space="preserve">this pallet</w:t>
      </w:r>
      <w:r>
        <w:t xml:space="preserve"> </w:t>
      </w:r>
      <w:r>
        <w:t xml:space="preserve">as documented?)</w:t>
      </w:r>
      <w:r>
        <w:t xml:space="preserve"> </w:t>
      </w:r>
      <w:r>
        <w:t xml:space="preserve">shrinks it to dozens. Stratification does real work: sampling within</w:t>
      </w:r>
      <w:r>
        <w:t xml:space="preserve"> </w:t>
      </w:r>
      <w:r>
        <w:t xml:space="preserve">production weeks, installers, and site blocks converts the single fleet-wide</w:t>
      </w:r>
      <w:r>
        <w:t xml:space="preserve"> </w:t>
      </w:r>
      <w:r>
        <w:t xml:space="preserve">question into cohort questions whose anomalies localize (a failure</w:t>
      </w:r>
      <w:r>
        <w:t xml:space="preserve"> </w:t>
      </w:r>
      <w:r>
        <w:t xml:space="preserve">concentrates suspicion on its stratum, directing escalation). And the</w:t>
      </w:r>
      <w:r>
        <w:t xml:space="preserve"> </w:t>
      </w:r>
      <w:r>
        <w:rPr>
          <w:iCs/>
          <w:i/>
        </w:rPr>
        <w:t xml:space="preserve">pre-commitment</w:t>
      </w:r>
      <w:r>
        <w:t xml:space="preserve"> </w:t>
      </w:r>
      <w:r>
        <w:t xml:space="preserve">of the design — sample size, stratification, seed, drawn</w:t>
      </w:r>
      <w:r>
        <w:t xml:space="preserve"> </w:t>
      </w:r>
      <w:r>
        <w:t xml:space="preserve">after the custodian’s records are frozen but before the site visit — is what</w:t>
      </w:r>
      <w:r>
        <w:t xml:space="preserve"> </w:t>
      </w:r>
      <w:r>
        <w:t xml:space="preserve">converts these textbook numbers into adversarially valid ones: a custodian</w:t>
      </w:r>
      <w:r>
        <w:t xml:space="preserve"> </w:t>
      </w:r>
      <w:r>
        <w:t xml:space="preserve">who cannot predict the sample cannot stage it, and a verifier who commits the</w:t>
      </w:r>
      <w:r>
        <w:t xml:space="preserve"> </w:t>
      </w:r>
      <w:r>
        <w:t xml:space="preserve">design cannot be accused of cherry-picking failures afterward. The ledger</w:t>
      </w:r>
      <w:r>
        <w:t xml:space="preserve"> </w:t>
      </w:r>
      <w:r>
        <w:t xml:space="preserve">holds both parties honest, which is the recurring pattern of the whole</w:t>
      </w:r>
      <w:r>
        <w:t xml:space="preserve"> </w:t>
      </w:r>
      <w:r>
        <w:t xml:space="preserve">architecture in miniature. The design also travels well into legal settings:</w:t>
      </w:r>
      <w:r>
        <w:t xml:space="preserve"> </w:t>
      </w:r>
      <w:r>
        <w:t xml:space="preserve">acceptance sampling against pre-committed designs is established practice in</w:t>
      </w:r>
      <w:r>
        <w:t xml:space="preserve"> </w:t>
      </w:r>
      <w:r>
        <w:t xml:space="preserve">commercial quality disputes, so a Step-3 campaign arrives in arbitration</w:t>
      </w:r>
      <w:r>
        <w:t xml:space="preserve"> </w:t>
      </w:r>
      <w:r>
        <w:t xml:space="preserve">wearing statistics the tribunal’s experts already know how to examine —</w:t>
      </w:r>
      <w:r>
        <w:t xml:space="preserve"> </w:t>
      </w:r>
      <w:r>
        <w:t xml:space="preserve">one more instance of the book’s preference for grafting onto existing</w:t>
      </w:r>
      <w:r>
        <w:t xml:space="preserve"> </w:t>
      </w:r>
      <w:r>
        <w:t xml:space="preserve">institutional competence over inventing new ceremony.</w:t>
      </w:r>
    </w:p>
    <w:p>
      <w:pPr>
        <w:pStyle w:val="BodyText"/>
      </w:pPr>
      <w:r>
        <w:rPr>
          <w:bCs/>
          <w:b/>
        </w:rPr>
        <w:t xml:space="preserve">Figure 6.2</w:t>
      </w:r>
      <w:r>
        <w:t xml:space="preserve"> </w:t>
      </w:r>
      <w:r>
        <w:t xml:space="preserve">The four-step verification workflow. Steps 1–2 are remote and cheap;</w:t>
      </w:r>
      <w:r>
        <w:t xml:space="preserve"> </w:t>
      </w:r>
      <w:r>
        <w:t xml:space="preserve">Step 3 is the proportional escalation of Section 3.6.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D[Downstream party D] --&gt; S1[Step 1: Verify record authenticity&lt;br&gt;signatures, digests, public anchors]</w:t>
      </w:r>
      <w:r>
        <w:br/>
      </w:r>
      <w:r>
        <w:rPr>
          <w:rStyle w:val="VerbatimChar"/>
        </w:rPr>
        <w:t xml:space="preserve">    S1 --&gt; S2[Step 2: Evidence-graph review&lt;br&gt;corroboration, calibration chains,&lt;br&gt;evolution plausibility, cadence]</w:t>
      </w:r>
      <w:r>
        <w:br/>
      </w:r>
      <w:r>
        <w:rPr>
          <w:rStyle w:val="VerbatimChar"/>
        </w:rPr>
        <w:t xml:space="preserve">    S2 --&gt; DEC{Assurance level&lt;br&gt;required?}</w:t>
      </w:r>
      <w:r>
        <w:br/>
      </w:r>
      <w:r>
        <w:rPr>
          <w:rStyle w:val="VerbatimChar"/>
        </w:rPr>
        <w:t xml:space="preserve">    DEC --&gt;|routine| S4a[Decide on remote&lt;br&gt;evidence alone]</w:t>
      </w:r>
      <w:r>
        <w:br/>
      </w:r>
      <w:r>
        <w:rPr>
          <w:rStyle w:val="VerbatimChar"/>
        </w:rPr>
        <w:t xml:space="preserve">    DEC --&gt;|elevated| S3[Step 3: Sampled physical verification&lt;br&gt;pre-committed sampling design,&lt;br&gt;challenge-parameterized measurement]</w:t>
      </w:r>
      <w:r>
        <w:br/>
      </w:r>
      <w:r>
        <w:rPr>
          <w:rStyle w:val="VerbatimChar"/>
        </w:rPr>
        <w:t xml:space="preserve">    S3 --&gt; S4[Step 4: Decision with&lt;br&gt;quantified residual risk]</w:t>
      </w:r>
      <w:r>
        <w:br/>
      </w:r>
      <w:r>
        <w:rPr>
          <w:rStyle w:val="VerbatimChar"/>
        </w:rPr>
        <w:t xml:space="preserve">    S4a --&gt; OUT[Underwrite / price / accept / adjudicate]</w:t>
      </w:r>
      <w:r>
        <w:br/>
      </w:r>
      <w:r>
        <w:rPr>
          <w:rStyle w:val="VerbatimChar"/>
        </w:rPr>
        <w:t xml:space="preserve">    S4 --&gt; OUT</w:t>
      </w:r>
    </w:p>
    <w:p>
      <w:pPr>
        <w:pStyle w:val="FirstParagraph"/>
      </w:pPr>
      <w:r>
        <w:t xml:space="preserve">What has actually changed relative to Chapter 1’s opening transaction deserves</w:t>
      </w:r>
      <w:r>
        <w:t xml:space="preserve"> </w:t>
      </w:r>
      <w:r>
        <w:t xml:space="preserve">plain statement. The buyer’s engineer of Section 1.1 could only choose between</w:t>
      </w:r>
      <w:r>
        <w:t xml:space="preserve"> </w:t>
      </w:r>
      <w:r>
        <w:t xml:space="preserve">trusting documents and re-testing everything. (D) instead verifies</w:t>
      </w:r>
      <w:r>
        <w:t xml:space="preserve"> </w:t>
      </w:r>
      <w:r>
        <w:rPr>
          <w:iCs/>
          <w:i/>
        </w:rPr>
        <w:t xml:space="preserve">documents</w:t>
      </w:r>
      <w:r>
        <w:rPr>
          <w:iCs/>
          <w:i/>
        </w:rPr>
        <w:t xml:space="preserve"> </w:t>
      </w:r>
      <w:r>
        <w:rPr>
          <w:iCs/>
          <w:i/>
        </w:rPr>
        <w:t xml:space="preserve">against mathematics</w:t>
      </w:r>
      <w:r>
        <w:t xml:space="preserve"> </w:t>
      </w:r>
      <w:r>
        <w:t xml:space="preserve">(Steps 1–2, nearly free) and</w:t>
      </w:r>
      <w:r>
        <w:t xml:space="preserve"> </w:t>
      </w:r>
      <w:r>
        <w:rPr>
          <w:iCs/>
          <w:i/>
        </w:rPr>
        <w:t xml:space="preserve">matter against documents</w:t>
      </w:r>
      <w:r>
        <w:t xml:space="preserve"> </w:t>
      </w:r>
      <w:r>
        <w:t xml:space="preserve">on a</w:t>
      </w:r>
      <w:r>
        <w:t xml:space="preserve"> </w:t>
      </w:r>
      <w:r>
        <w:t xml:space="preserve">random sample whose size is set by decision theory, not despair (Step 3). Trust has</w:t>
      </w:r>
      <w:r>
        <w:t xml:space="preserve"> </w:t>
      </w:r>
      <w:r>
        <w:t xml:space="preserve">been decomposed into checkable parts, and the unverifiable residue has been made</w:t>
      </w:r>
      <w:r>
        <w:t xml:space="preserve"> </w:t>
      </w:r>
      <w:r>
        <w:t xml:space="preserve">small, explicit, and insurable. That decomposition — not any single measurement —</w:t>
      </w:r>
      <w:r>
        <w:t xml:space="preserve"> </w:t>
      </w:r>
      <w:r>
        <w:t xml:space="preserve">is the chapter’s contribution.</w:t>
      </w:r>
    </w:p>
    <w:p>
      <w:pPr>
        <w:pStyle w:val="BodyText"/>
      </w:pPr>
      <w:r>
        <w:t xml:space="preserve">Run the Chapter 1 transaction’s numbers under the new regime to close the</w:t>
      </w:r>
      <w:r>
        <w:t xml:space="preserve"> </w:t>
      </w:r>
      <w:r>
        <w:t xml:space="preserve">loop. The 10 MW acquisition’s status-quo diligence: a 200-module flash</w:t>
      </w:r>
      <w:r>
        <w:t xml:space="preserve"> </w:t>
      </w:r>
      <w:r>
        <w:t xml:space="preserve">campaign at roughly USD 150 per unit all-in — USD 30,000 — answering the</w:t>
      </w:r>
      <w:r>
        <w:t xml:space="preserve"> </w:t>
      </w:r>
      <w:r>
        <w:t xml:space="preserve">condition question weakly and the identity and completeness questions not at</w:t>
      </w:r>
      <w:r>
        <w:t xml:space="preserve"> </w:t>
      </w:r>
      <w:r>
        <w:t xml:space="preserve">all, followed by a seven-figure residual-uncertainty discount. Under the</w:t>
      </w:r>
      <w:r>
        <w:t xml:space="preserve"> </w:t>
      </w:r>
      <w:r>
        <w:t xml:space="preserve">workflow: Steps 1–2 run in software across all 25,000 modules for effectively</w:t>
      </w:r>
      <w:r>
        <w:t xml:space="preserve"> </w:t>
      </w:r>
      <w:r>
        <w:t xml:space="preserve">nothing, answering identity-of-record and history-completeness questions</w:t>
      </w:r>
      <w:r>
        <w:t xml:space="preserve"> </w:t>
      </w:r>
      <w:r>
        <w:t xml:space="preserve">outright; a pre-committed 300-unit V2 campaign at USD 10–20 per unit —</w:t>
      </w:r>
      <w:r>
        <w:t xml:space="preserve"> </w:t>
      </w:r>
      <w:r>
        <w:t xml:space="preserve">USD 3,000–6,000 — answers the matter-matches-record question at 95/1</w:t>
      </w:r>
      <w:r>
        <w:t xml:space="preserve"> </w:t>
      </w:r>
      <w:r>
        <w:t xml:space="preserve">confidence; escalation reserves another few thousand for anomalies. Total</w:t>
      </w:r>
      <w:r>
        <w:t xml:space="preserve"> </w:t>
      </w:r>
      <w:r>
        <w:t xml:space="preserve">verification spend falls by roughly 80%</w:t>
      </w:r>
      <w:r>
        <w:t xml:space="preserve"> </w:t>
      </w:r>
      <w:r>
        <w:rPr>
          <w:iCs/>
          <w:i/>
        </w:rPr>
        <w:t xml:space="preserve">while</w:t>
      </w:r>
      <w:r>
        <w:t xml:space="preserve"> </w:t>
      </w:r>
      <w:r>
        <w:t xml:space="preserve">the questions answered</w:t>
      </w:r>
      <w:r>
        <w:t xml:space="preserve"> </w:t>
      </w:r>
      <w:r>
        <w:t xml:space="preserve">expand from one to three, and the residual discount compresses toward the</w:t>
      </w:r>
      <w:r>
        <w:t xml:space="preserve"> </w:t>
      </w:r>
      <w:r>
        <w:t xml:space="preserve">genuinely unverifiable remainder (enrollment-era substitution, unrecorded</w:t>
      </w:r>
      <w:r>
        <w:t xml:space="preserve"> </w:t>
      </w:r>
      <w:r>
        <w:t xml:space="preserve">events) — which Chapter 13 argues is precisely the fraction of the old</w:t>
      </w:r>
      <w:r>
        <w:t xml:space="preserve"> </w:t>
      </w:r>
      <w:r>
        <w:t xml:space="preserve">discount an insurer will now underwrite for a fee, because for the first</w:t>
      </w:r>
      <w:r>
        <w:t xml:space="preserve"> </w:t>
      </w:r>
      <w:r>
        <w:t xml:space="preserve">time it is enumerable. The seller of good assets recovers most of the</w:t>
      </w:r>
      <w:r>
        <w:t xml:space="preserve"> </w:t>
      </w:r>
      <w:r>
        <w:t xml:space="preserve">information rent; the seller of bad ones finds the workflow pricing them</w:t>
      </w:r>
      <w:r>
        <w:t xml:space="preserve"> </w:t>
      </w:r>
      <w:r>
        <w:t xml:space="preserve">accurately; and both outcomes are the market working, which is all this</w:t>
      </w:r>
      <w:r>
        <w:t xml:space="preserve"> </w:t>
      </w:r>
      <w:r>
        <w:t xml:space="preserve">architecture ever promises.</w:t>
      </w:r>
    </w:p>
    <w:bookmarkEnd w:id="28"/>
    <w:bookmarkEnd w:id="29"/>
    <w:bookmarkStart w:id="30" w:name="economics-and-deployment-tiers"/>
    <w:p>
      <w:pPr>
        <w:pStyle w:val="Heading2"/>
      </w:pPr>
      <w:r>
        <w:t xml:space="preserve">6.7 Economics and Deployment Tiers</w:t>
      </w:r>
    </w:p>
    <w:p>
      <w:pPr>
        <w:pStyle w:val="FirstParagraph"/>
      </w:pPr>
      <w:r>
        <w:t xml:space="preserve">The mechanism must clear Section 1.3’s unit economics. The architecture’s answer is</w:t>
      </w:r>
      <w:r>
        <w:t xml:space="preserve"> </w:t>
      </w:r>
      <w:r>
        <w:t xml:space="preserve">tiering — assurance purchased in proportion to value at risk, with each tier’s cost</w:t>
      </w:r>
      <w:r>
        <w:t xml:space="preserve"> </w:t>
      </w:r>
      <w:r>
        <w:t xml:space="preserve">justified by the transaction it serves rather than spread across all units: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Tier 0 (all units):</w:t>
      </w:r>
      <w:r>
        <w:t xml:space="preserve"> </w:t>
      </w:r>
      <w:r>
        <w:t xml:space="preserve">enrollment at manufacture using in-line EL the factory</w:t>
      </w:r>
      <w:r>
        <w:t xml:space="preserve"> </w:t>
      </w:r>
      <w:r>
        <w:t xml:space="preserve">already performs, plus flash-test VC. Marginal cost: template computation and a</w:t>
      </w:r>
      <w:r>
        <w:t xml:space="preserve"> </w:t>
      </w:r>
      <w:r>
        <w:t xml:space="preserve">ledger event — cents. This tier alone, with no quantum instrument anywhere</w:t>
      </w:r>
      <w:r>
        <w:t xml:space="preserve"> </w:t>
      </w:r>
      <w:r>
        <w:t xml:space="preserve">in the deployment, already defeats relabeling (the label no longer carries</w:t>
      </w:r>
      <w:r>
        <w:t xml:space="preserve"> </w:t>
      </w:r>
      <w:r>
        <w:t xml:space="preserve">the identity), prices ghost-shift units (unregistered units are visibly</w:t>
      </w:r>
      <w:r>
        <w:t xml:space="preserve"> </w:t>
      </w:r>
      <w:r>
        <w:t xml:space="preserve">unregistered), and gives every downstream transaction a structural</w:t>
      </w:r>
      <w:r>
        <w:t xml:space="preserve"> </w:t>
      </w:r>
      <w:r>
        <w:t xml:space="preserve">reference — the majority of Section 1.4’s fraud economics, closed by the</w:t>
      </w:r>
      <w:r>
        <w:t xml:space="preserve"> </w:t>
      </w:r>
      <w:r>
        <w:t xml:space="preserve">cheapest tier.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Tier 1 (all units, opportunistic):</w:t>
      </w:r>
      <w:r>
        <w:t xml:space="preserve"> </w:t>
      </w:r>
      <w:r>
        <w:t xml:space="preserve">re-verification whenever routine O&amp;M</w:t>
      </w:r>
      <w:r>
        <w:t xml:space="preserve"> </w:t>
      </w:r>
      <w:r>
        <w:t xml:space="preserve">imaging touches a unit anyway; the marginal cost of comparison against an existing</w:t>
      </w:r>
      <w:r>
        <w:t xml:space="preserve"> </w:t>
      </w:r>
      <w:r>
        <w:t xml:space="preserve">image is near zero, and each match extends the asset’s documented-continuity</w:t>
      </w:r>
      <w:r>
        <w:t xml:space="preserve"> </w:t>
      </w:r>
      <w:r>
        <w:t xml:space="preserve">thread (Section 6.4) at no cost — the compounding asset nobody budgets for</w:t>
      </w:r>
      <w:r>
        <w:t xml:space="preserve"> </w:t>
      </w:r>
      <w:r>
        <w:t xml:space="preserve">and everybody later relies 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Tier 2 (sampled units, event-driven):</w:t>
      </w:r>
      <w:r>
        <w:t xml:space="preserve"> </w:t>
      </w:r>
      <w:r>
        <w:t xml:space="preserve">magnetometric enrollment at manufacture</w:t>
      </w:r>
      <w:r>
        <w:t xml:space="preserve"> </w:t>
      </w:r>
      <w:r>
        <w:t xml:space="preserve">for premium product lines, and field magnetometric verification for escalations —</w:t>
      </w:r>
      <w:r>
        <w:t xml:space="preserve"> </w:t>
      </w:r>
      <w:r>
        <w:t xml:space="preserve">plant acquisitions, catastrophe claims, warranty adjudications — where the</w:t>
      </w:r>
      <w:r>
        <w:t xml:space="preserve"> </w:t>
      </w:r>
      <w:r>
        <w:t xml:space="preserve">transaction at stake is many orders of magnitude above the measurement cost.</w:t>
      </w:r>
      <w:r>
        <w:t xml:space="preserve"> </w:t>
      </w:r>
      <w:r>
        <w:t xml:space="preserve">A worked instance: a hail-catastrophe claim on a 100 MW plant turns on</w:t>
      </w:r>
      <w:r>
        <w:t xml:space="preserve"> </w:t>
      </w:r>
      <w:r>
        <w:t xml:space="preserve">whether the crack population predates the storm; the insurer’s verifier</w:t>
      </w:r>
      <w:r>
        <w:t xml:space="preserve"> </w:t>
      </w:r>
      <w:r>
        <w:t xml:space="preserve">pulls the pre-committed sample of sixty modules, runs V3 verification</w:t>
      </w:r>
      <w:r>
        <w:t xml:space="preserve"> </w:t>
      </w:r>
      <w:r>
        <w:t xml:space="preserve">against enrollment and the year-6 condition records, and settles a</w:t>
      </w:r>
      <w:r>
        <w:t xml:space="preserve"> </w:t>
      </w:r>
      <w:r>
        <w:t xml:space="preserve">seven-figure dispute on a five-figure measurement campaign — the Table 6.3</w:t>
      </w:r>
      <w:r>
        <w:t xml:space="preserve"> </w:t>
      </w:r>
      <w:r>
        <w:t xml:space="preserve">ratio in action.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Tier 3 (reference):</w:t>
      </w:r>
      <w:r>
        <w:t xml:space="preserve"> </w:t>
      </w:r>
      <w:r>
        <w:t xml:space="preserve">laboratory-grade characterization anchoring calibration</w:t>
      </w:r>
      <w:r>
        <w:t xml:space="preserve"> </w:t>
      </w:r>
      <w:r>
        <w:t xml:space="preserve">chains and dispute resolution.</w:t>
      </w:r>
    </w:p>
    <w:p>
      <w:pPr>
        <w:pStyle w:val="FirstParagraph"/>
      </w:pPr>
      <w:r>
        <w:t xml:space="preserve">Instrument ownership across the tiers follows the interests: factories own</w:t>
      </w:r>
      <w:r>
        <w:t xml:space="preserve"> </w:t>
      </w:r>
      <w:r>
        <w:t xml:space="preserve">Tier 0 (it is their QA line); O&amp;M contractors own the Tier 1 imaging they</w:t>
      </w:r>
      <w:r>
        <w:t xml:space="preserve"> </w:t>
      </w:r>
      <w:r>
        <w:t xml:space="preserve">already fly; Tier 2 instruments belong to</w:t>
      </w:r>
      <w:r>
        <w:t xml:space="preserve"> </w:t>
      </w:r>
      <w:r>
        <w:rPr>
          <w:iCs/>
          <w:i/>
        </w:rPr>
        <w:t xml:space="preserve">verification service providers</w:t>
      </w:r>
      <w:r>
        <w:t xml:space="preserve"> </w:t>
      </w:r>
      <w:r>
        <w:t xml:space="preserve">—</w:t>
      </w:r>
      <w:r>
        <w:t xml:space="preserve"> </w:t>
      </w:r>
      <w:r>
        <w:t xml:space="preserve">the accredited, adversarially employable verifiers of Section 3.1.1 — because</w:t>
      </w:r>
      <w:r>
        <w:t xml:space="preserve"> </w:t>
      </w:r>
      <w:r>
        <w:t xml:space="preserve">a verification performed with the custodian’s own instrument proves less by</w:t>
      </w:r>
      <w:r>
        <w:t xml:space="preserve"> </w:t>
      </w:r>
      <w:r>
        <w:t xml:space="preserve">construction, and an independent verification industry is the institutional</w:t>
      </w:r>
      <w:r>
        <w:t xml:space="preserve"> </w:t>
      </w:r>
      <w:r>
        <w:t xml:space="preserve">form the escalation tiers want (Chapter 13 notes it as a new market the</w:t>
      </w:r>
      <w:r>
        <w:t xml:space="preserve"> </w:t>
      </w:r>
      <w:r>
        <w:t xml:space="preserve">architecture creates); Tier 3 lives with metrology institutes and the</w:t>
      </w:r>
      <w:r>
        <w:t xml:space="preserve"> </w:t>
      </w:r>
      <w:r>
        <w:t xml:space="preserve">university labs of the pilot’s consortium. The accreditation machinery of</w:t>
      </w:r>
      <w:r>
        <w:t xml:space="preserve"> </w:t>
      </w:r>
      <w:r>
        <w:t xml:space="preserve">Section 4.3.2 covers all of them.</w:t>
      </w:r>
    </w:p>
    <w:p>
      <w:pPr>
        <w:pStyle w:val="BodyText"/>
      </w:pPr>
      <w:r>
        <w:t xml:space="preserve">The tier structure is why instrument maturity (Section 6.2’s honest statement) does</w:t>
      </w:r>
      <w:r>
        <w:t xml:space="preserve"> </w:t>
      </w:r>
      <w:r>
        <w:t xml:space="preserve">not gate the architecture: Tiers 0–1 deploy on today’s mature EL infrastructure and</w:t>
      </w:r>
      <w:r>
        <w:t xml:space="preserve"> </w:t>
      </w:r>
      <w:r>
        <w:t xml:space="preserve">already deliver most of the counterfeit and history-integrity value; Tier 2’s</w:t>
      </w:r>
      <w:r>
        <w:t xml:space="preserve"> </w:t>
      </w:r>
      <w:r>
        <w:t xml:space="preserve">quantum layer raises the assurance ceiling for the transactions that pay for it, and</w:t>
      </w:r>
      <w:r>
        <w:t xml:space="preserve"> </w:t>
      </w:r>
      <w:r>
        <w:t xml:space="preserve">widens as the instruments mature. Manufacturer adoption sequencing follows the</w:t>
      </w:r>
      <w:r>
        <w:t xml:space="preserve"> </w:t>
      </w:r>
      <w:r>
        <w:t xml:space="preserve">same gradient: premium product lines enroll at Tier 2 first, because the</w:t>
      </w:r>
      <w:r>
        <w:t xml:space="preserve"> </w:t>
      </w:r>
      <w:r>
        <w:t xml:space="preserve">magnetometric enrollment is a</w:t>
      </w:r>
      <w:r>
        <w:t xml:space="preserve"> </w:t>
      </w:r>
      <w:r>
        <w:rPr>
          <w:iCs/>
          <w:i/>
        </w:rPr>
        <w:t xml:space="preserve">signal</w:t>
      </w:r>
      <w:r>
        <w:t xml:space="preserve"> </w:t>
      </w:r>
      <w:r>
        <w:t xml:space="preserve">(Chapter 13’s vocabulary) — a</w:t>
      </w:r>
      <w:r>
        <w:t xml:space="preserve"> </w:t>
      </w:r>
      <w:r>
        <w:t xml:space="preserve">verifiable claim of process quality that justifies premium pricing and that</w:t>
      </w:r>
      <w:r>
        <w:t xml:space="preserve"> </w:t>
      </w:r>
      <w:r>
        <w:t xml:space="preserve">low-grade competitors cannot cheaply imitate — and the capability then</w:t>
      </w:r>
      <w:r>
        <w:t xml:space="preserve"> </w:t>
      </w:r>
      <w:r>
        <w:t xml:space="preserve">diffuses down-market as instruments cheapen, the standard trajectory of</w:t>
      </w:r>
      <w:r>
        <w:t xml:space="preserve"> </w:t>
      </w:r>
      <w:r>
        <w:t xml:space="preserve">quality instrumentation in this industry from EL itself onward.</w:t>
      </w:r>
    </w:p>
    <w:p>
      <w:pPr>
        <w:pStyle w:val="BodyText"/>
      </w:pPr>
      <w:r>
        <w:rPr>
          <w:bCs/>
          <w:b/>
        </w:rPr>
        <w:t xml:space="preserve">Table 6.3</w:t>
      </w:r>
      <w:r>
        <w:t xml:space="preserve"> </w:t>
      </w:r>
      <w:r>
        <w:t xml:space="preserve">Tier economics, order-of-magnitude, per the deployment</w:t>
      </w:r>
      <w:r>
        <w:t xml:space="preserve"> </w:t>
      </w:r>
      <w:r>
        <w:t xml:space="preserve">assumptions of Chapters 7 and 11. Costs in 2026 USD.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cost per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protected per exercise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at manufacture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$0.10 (compute + ledger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(recovered in premium-line pricing)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downstream evidence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Opportunistic re-verify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 touched by routine O&amp;M imaging (~2–5%/yr)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 marginal (comparison against images already taken)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Owner/O&amp;M (absorbed in existing campaigns)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Continuity of condition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Escalated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Sampled units at transactions/claims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$5–20 (V2 EL) to $50–300 (V3 magnetometric)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$10⁵–10⁸ per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Reference characterization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Handfuls of units; calibration and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$10³–10⁴ per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Consortium / adjudication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Metrological root for every tier below</w:t>
            </w:r>
          </w:p>
        </w:tc>
      </w:tr>
    </w:tbl>
    <w:p>
      <w:pPr>
        <w:pStyle w:val="BodyText"/>
      </w:pPr>
      <w:r>
        <w:t xml:space="preserve">Read the last two columns together and the design’s economic logic is</w:t>
      </w:r>
      <w:r>
        <w:t xml:space="preserve"> </w:t>
      </w:r>
      <w:r>
        <w:t xml:space="preserve">complete: each tier’s cost lands on the party whose transaction consumes the</w:t>
      </w:r>
      <w:r>
        <w:t xml:space="preserve"> </w:t>
      </w:r>
      <w:r>
        <w:t xml:space="preserve">assurance, at one to five orders of magnitude below the value it protects,</w:t>
      </w:r>
      <w:r>
        <w:t xml:space="preserve"> </w:t>
      </w:r>
      <w:r>
        <w:t xml:space="preserve">and no tier’s cost is borne fleet-wide except the one (Tier 0) whose</w:t>
      </w:r>
      <w:r>
        <w:t xml:space="preserve"> </w:t>
      </w:r>
      <w:r>
        <w:t xml:space="preserve">per-unit cost was engineered to near zero. This is the answer to Section</w:t>
      </w:r>
      <w:r>
        <w:t xml:space="preserve"> </w:t>
      </w:r>
      <w:r>
        <w:t xml:space="preserve">1.3’s unit-economics constraint, delivered not by making high assurance</w:t>
      </w:r>
      <w:r>
        <w:t xml:space="preserve"> </w:t>
      </w:r>
      <w:r>
        <w:t xml:space="preserve">cheap — it is not — but by making sure nobody buys high assurance who does</w:t>
      </w:r>
      <w:r>
        <w:t xml:space="preserve"> </w:t>
      </w:r>
      <w:r>
        <w:t xml:space="preserve">not need it that day.</w:t>
      </w:r>
    </w:p>
    <w:bookmarkEnd w:id="30"/>
    <w:bookmarkStart w:id="31" w:name="open-problems"/>
    <w:p>
      <w:pPr>
        <w:pStyle w:val="Heading2"/>
      </w:pPr>
      <w:r>
        <w:t xml:space="preserve">6.8 Open Problems</w:t>
      </w:r>
    </w:p>
    <w:p>
      <w:pPr>
        <w:pStyle w:val="FirstParagraph"/>
      </w:pPr>
      <w:r>
        <w:t xml:space="preserve">Stated as research questions, continued in Chapter 14, each with its current</w:t>
      </w:r>
      <w:r>
        <w:t xml:space="preserve"> </w:t>
      </w:r>
      <w:r>
        <w:t xml:space="preserve">state and the shape of a solution.</w:t>
      </w:r>
    </w:p>
    <w:p>
      <w:pPr>
        <w:pStyle w:val="BodyText"/>
      </w:pPr>
      <w:r>
        <w:rPr>
          <w:bCs/>
          <w:b/>
        </w:rPr>
        <w:t xml:space="preserve">(1) Stability quantification.</w:t>
      </w:r>
      <w:r>
        <w:t xml:space="preserve"> </w:t>
      </w:r>
      <w:r>
        <w:t xml:space="preserve">R2 needs twenty-year longitudinal data that</w:t>
      </w:r>
      <w:r>
        <w:t xml:space="preserve"> </w:t>
      </w:r>
      <w:r>
        <w:t xml:space="preserve">does not yet exist. What exists: accelerated-aging studies (thermal cycling,</w:t>
      </w:r>
      <w:r>
        <w:t xml:space="preserve"> </w:t>
      </w:r>
      <w:r>
        <w:t xml:space="preserve">damp heat, mechanical load sequences per the IEC 61215 family) through which</w:t>
      </w:r>
      <w:r>
        <w:t xml:space="preserve"> </w:t>
      </w:r>
      <w:r>
        <w:t xml:space="preserve">enrolled templates have been tracked with encouraging grain-texture</w:t>
      </w:r>
      <w:r>
        <w:t xml:space="preserve"> </w:t>
      </w:r>
      <w:r>
        <w:t xml:space="preserve">persistence; and the pilot’s 6,300-unit Tier-2 cohort, now accumulating real</w:t>
      </w:r>
      <w:r>
        <w:t xml:space="preserve"> </w:t>
      </w:r>
      <w:r>
        <w:t xml:space="preserve">field years. What is missing: multi-climate, multi-technology cohorts old</w:t>
      </w:r>
      <w:r>
        <w:t xml:space="preserve"> </w:t>
      </w:r>
      <w:r>
        <w:t xml:space="preserve">enough to expose slow mechanisms — and no acceleration protocol fully earns</w:t>
      </w:r>
      <w:r>
        <w:t xml:space="preserve"> </w:t>
      </w:r>
      <w:r>
        <w:t xml:space="preserve">trust across twenty years, because acceleration factors are themselves</w:t>
      </w:r>
      <w:r>
        <w:t xml:space="preserve"> </w:t>
      </w:r>
      <w:r>
        <w:t xml:space="preserve">models. The architectural hedge is supersession (Section 6.4); the scientific</w:t>
      </w:r>
      <w:r>
        <w:t xml:space="preserve"> </w:t>
      </w:r>
      <w:r>
        <w:t xml:space="preserve">program is instrumented cohorts started now, which is the single highest-</w:t>
      </w:r>
      <w:r>
        <w:t xml:space="preserve"> </w:t>
      </w:r>
      <w:r>
        <w:t xml:space="preserve">leverage investment available to this field.</w:t>
      </w:r>
    </w:p>
    <w:p>
      <w:pPr>
        <w:pStyle w:val="BodyText"/>
      </w:pPr>
      <w:r>
        <w:rPr>
          <w:bCs/>
          <w:b/>
        </w:rPr>
        <w:t xml:space="preserve">(2) Inversion uniqueness.</w:t>
      </w:r>
      <w:r>
        <w:t xml:space="preserve"> </w:t>
      </w:r>
      <w:r>
        <w:t xml:space="preserve">Field-to-current inversion is ill-posed at</w:t>
      </w:r>
      <w:r>
        <w:t xml:space="preserve"> </w:t>
      </w:r>
      <w:r>
        <w:t xml:space="preserve">spatial frequencies above the standoff cutoff, and regularization fills the</w:t>
      </w:r>
      <w:r>
        <w:t xml:space="preserve"> </w:t>
      </w:r>
      <w:r>
        <w:t xml:space="preserve">null space with assumptions. The security question — can an adversary exploit</w:t>
      </w:r>
      <w:r>
        <w:t xml:space="preserve"> </w:t>
      </w:r>
      <w:r>
        <w:t xml:space="preserve">the null space to make one defect population impersonate another across the</w:t>
      </w:r>
      <w:r>
        <w:t xml:space="preserve"> </w:t>
      </w:r>
      <w:r>
        <w:t xml:space="preserve">challenge space? — has not been formally posed, let alone bounded. The PUF</w:t>
      </w:r>
      <w:r>
        <w:t xml:space="preserve"> </w:t>
      </w:r>
      <w:r>
        <w:t xml:space="preserve">community’s arc is the cautionary precedent: early PUFs claimed unclonability</w:t>
      </w:r>
      <w:r>
        <w:t xml:space="preserve"> </w:t>
      </w:r>
      <w:r>
        <w:t xml:space="preserve">until machine-learning modeling attacks operationalized the question, and</w:t>
      </w:r>
      <w:r>
        <w:t xml:space="preserve"> </w:t>
      </w:r>
      <w:r>
        <w:t xml:space="preserve">this modality should pre-empt the same arc by inviting the attack literature</w:t>
      </w:r>
      <w:r>
        <w:t xml:space="preserve"> </w:t>
      </w:r>
      <w:r>
        <w:t xml:space="preserve">early. A solution looks like an adversarial bound: given measurement noise</w:t>
      </w:r>
      <w:r>
        <w:t xml:space="preserve"> </w:t>
      </w:r>
      <w:r>
        <w:t xml:space="preserve">and challenge-space geometry, the minimum physical difference between</w:t>
      </w:r>
      <w:r>
        <w:t xml:space="preserve"> </w:t>
      </w:r>
      <w:r>
        <w:t xml:space="preserve">populations distinguishable under the protocol.</w:t>
      </w:r>
    </w:p>
    <w:p>
      <w:pPr>
        <w:pStyle w:val="BodyText"/>
      </w:pPr>
      <w:r>
        <w:rPr>
          <w:bCs/>
          <w:b/>
        </w:rPr>
        <w:t xml:space="preserve">(3) Throughput engineering.</w:t>
      </w:r>
      <w:r>
        <w:t xml:space="preserve"> </w:t>
      </w:r>
      <w:r>
        <w:t xml:space="preserve">Bench wide-field systems image cells in</w:t>
      </w:r>
      <w:r>
        <w:t xml:space="preserve"> </w:t>
      </w:r>
      <w:r>
        <w:t xml:space="preserve">minutes; a line-speed instrument needs two orders of magnitude, via larger</w:t>
      </w:r>
      <w:r>
        <w:t xml:space="preserve"> </w:t>
      </w:r>
      <w:r>
        <w:t xml:space="preserve">NV-layer fields of view, parallel tiles, and optimized bias/readout</w:t>
      </w:r>
      <w:r>
        <w:t xml:space="preserve"> </w:t>
      </w:r>
      <w:r>
        <w:t xml:space="preserve">sequences — engineering with identified paths and no new physics, awaiting</w:t>
      </w:r>
      <w:r>
        <w:t xml:space="preserve"> </w:t>
      </w:r>
      <w:r>
        <w:t xml:space="preserve">an industrial customer to pay for it. The tier design means the architecture</w:t>
      </w:r>
      <w:r>
        <w:t xml:space="preserve"> </w:t>
      </w:r>
      <w:r>
        <w:t xml:space="preserve">does not wait; but every factor of ten in throughput moves Tier 2 coverage</w:t>
      </w:r>
      <w:r>
        <w:t xml:space="preserve"> </w:t>
      </w:r>
      <w:r>
        <w:t xml:space="preserve">from sampled toward universal and re-prices Table 6.3.</w:t>
      </w:r>
    </w:p>
    <w:p>
      <w:pPr>
        <w:pStyle w:val="BodyText"/>
      </w:pPr>
      <w:r>
        <w:rPr>
          <w:bCs/>
          <w:b/>
        </w:rPr>
        <w:t xml:space="preserve">(4) Template standardization.</w:t>
      </w:r>
      <w:r>
        <w:t xml:space="preserve"> </w:t>
      </w:r>
      <w:r>
        <w:t xml:space="preserve">Cross-vendor comparability of templates,</w:t>
      </w:r>
      <w:r>
        <w:t xml:space="preserve"> </w:t>
      </w:r>
      <w:r>
        <w:t xml:space="preserve">similarity metrics, thresholds, and challenge protocols does not exist —</w:t>
      </w:r>
      <w:r>
        <w:t xml:space="preserve"> </w:t>
      </w:r>
      <w:r>
        <w:t xml:space="preserve">every instrument vendor’s pipeline is currently its own island, which is</w:t>
      </w:r>
      <w:r>
        <w:t xml:space="preserve"> </w:t>
      </w:r>
      <w:r>
        <w:t xml:space="preserve">tolerable in pilots and intolerable at market scale (Section 12.5 and</w:t>
      </w:r>
      <w:r>
        <w:t xml:space="preserve"> </w:t>
      </w:r>
      <w:r>
        <w:t xml:space="preserve">standardization gap S3 develop the institutional argument). A solution looks</w:t>
      </w:r>
      <w:r>
        <w:t xml:space="preserve"> </w:t>
      </w:r>
      <w:r>
        <w:t xml:space="preserve">like reference template formats and proficiency testing hosted by metrology</w:t>
      </w:r>
      <w:r>
        <w:t xml:space="preserve"> </w:t>
      </w:r>
      <w:r>
        <w:t xml:space="preserve">institutes, in direct analogy to how dimensional metrology standardized.</w:t>
      </w:r>
    </w:p>
    <w:p>
      <w:pPr>
        <w:pStyle w:val="BodyText"/>
      </w:pPr>
      <w:r>
        <w:rPr>
          <w:bCs/>
          <w:b/>
        </w:rPr>
        <w:t xml:space="preserve">(5) Thin-film and emerging cell technologies.</w:t>
      </w:r>
      <w:r>
        <w:t xml:space="preserve"> </w:t>
      </w:r>
      <w:r>
        <w:t xml:space="preserve">The defect phenomenology of</w:t>
      </w:r>
      <w:r>
        <w:t xml:space="preserve"> </w:t>
      </w:r>
      <w:r>
        <w:t xml:space="preserve">CdTe, CIGS, perovskites, and tandems is younger and different — different</w:t>
      </w:r>
      <w:r>
        <w:t xml:space="preserve"> </w:t>
      </w:r>
      <w:r>
        <w:t xml:space="preserve">stochastic sources of individuality, different stability questions</w:t>
      </w:r>
      <w:r>
        <w:t xml:space="preserve"> </w:t>
      </w:r>
      <w:r>
        <w:t xml:space="preserve">(perovskite ion migration is a moving substrate for any fingerprint), and</w:t>
      </w:r>
      <w:r>
        <w:t xml:space="preserve"> </w:t>
      </w:r>
      <w:r>
        <w:t xml:space="preserve">different current-path geometries for inversion. Nothing in the architecture</w:t>
      </w:r>
      <w:r>
        <w:t xml:space="preserve"> </w:t>
      </w:r>
      <w:r>
        <w:t xml:space="preserve">is c-Si-specific, but every calibration in this chapter is, and the honest</w:t>
      </w:r>
      <w:r>
        <w:t xml:space="preserve"> </w:t>
      </w:r>
      <w:r>
        <w:t xml:space="preserve">statement is that each technology needs its own R1–R6 dossier before the</w:t>
      </w:r>
      <w:r>
        <w:t xml:space="preserve"> </w:t>
      </w:r>
      <w:r>
        <w:t xml:space="preserve">binding claims transfer.</w:t>
      </w:r>
    </w:p>
    <w:bookmarkEnd w:id="31"/>
    <w:bookmarkStart w:id="32" w:name="X1288f8b3dc6cdda6d097bac18933716ee369b7a"/>
    <w:p>
      <w:pPr>
        <w:pStyle w:val="Heading2"/>
      </w:pPr>
      <w:r>
        <w:t xml:space="preserve">6.9 A Note on the Intellectual Property Posture</w:t>
      </w:r>
    </w:p>
    <w:p>
      <w:pPr>
        <w:pStyle w:val="FirstParagraph"/>
      </w:pPr>
      <w:r>
        <w:t xml:space="preserve">Readers evaluating this chapter for adoption deserve clarity about what the</w:t>
      </w:r>
      <w:r>
        <w:t xml:space="preserve"> </w:t>
      </w:r>
      <w:r>
        <w:t xml:space="preserve">pending patent application does and does not mean for them, stated here once</w:t>
      </w:r>
      <w:r>
        <w:t xml:space="preserve"> </w:t>
      </w:r>
      <w:r>
        <w:t xml:space="preserve">in plain language (the Preface carries the fuller context). The application</w:t>
      </w:r>
      <w:r>
        <w:t xml:space="preserve"> </w:t>
      </w:r>
      <w:r>
        <w:t xml:space="preserve">covers specific mechanisms in the binding construction of Sections 6.4 and</w:t>
      </w:r>
      <w:r>
        <w:t xml:space="preserve"> </w:t>
      </w:r>
      <w:r>
        <w:t xml:space="preserve">their embodiment in the verification workflow — the cross-modal locking with</w:t>
      </w:r>
      <w:r>
        <w:t xml:space="preserve"> </w:t>
      </w:r>
      <w:r>
        <w:t xml:space="preserve">recorded co-registration, the challenge-parameterized measurement protocol,</w:t>
      </w:r>
      <w:r>
        <w:t xml:space="preserve"> </w:t>
      </w:r>
      <w:r>
        <w:t xml:space="preserve">and the supersession-chain verification, as applied to photovoltaic devices.</w:t>
      </w:r>
      <w:r>
        <w:t xml:space="preserve"> </w:t>
      </w:r>
      <w:r>
        <w:t xml:space="preserve">It does not cover, and could not cover, the general ideas this book situates</w:t>
      </w:r>
      <w:r>
        <w:t xml:space="preserve"> </w:t>
      </w:r>
      <w:r>
        <w:t xml:space="preserve">them in: ledger-anchored asset identity, structural fingerprinting as a</w:t>
      </w:r>
      <w:r>
        <w:t xml:space="preserve"> </w:t>
      </w:r>
      <w:r>
        <w:t xml:space="preserve">class, EL-based template matching, or the lifecycle schema — all of which</w:t>
      </w:r>
      <w:r>
        <w:t xml:space="preserve"> </w:t>
      </w:r>
      <w:r>
        <w:t xml:space="preserve">have prior art this book cites and builds on openly. The requirements</w:t>
      </w:r>
      <w:r>
        <w:t xml:space="preserve"> </w:t>
      </w:r>
      <w:r>
        <w:t xml:space="preserve">statement of Section 6.5 was written general precisely so that alternative</w:t>
      </w:r>
      <w:r>
        <w:t xml:space="preserve"> </w:t>
      </w:r>
      <w:r>
        <w:t xml:space="preserve">mechanisms can be engineered against it without reference to the claimed</w:t>
      </w:r>
      <w:r>
        <w:t xml:space="preserve"> </w:t>
      </w:r>
      <w:r>
        <w:t xml:space="preserve">construction, and Appendix B’s comparison table treats claimed and unclaimed</w:t>
      </w:r>
      <w:r>
        <w:t xml:space="preserve"> </w:t>
      </w:r>
      <w:r>
        <w:t xml:space="preserve">mechanisms identically. My commercial position, for the record: the</w:t>
      </w:r>
      <w:r>
        <w:t xml:space="preserve"> </w:t>
      </w:r>
      <w:r>
        <w:t xml:space="preserve">application exists to protect the possibility of a reference implementation</w:t>
      </w:r>
      <w:r>
        <w:t xml:space="preserve"> </w:t>
      </w:r>
      <w:r>
        <w:t xml:space="preserve">being built to a standard rather than to enclose the field, and the</w:t>
      </w:r>
      <w:r>
        <w:t xml:space="preserve"> </w:t>
      </w:r>
      <w:r>
        <w:t xml:space="preserve">standardization argument of Section 14.3 — that binding templates should be</w:t>
      </w:r>
      <w:r>
        <w:t xml:space="preserve"> </w:t>
      </w:r>
      <w:r>
        <w:t xml:space="preserve">open metrology, not proprietary formats — is a position I hold against my</w:t>
      </w:r>
      <w:r>
        <w:t xml:space="preserve"> </w:t>
      </w:r>
      <w:r>
        <w:t xml:space="preserve">own narrow interest where the two conflict. Readers may weigh the argument</w:t>
      </w:r>
      <w:r>
        <w:t xml:space="preserve"> </w:t>
      </w:r>
      <w:r>
        <w:t xml:space="preserve">knowing its author’s stake; that is what the disclosure is for.</w:t>
      </w:r>
    </w:p>
    <w:bookmarkEnd w:id="32"/>
    <w:bookmarkStart w:id="33" w:name="chapter-summary"/>
    <w:p>
      <w:pPr>
        <w:pStyle w:val="Heading2"/>
      </w:pPr>
      <w:r>
        <w:t xml:space="preserve">6.10 Chapter Summary</w:t>
      </w:r>
    </w:p>
    <w:p>
      <w:pPr>
        <w:pStyle w:val="FirstParagraph"/>
      </w:pPr>
      <w:r>
        <w:t xml:space="preserve">The defect structure of a photovoltaic device is manufacturing’s uncontrolled</w:t>
      </w:r>
      <w:r>
        <w:t xml:space="preserve"> </w:t>
      </w:r>
      <w:r>
        <w:t xml:space="preserve">residue, and that is exactly what makes it the strongest available anchor for</w:t>
      </w:r>
      <w:r>
        <w:t xml:space="preserve"> </w:t>
      </w:r>
      <w:r>
        <w:t xml:space="preserve">passive identity: unique by physics across grain structure, dislocations,</w:t>
      </w:r>
      <w:r>
        <w:t xml:space="preserve"> </w:t>
      </w:r>
      <w:r>
        <w:t xml:space="preserve">precipitates, and process stochastics; unforgeable at reasonable cost by the</w:t>
      </w:r>
      <w:r>
        <w:t xml:space="preserve"> </w:t>
      </w:r>
      <w:r>
        <w:t xml:space="preserve">R3 asymmetry, since reproducing a specified bulk defect population exceeds</w:t>
      </w:r>
      <w:r>
        <w:t xml:space="preserve"> </w:t>
      </w:r>
      <w:r>
        <w:t xml:space="preserve">what process control achieves even for legitimate production; and — the</w:t>
      </w:r>
      <w:r>
        <w:t xml:space="preserve"> </w:t>
      </w:r>
      <w:r>
        <w:t xml:space="preserve">design’s central economy — identical with the condition</w:t>
      </w:r>
      <w:r>
        <w:t xml:space="preserve"> </w:t>
      </w:r>
      <w:r>
        <w:t xml:space="preserve">evidence the lifecycle record needs anyway. NV magnetometry supplies current-path</w:t>
      </w:r>
      <w:r>
        <w:t xml:space="preserve"> </w:t>
      </w:r>
      <w:r>
        <w:t xml:space="preserve">maps that see beneath optical modalities, at room temperature and with a</w:t>
      </w:r>
      <w:r>
        <w:t xml:space="preserve"> </w:t>
      </w:r>
      <w:r>
        <w:t xml:space="preserve">clear if unfinished road to line speed; the two-layer decomposition separates</w:t>
      </w:r>
      <w:r>
        <w:t xml:space="preserve"> </w:t>
      </w:r>
      <w:r>
        <w:t xml:space="preserve">identity (stable structure) from condition (evolving damage), with the</w:t>
      </w:r>
      <w:r>
        <w:t xml:space="preserve"> </w:t>
      </w:r>
      <w:r>
        <w:t xml:space="preserve">decomposition itself versioned as scientific understanding matures;</w:t>
      </w:r>
      <w:r>
        <w:t xml:space="preserve"> </w:t>
      </w:r>
      <w:r>
        <w:t xml:space="preserve">cross-modal locking, challenge-parameterized measurement drawing on a</w:t>
      </w:r>
      <w:r>
        <w:t xml:space="preserve"> </w:t>
      </w:r>
      <w:r>
        <w:t xml:space="preserve">bias-response surface never published in full, and</w:t>
      </w:r>
      <w:r>
        <w:t xml:space="preserve"> </w:t>
      </w:r>
      <w:r>
        <w:t xml:space="preserve">supersession-with-provenance guarded by evolution-plausibility checks turn a</w:t>
      </w:r>
      <w:r>
        <w:t xml:space="preserve"> </w:t>
      </w:r>
      <w:r>
        <w:t xml:space="preserve">measurement into a binding. On that binding stands the four-step verification</w:t>
      </w:r>
      <w:r>
        <w:t xml:space="preserve"> </w:t>
      </w:r>
      <w:r>
        <w:t xml:space="preserve">workflow: authenticate the record against public anchors, police the evidence graph,</w:t>
      </w:r>
      <w:r>
        <w:t xml:space="preserve"> </w:t>
      </w:r>
      <w:r>
        <w:t xml:space="preserve">verify matter against template on a pre-committed random sample, and decide with</w:t>
      </w:r>
      <w:r>
        <w:t xml:space="preserve"> </w:t>
      </w:r>
      <w:r>
        <w:t xml:space="preserve">residual risk that is quantified rather than vague. Assurance is bought in tiers, so</w:t>
      </w:r>
      <w:r>
        <w:t xml:space="preserve"> </w:t>
      </w:r>
      <w:r>
        <w:t xml:space="preserve">the mature EL layer carries routine load while the quantum-limited layer prices into the</w:t>
      </w:r>
      <w:r>
        <w:t xml:space="preserve"> </w:t>
      </w:r>
      <w:r>
        <w:t xml:space="preserve">transactions that need it — with Tier 0 alone closing most of Chapter 1’s</w:t>
      </w:r>
      <w:r>
        <w:t xml:space="preserve"> </w:t>
      </w:r>
      <w:r>
        <w:t xml:space="preserve">fraud economics before a single NV instrument ships. The chapter’s</w:t>
      </w:r>
      <w:r>
        <w:t xml:space="preserve"> </w:t>
      </w:r>
      <w:r>
        <w:t xml:space="preserve">honest edges are marked: stability data that must be earned in calendar</w:t>
      </w:r>
      <w:r>
        <w:t xml:space="preserve"> </w:t>
      </w:r>
      <w:r>
        <w:t xml:space="preserve">years (M1), an adversarial inversion question posed here before adversaries</w:t>
      </w:r>
      <w:r>
        <w:t xml:space="preserve"> </w:t>
      </w:r>
      <w:r>
        <w:t xml:space="preserve">pose it (M2), throughput engineering awaiting an industrial customer (M3),</w:t>
      </w:r>
      <w:r>
        <w:t xml:space="preserve"> </w:t>
      </w:r>
      <w:r>
        <w:t xml:space="preserve">a template-standardization gap with a closing window, and a technology</w:t>
      </w:r>
      <w:r>
        <w:t xml:space="preserve"> </w:t>
      </w:r>
      <w:r>
        <w:t xml:space="preserve">dossier owed to every cell chemistry that is not crystalline silicon; the</w:t>
      </w:r>
      <w:r>
        <w:t xml:space="preserve"> </w:t>
      </w:r>
      <w:r>
        <w:t xml:space="preserve">author’s stake is on the table in Section 6.9. What this mechanism defends,</w:t>
      </w:r>
      <w:r>
        <w:t xml:space="preserve"> </w:t>
      </w:r>
      <w:r>
        <w:t xml:space="preserve">and what still gets through,</w:t>
      </w:r>
      <w:r>
        <w:t xml:space="preserve"> </w:t>
      </w:r>
      <w:r>
        <w:t xml:space="preserve">is the business of Chapter 8 — after Chapter 7 confirms the whole design scales to</w:t>
      </w:r>
      <w:r>
        <w:t xml:space="preserve"> </w:t>
      </w:r>
      <w:r>
        <w:t xml:space="preserve">fleets worth attacking.</w:t>
      </w:r>
    </w:p>
    <w:bookmarkEnd w:id="33"/>
    <w:bookmarkStart w:id="34" w:name="references-and-further-reading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03"/>
        </w:numPr>
        <w:pStyle w:val="Compact"/>
      </w:pPr>
      <w:r>
        <w:t xml:space="preserve">Degen, C. L., F. Reinhard, and P. Cappellaro.</w:t>
      </w:r>
      <w:r>
        <w:t xml:space="preserve"> </w:t>
      </w:r>
      <w:r>
        <w:t xml:space="preserve">“</w:t>
      </w:r>
      <w:r>
        <w:t xml:space="preserve">Quantum Sensing.</w:t>
      </w:r>
      <w:r>
        <w:t xml:space="preserve">”</w:t>
      </w:r>
      <w:r>
        <w:t xml:space="preserve"> </w:t>
      </w:r>
      <w:r>
        <w:rPr>
          <w:iCs/>
          <w:i/>
        </w:rPr>
        <w:t xml:space="preserve">Reviews of</w:t>
      </w:r>
      <w:r>
        <w:rPr>
          <w:iCs/>
          <w:i/>
        </w:rPr>
        <w:t xml:space="preserve"> </w:t>
      </w:r>
      <w:r>
        <w:rPr>
          <w:iCs/>
          <w:i/>
        </w:rPr>
        <w:t xml:space="preserve">Modern Physics</w:t>
      </w:r>
      <w:r>
        <w:t xml:space="preserve"> </w:t>
      </w:r>
      <w:r>
        <w:t xml:space="preserve">89, no. 3 (2017): 035002.</w:t>
      </w:r>
    </w:p>
    <w:p>
      <w:pPr>
        <w:numPr>
          <w:ilvl w:val="0"/>
          <w:numId w:val="1003"/>
        </w:numPr>
        <w:pStyle w:val="Compact"/>
      </w:pPr>
      <w:r>
        <w:t xml:space="preserve">Rondin, L., J.-P. Tetienne, T. Hingant, J.-F. Roch, P. Maletinsky, and</w:t>
      </w:r>
      <w:r>
        <w:t xml:space="preserve"> </w:t>
      </w:r>
      <w:r>
        <w:t xml:space="preserve">V. Jacques.</w:t>
      </w:r>
      <w:r>
        <w:t xml:space="preserve"> </w:t>
      </w:r>
      <w:r>
        <w:t xml:space="preserve">“</w:t>
      </w:r>
      <w:r>
        <w:t xml:space="preserve">Magnetometry with Nitrogen-Vacancy Defects in Diamond.</w:t>
      </w:r>
      <w:r>
        <w:t xml:space="preserve">”</w:t>
      </w:r>
      <w:r>
        <w:t xml:space="preserve"> </w:t>
      </w:r>
      <w:r>
        <w:rPr>
          <w:iCs/>
          <w:i/>
        </w:rPr>
        <w:t xml:space="preserve">Reports on</w:t>
      </w:r>
      <w:r>
        <w:rPr>
          <w:iCs/>
          <w:i/>
        </w:rPr>
        <w:t xml:space="preserve"> </w:t>
      </w:r>
      <w:r>
        <w:rPr>
          <w:iCs/>
          <w:i/>
        </w:rPr>
        <w:t xml:space="preserve">Progress in Physics</w:t>
      </w:r>
      <w:r>
        <w:t xml:space="preserve"> </w:t>
      </w:r>
      <w:r>
        <w:t xml:space="preserve">77, no. 5 (2014): 056503.</w:t>
      </w:r>
    </w:p>
    <w:p>
      <w:pPr>
        <w:numPr>
          <w:ilvl w:val="0"/>
          <w:numId w:val="1003"/>
        </w:numPr>
        <w:pStyle w:val="Compact"/>
      </w:pPr>
      <w:r>
        <w:t xml:space="preserve">Glenn, D. R., R. R. Fu, P. Kehayias, et al. </w:t>
      </w:r>
      <w:r>
        <w:t xml:space="preserve">“</w:t>
      </w:r>
      <w:r>
        <w:t xml:space="preserve">Micrometer-Scale Magnetic Imaging</w:t>
      </w:r>
      <w:r>
        <w:t xml:space="preserve"> </w:t>
      </w:r>
      <w:r>
        <w:t xml:space="preserve">of Geological Samples Using a Quantum Diamond Microscope.</w:t>
      </w:r>
      <w:r>
        <w:t xml:space="preserve">”</w:t>
      </w:r>
      <w:r>
        <w:t xml:space="preserve"> </w:t>
      </w:r>
      <w:r>
        <w:rPr>
          <w:iCs/>
          <w:i/>
        </w:rPr>
        <w:t xml:space="preserve">Geochemistry,</w:t>
      </w:r>
      <w:r>
        <w:rPr>
          <w:iCs/>
          <w:i/>
        </w:rPr>
        <w:t xml:space="preserve"> </w:t>
      </w:r>
      <w:r>
        <w:rPr>
          <w:iCs/>
          <w:i/>
        </w:rPr>
        <w:t xml:space="preserve">Geophysics, Geosystems</w:t>
      </w:r>
      <w:r>
        <w:t xml:space="preserve"> </w:t>
      </w:r>
      <w:r>
        <w:t xml:space="preserve">18, no. 8 (2017): 3254–3267.</w:t>
      </w:r>
    </w:p>
    <w:p>
      <w:pPr>
        <w:numPr>
          <w:ilvl w:val="0"/>
          <w:numId w:val="1003"/>
        </w:numPr>
        <w:pStyle w:val="Compact"/>
      </w:pPr>
      <w:r>
        <w:t xml:space="preserve">Breitenstein, O., W. Warta, and M. C. Schubert.</w:t>
      </w:r>
      <w:r>
        <w:t xml:space="preserve"> </w:t>
      </w:r>
      <w:r>
        <w:rPr>
          <w:iCs/>
          <w:i/>
        </w:rPr>
        <w:t xml:space="preserve">Lock-in Thermography: Basics and</w:t>
      </w:r>
      <w:r>
        <w:rPr>
          <w:iCs/>
          <w:i/>
        </w:rPr>
        <w:t xml:space="preserve"> </w:t>
      </w:r>
      <w:r>
        <w:rPr>
          <w:iCs/>
          <w:i/>
        </w:rPr>
        <w:t xml:space="preserve">Use for Evaluating Electronic Devices and Materials.</w:t>
      </w:r>
      <w:r>
        <w:t xml:space="preserve"> </w:t>
      </w:r>
      <w:r>
        <w:t xml:space="preserve">3rd ed. Springer, 2018.</w:t>
      </w:r>
    </w:p>
    <w:p>
      <w:pPr>
        <w:numPr>
          <w:ilvl w:val="0"/>
          <w:numId w:val="1003"/>
        </w:numPr>
        <w:pStyle w:val="Compact"/>
      </w:pPr>
      <w:r>
        <w:t xml:space="preserve">Köntges, M., et al. </w:t>
      </w:r>
      <w:r>
        <w:rPr>
          <w:iCs/>
          <w:i/>
        </w:rPr>
        <w:t xml:space="preserve">Review of Failures of Photovoltaic Modules.</w:t>
      </w:r>
      <w:r>
        <w:t xml:space="preserve"> </w:t>
      </w:r>
      <w:r>
        <w:t xml:space="preserve">IEA-PVPS</w:t>
      </w:r>
      <w:r>
        <w:t xml:space="preserve"> </w:t>
      </w:r>
      <w:r>
        <w:t xml:space="preserve">Task 13 Report T13-01:2014 (crack morphology and evolution).</w:t>
      </w:r>
    </w:p>
    <w:p>
      <w:pPr>
        <w:numPr>
          <w:ilvl w:val="0"/>
          <w:numId w:val="1003"/>
        </w:numPr>
        <w:pStyle w:val="Compact"/>
      </w:pPr>
      <w:r>
        <w:t xml:space="preserve">Fuyuki, T., and A. Kitiyanan.</w:t>
      </w:r>
      <w:r>
        <w:t xml:space="preserve"> </w:t>
      </w:r>
      <w:r>
        <w:t xml:space="preserve">“</w:t>
      </w:r>
      <w:r>
        <w:t xml:space="preserve">Photographic Diagnosis of Crystalline Silicon</w:t>
      </w:r>
      <w:r>
        <w:t xml:space="preserve"> </w:t>
      </w:r>
      <w:r>
        <w:t xml:space="preserve">Solar Cells Utilizing Electroluminescence.</w:t>
      </w:r>
      <w:r>
        <w:t xml:space="preserve">”</w:t>
      </w:r>
      <w:r>
        <w:t xml:space="preserve"> </w:t>
      </w:r>
      <w:r>
        <w:rPr>
          <w:iCs/>
          <w:i/>
        </w:rPr>
        <w:t xml:space="preserve">Applied Physics A</w:t>
      </w:r>
      <w:r>
        <w:t xml:space="preserve"> </w:t>
      </w:r>
      <w:r>
        <w:t xml:space="preserve">96 (2009):</w:t>
      </w:r>
      <w:r>
        <w:t xml:space="preserve"> </w:t>
      </w:r>
      <w:r>
        <w:t xml:space="preserve">189–196.</w:t>
      </w:r>
    </w:p>
    <w:p>
      <w:pPr>
        <w:numPr>
          <w:ilvl w:val="0"/>
          <w:numId w:val="1003"/>
        </w:numPr>
        <w:pStyle w:val="Compact"/>
      </w:pPr>
      <w:r>
        <w:t xml:space="preserve">Jain, A. K., A. Ross, and S. Prabhakar.</w:t>
      </w:r>
      <w:r>
        <w:t xml:space="preserve"> </w:t>
      </w:r>
      <w:r>
        <w:t xml:space="preserve">“</w:t>
      </w:r>
      <w:r>
        <w:t xml:space="preserve">An Introduction to Biometric</w:t>
      </w:r>
      <w:r>
        <w:t xml:space="preserve"> </w:t>
      </w:r>
      <w:r>
        <w:t xml:space="preserve">Recognition.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Transactions on Circuits and Systems for Video Technology</w:t>
      </w:r>
      <w:r>
        <w:t xml:space="preserve"> </w:t>
      </w:r>
      <w:r>
        <w:t xml:space="preserve">14, no. 1 (2004): 4–20 (false-accept/false-reject formalism).</w:t>
      </w:r>
    </w:p>
    <w:p>
      <w:pPr>
        <w:numPr>
          <w:ilvl w:val="0"/>
          <w:numId w:val="1003"/>
        </w:numPr>
        <w:pStyle w:val="Compact"/>
      </w:pPr>
      <w:r>
        <w:t xml:space="preserve">Schilling, D. R., and D. V. Neubauer.</w:t>
      </w:r>
      <w:r>
        <w:t xml:space="preserve"> </w:t>
      </w:r>
      <w:r>
        <w:rPr>
          <w:iCs/>
          <w:i/>
        </w:rPr>
        <w:t xml:space="preserve">Acceptance Sampling in Quality</w:t>
      </w:r>
      <w:r>
        <w:rPr>
          <w:iCs/>
          <w:i/>
        </w:rPr>
        <w:t xml:space="preserve"> </w:t>
      </w:r>
      <w:r>
        <w:rPr>
          <w:iCs/>
          <w:i/>
        </w:rPr>
        <w:t xml:space="preserve">Control.</w:t>
      </w:r>
      <w:r>
        <w:t xml:space="preserve"> </w:t>
      </w:r>
      <w:r>
        <w:t xml:space="preserve">3rd ed. CRC Press, 2017. The sampling-design basis of</w:t>
      </w:r>
      <w:r>
        <w:t xml:space="preserve"> </w:t>
      </w:r>
      <w:r>
        <w:t xml:space="preserve">Section 6.6.1.</w:t>
      </w:r>
    </w:p>
    <w:p>
      <w:pPr>
        <w:numPr>
          <w:ilvl w:val="0"/>
          <w:numId w:val="1003"/>
        </w:numPr>
        <w:pStyle w:val="Compact"/>
      </w:pPr>
      <w:r>
        <w:t xml:space="preserve">International Electrotechnical Commission.</w:t>
      </w:r>
      <w:r>
        <w:t xml:space="preserve"> </w:t>
      </w:r>
      <w:r>
        <w:rPr>
          <w:iCs/>
          <w:i/>
        </w:rPr>
        <w:t xml:space="preserve">IEC 61215 series</w:t>
      </w:r>
      <w:r>
        <w:t xml:space="preserve"> </w:t>
      </w:r>
      <w:r>
        <w:t xml:space="preserve">(design</w:t>
      </w:r>
      <w:r>
        <w:t xml:space="preserve"> </w:t>
      </w:r>
      <w:r>
        <w:t xml:space="preserve">qualification test sequences — the accelerated-aging protocols behind the</w:t>
      </w:r>
      <w:r>
        <w:t xml:space="preserve"> </w:t>
      </w:r>
      <w:r>
        <w:t xml:space="preserve">M1 stability evidence). Geneva: IEC.</w:t>
      </w:r>
    </w:p>
    <w:p>
      <w:pPr>
        <w:numPr>
          <w:ilvl w:val="0"/>
          <w:numId w:val="1003"/>
        </w:numPr>
        <w:pStyle w:val="Compact"/>
      </w:pPr>
      <w:r>
        <w:t xml:space="preserve">[AUTHOR LAST NAME], [FIRST NAME].</w:t>
      </w:r>
      <w:r>
        <w:t xml:space="preserve"> </w:t>
      </w:r>
      <w:r>
        <w:rPr>
          <w:iCs/>
          <w:i/>
        </w:rPr>
        <w:t xml:space="preserve">[PATENT APPLICATION TITLE — TO BE SUPPLIED]</w:t>
      </w:r>
      <w:r>
        <w:t xml:space="preserve">. Application No. [NUMBER — TO BE SUPPLIED], filed [DATE — TO BE SUPPLIED]. Covers binding and verification workflow in Sections 6.4–6.6.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2026-07-03T09:17:37Z</dcterms:created>
  <dcterms:modified xsi:type="dcterms:W3CDTF">2026-07-03T09:17:37Z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