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art-iv-application-and-deployment"/>
    <w:p>
      <w:pPr>
        <w:pStyle w:val="Heading1"/>
      </w:pPr>
      <w:r>
        <w:t xml:space="preserve">Part IV — Application and Deployment</w:t>
      </w:r>
    </w:p>
    <w:bookmarkEnd w:id="20"/>
    <w:bookmarkStart w:id="35" w:name="X3b4c5c72906091125639c59fc84641546773c5b"/>
    <w:p>
      <w:pPr>
        <w:pStyle w:val="Heading1"/>
      </w:pPr>
      <w:r>
        <w:t xml:space="preserve">Case Study — Solar Asset Identity Pilot Architecture</w:t>
      </w:r>
    </w:p>
    <w:bookmarkStart w:id="21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Everything so far has been architecture in the abstract. This chapter assembles it</w:t>
      </w:r>
      <w:r>
        <w:t xml:space="preserve"> </w:t>
      </w:r>
      <w:r>
        <w:t xml:space="preserve">into one concrete system: a</w:t>
      </w:r>
      <w:r>
        <w:t xml:space="preserve"> </w:t>
      </w:r>
      <w:r>
        <w:rPr>
          <w:bCs/>
          <w:b/>
        </w:rPr>
        <w:t xml:space="preserve">composite design walkthrough</w:t>
      </w:r>
      <w:r>
        <w:t xml:space="preserve"> </w:t>
      </w:r>
      <w:r>
        <w:t xml:space="preserve">of a 50 MW</w:t>
      </w:r>
      <w:r>
        <w:t xml:space="preserve"> </w:t>
      </w:r>
      <w:r>
        <w:t xml:space="preserve">single-axis-tracking plant, synthesized from the research program in which the</w:t>
      </w:r>
      <w:r>
        <w:t xml:space="preserve"> </w:t>
      </w:r>
      <w:r>
        <w:t xml:space="preserve">defect-mapping work of Chapter 6 was developed and from published industry</w:t>
      </w:r>
      <w:r>
        <w:t xml:space="preserve"> </w:t>
      </w:r>
      <w:r>
        <w:t xml:space="preserve">practice on comparable deployments.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field report of one named</w:t>
      </w:r>
      <w:r>
        <w:t xml:space="preserve"> </w:t>
      </w:r>
      <w:r>
        <w:t xml:space="preserve">commercial project. Metrics labeled</w:t>
      </w:r>
      <w:r>
        <w:t xml:space="preserve"> </w:t>
      </w:r>
      <w:r>
        <w:rPr>
          <w:iCs/>
          <w:i/>
        </w:rPr>
        <w:t xml:space="preserve">illustrative</w:t>
      </w:r>
      <w:r>
        <w:t xml:space="preserve"> </w:t>
      </w:r>
      <w:r>
        <w:t xml:space="preserve">are engineering estimates</w:t>
      </w:r>
      <w:r>
        <w:t xml:space="preserve"> </w:t>
      </w:r>
      <w:r>
        <w:t xml:space="preserve">calibrated to the architecture’s models (Chapters 6–7, 13); metrics labeled</w:t>
      </w:r>
      <w:r>
        <w:t xml:space="preserve"> </w:t>
      </w:r>
      <w:r>
        <w:rPr>
          <w:iCs/>
          <w:i/>
        </w:rPr>
        <w:t xml:space="preserve">archetype actual</w:t>
      </w:r>
      <w:r>
        <w:t xml:space="preserve"> </w:t>
      </w:r>
      <w:r>
        <w:t xml:space="preserve">are drawn from anonymized program records the author has</w:t>
      </w:r>
      <w:r>
        <w:t xml:space="preserve"> </w:t>
      </w:r>
      <w:r>
        <w:t xml:space="preserve">permission to cite once publication clearances are complete (see this chapter’s</w:t>
      </w:r>
      <w:r>
        <w:t xml:space="preserve"> </w:t>
      </w:r>
      <w:r>
        <w:t xml:space="preserve">references). The presentation is at the level an implementing engineer needs —</w:t>
      </w:r>
      <w:r>
        <w:t xml:space="preserve"> </w:t>
      </w:r>
      <w:r>
        <w:t xml:space="preserve">build phases and their true proportions, system diagram, participant layout, data</w:t>
      </w:r>
      <w:r>
        <w:t xml:space="preserve"> </w:t>
      </w:r>
      <w:r>
        <w:t xml:space="preserve">flows for five representative scenarios, smart-contract logic in walkthrough form</w:t>
      </w:r>
      <w:r>
        <w:t xml:space="preserve"> </w:t>
      </w:r>
      <w:r>
        <w:t xml:space="preserve">(full listings in Appendix A), results with caveats attached, and what an honest</w:t>
      </w:r>
      <w:r>
        <w:t xml:space="preserve"> </w:t>
      </w:r>
      <w:r>
        <w:t xml:space="preserve">case study should preserve: what went wrong, what was redesigned, which problems</w:t>
      </w:r>
      <w:r>
        <w:t xml:space="preserve"> </w:t>
      </w:r>
      <w:r>
        <w:t xml:space="preserve">remain open, and what a successor program would do differently. Where a parameter</w:t>
      </w:r>
      <w:r>
        <w:t xml:space="preserve"> </w:t>
      </w:r>
      <w:r>
        <w:t xml:space="preserve">is site- or program-specific I say so; the intent is that the chapter functions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replicable design template</w:t>
      </w:r>
      <w:r>
        <w:t xml:space="preserve">, not a sales exhibit.</w:t>
      </w:r>
    </w:p>
    <w:bookmarkEnd w:id="21"/>
    <w:bookmarkStart w:id="23" w:name="pilot-scope-and-ground-rules"/>
    <w:p>
      <w:pPr>
        <w:pStyle w:val="Heading2"/>
      </w:pPr>
      <w:r>
        <w:t xml:space="preserve">11.1 Pilot Scope and Ground Rules</w:t>
      </w:r>
    </w:p>
    <w:p>
      <w:pPr>
        <w:pStyle w:val="FirstParagraph"/>
      </w:pPr>
      <w:r>
        <w:rPr>
          <w:bCs/>
          <w:b/>
        </w:rPr>
        <w:t xml:space="preserve">The plant.</w:t>
      </w:r>
      <w:r>
        <w:t xml:space="preserve"> </w:t>
      </w:r>
      <w:r>
        <w:t xml:space="preserve">50 MW(DC) single-axis tracking; ~126,000 bifacial modules of a</w:t>
      </w:r>
      <w:r>
        <w:t xml:space="preserve"> </w:t>
      </w:r>
      <w:r>
        <w:t xml:space="preserve">single OEM across two production lines; 340 string inverters; 1,260 tracker rows.</w:t>
      </w:r>
      <w:r>
        <w:t xml:space="preserve"> </w:t>
      </w:r>
      <w:r>
        <w:t xml:space="preserve">Chosen deliberately mid-scale: large enough that per-unit manual process fails</w:t>
      </w:r>
      <w:r>
        <w:t xml:space="preserve"> </w:t>
      </w:r>
      <w:r>
        <w:t xml:space="preserve">visibly, small enough that one EPC and one O&amp;M contractor cover the field side.</w:t>
      </w:r>
      <w:r>
        <w:t xml:space="preserve"> </w:t>
      </w:r>
      <w:r>
        <w:t xml:space="preserve">The single-OEM simplification is acknowledged as the design’s largest</w:t>
      </w:r>
      <w:r>
        <w:t xml:space="preserve"> </w:t>
      </w:r>
      <w:r>
        <w:t xml:space="preserve">departure from market reality — multi-vendor plants are the norm, and they</w:t>
      </w:r>
      <w:r>
        <w:t xml:space="preserve"> </w:t>
      </w:r>
      <w:r>
        <w:t xml:space="preserve">would have forced the cross-vendor template problem (Section 11.7,</w:t>
      </w:r>
      <w:r>
        <w:t xml:space="preserve"> </w:t>
      </w:r>
      <w:r>
        <w:t xml:space="preserve">problem 2) into the critical path rather than the research agenda. The</w:t>
      </w:r>
      <w:r>
        <w:t xml:space="preserve"> </w:t>
      </w:r>
      <w:r>
        <w:t xml:space="preserve">program chose to prove the vertical slice first and carry the</w:t>
      </w:r>
      <w:r>
        <w:t xml:space="preserve"> </w:t>
      </w:r>
      <w:r>
        <w:t xml:space="preserve">horizontal question forward; a successor program should invert that</w:t>
      </w:r>
      <w:r>
        <w:t xml:space="preserve"> </w:t>
      </w:r>
      <w:r>
        <w:t xml:space="preserve">choice.</w:t>
      </w:r>
    </w:p>
    <w:p>
      <w:pPr>
        <w:pStyle w:val="BodyText"/>
      </w:pPr>
      <w:r>
        <w:rPr>
          <w:bCs/>
          <w:b/>
        </w:rPr>
        <w:t xml:space="preserve">The participants and their nodes.</w:t>
      </w:r>
      <w:r>
        <w:t xml:space="preserve"> </w:t>
      </w:r>
      <w:r>
        <w:t xml:space="preserve">Eight consortium members at pilot stage —</w:t>
      </w:r>
      <w:r>
        <w:t xml:space="preserve"> </w:t>
      </w:r>
      <w:r>
        <w:t xml:space="preserve">module OEM, inverter OEM, EPC, owner (an infrastructure fund), O&amp;M contractor,</w:t>
      </w:r>
      <w:r>
        <w:t xml:space="preserve"> </w:t>
      </w:r>
      <w:r>
        <w:t xml:space="preserve">insurer, an independent engineering/certification firm, and a university lab</w:t>
      </w:r>
      <w:r>
        <w:t xml:space="preserve"> </w:t>
      </w:r>
      <w:r>
        <w:t xml:space="preserve">operating the Tier-3 reference instruments (Section 6.7). Eight validators is</w:t>
      </w:r>
      <w:r>
        <w:t xml:space="preserve"> </w:t>
      </w:r>
      <w:r>
        <w:t xml:space="preserve">below Section 7.5’s target range; the consortium agreement (Section 11.6)</w:t>
      </w:r>
      <w:r>
        <w:t xml:space="preserve"> </w:t>
      </w:r>
      <w:r>
        <w:t xml:space="preserve">provides for expansion to 12–16 with the second plant, and the pilot accepts the</w:t>
      </w:r>
      <w:r>
        <w:t xml:space="preserve"> </w:t>
      </w:r>
      <w:r>
        <w:t xml:space="preserve">weaker (f = 2) fault bound as a documented, temporary risk.</w:t>
      </w:r>
    </w:p>
    <w:p>
      <w:pPr>
        <w:pStyle w:val="BodyText"/>
      </w:pPr>
      <w:r>
        <w:t xml:space="preserve">The role assignments follow Part II’s logic deliberately: both OEMs hold</w:t>
      </w:r>
      <w:r>
        <w:t xml:space="preserve"> </w:t>
      </w:r>
      <w:r>
        <w:t xml:space="preserve">registrar accreditations for their own products; the certifier and</w:t>
      </w:r>
      <w:r>
        <w:t xml:space="preserve"> </w:t>
      </w:r>
      <w:r>
        <w:t xml:space="preserve">university carry the accreditation-committee load precisely because they</w:t>
      </w:r>
      <w:r>
        <w:t xml:space="preserve"> </w:t>
      </w:r>
      <w:r>
        <w:t xml:space="preserve">sell nothing into the plant; and the O&amp;M contractor — the party lesson 3</w:t>
      </w:r>
      <w:r>
        <w:t xml:space="preserve"> </w:t>
      </w:r>
      <w:r>
        <w:t xml:space="preserve">will feature — was given a technical-committee seat at the owner’s</w:t>
      </w:r>
      <w:r>
        <w:t xml:space="preserve"> </w:t>
      </w:r>
      <w:r>
        <w:t xml:space="preserve">insistence, over objections the S2 episode retroactively settled in the</w:t>
      </w:r>
      <w:r>
        <w:t xml:space="preserve"> </w:t>
      </w:r>
      <w:r>
        <w:t xml:space="preserve">owner’s favor. Recruitment order mattered and is reported for successors. The insurer</w:t>
      </w:r>
      <w:r>
        <w:t xml:space="preserve"> </w:t>
      </w:r>
      <w:r>
        <w:t xml:space="preserve">signed first — Chapter 13’s incidence analysis predicts exactly this, and</w:t>
      </w:r>
      <w:r>
        <w:t xml:space="preserve"> </w:t>
      </w:r>
      <w:r>
        <w:t xml:space="preserve">its early commitment converted two hesitant parties (the owner, whose fund</w:t>
      </w:r>
      <w:r>
        <w:t xml:space="preserve"> </w:t>
      </w:r>
      <w:r>
        <w:t xml:space="preserve">wanted the diligence-cost story validated by the party who would pay it,</w:t>
      </w:r>
      <w:r>
        <w:t xml:space="preserve"> </w:t>
      </w:r>
      <w:r>
        <w:t xml:space="preserve">and the OEM, for whom the insurer’s participation reframed enrollment</w:t>
      </w:r>
      <w:r>
        <w:t xml:space="preserve"> </w:t>
      </w:r>
      <w:r>
        <w:t xml:space="preserve">from compliance cost to product feature). The EPC signed last and under</w:t>
      </w:r>
      <w:r>
        <w:t xml:space="preserve"> </w:t>
      </w:r>
      <w:r>
        <w:t xml:space="preserve">commercial persuasion (a preferred-bidder consideration on the owner’s</w:t>
      </w:r>
      <w:r>
        <w:t xml:space="preserve"> </w:t>
      </w:r>
      <w:r>
        <w:t xml:space="preserve">next project), which foreshadowed the S2 friction: the party with the</w:t>
      </w:r>
      <w:r>
        <w:t xml:space="preserve"> </w:t>
      </w:r>
      <w:r>
        <w:t xml:space="preserve">least to gain from evidence is the party whose workflows generate the</w:t>
      </w:r>
      <w:r>
        <w:t xml:space="preserve"> </w:t>
      </w:r>
      <w:r>
        <w:t xml:space="preserve">most of it, and successors should price that asymmetry into their</w:t>
      </w:r>
      <w:r>
        <w:t xml:space="preserve"> </w:t>
      </w:r>
      <w:r>
        <w:t xml:space="preserve">recruitment rather than discovering it in week three of commissioning.</w:t>
      </w:r>
      <w:r>
        <w:t xml:space="preserve"> </w:t>
      </w:r>
      <w:r>
        <w:t xml:space="preserve">Each member’s motivations were documented in the program charter — a</w:t>
      </w:r>
      <w:r>
        <w:t xml:space="preserve"> </w:t>
      </w:r>
      <w:r>
        <w:t xml:space="preserve">practice recommended without reservation, since half of governance is</w:t>
      </w:r>
      <w:r>
        <w:t xml:space="preserve"> </w:t>
      </w:r>
      <w:r>
        <w:t xml:space="preserve">remembering why everyone came.</w:t>
      </w:r>
    </w:p>
    <w:p>
      <w:pPr>
        <w:pStyle w:val="BodyText"/>
      </w:pPr>
      <w:r>
        <w:rPr>
          <w:bCs/>
          <w:b/>
        </w:rPr>
        <w:t xml:space="preserve">Tiering decisions.</w:t>
      </w:r>
      <w:r>
        <w:t xml:space="preserve"> </w:t>
      </w:r>
      <w:r>
        <w:t xml:space="preserve">Tier 0 enrollment (factory EL + flash VC) for all 126,000</w:t>
      </w:r>
      <w:r>
        <w:t xml:space="preserve"> </w:t>
      </w:r>
      <w:r>
        <w:t xml:space="preserve">modules; magnetometric (Tier 2) enrollment for a 5% stratified sample</w:t>
      </w:r>
      <w:r>
        <w:t xml:space="preserve"> </w:t>
      </w:r>
      <w:r>
        <w:t xml:space="preserve">(6,300 modules) plus both production lines’ first-article sets — sized to give</w:t>
      </w:r>
      <w:r>
        <w:t xml:space="preserve"> </w:t>
      </w:r>
      <w:r>
        <w:t xml:space="preserve">population-level statistics for the R2 stability study (Section 6.8) while</w:t>
      </w:r>
      <w:r>
        <w:t xml:space="preserve"> </w:t>
      </w:r>
      <w:r>
        <w:t xml:space="preserve">bounding instrument time on a production-paced line; active binding (secure</w:t>
      </w:r>
      <w:r>
        <w:t xml:space="preserve"> </w:t>
      </w:r>
      <w:r>
        <w:t xml:space="preserve">elements) in all 340 inverters, whose vendor shipped ML-DSA-capable elements —</w:t>
      </w:r>
      <w:r>
        <w:t xml:space="preserve"> </w:t>
      </w:r>
      <w:r>
        <w:t xml:space="preserve">the hybrid-signing regime of Section 9.3 applied from day one. The 5%</w:t>
      </w:r>
      <w:r>
        <w:t xml:space="preserve"> </w:t>
      </w:r>
      <w:r>
        <w:t xml:space="preserve">figure was the resolution of a genuine argument: the research side wanted</w:t>
      </w:r>
      <w:r>
        <w:t xml:space="preserve"> </w:t>
      </w:r>
      <w:r>
        <w:t xml:space="preserve">20% for statistical power, the factory wanted 1% for line impact, and the</w:t>
      </w:r>
      <w:r>
        <w:t xml:space="preserve"> </w:t>
      </w:r>
      <w:r>
        <w:t xml:space="preserve">compromise was set by the defect-map station’s throughput (one unit per</w:t>
      </w:r>
      <w:r>
        <w:t xml:space="preserve"> </w:t>
      </w:r>
      <w:r>
        <w:t xml:space="preserve">four minutes against a 25-second takt) — an instance of Section 6.2’s</w:t>
      </w:r>
      <w:r>
        <w:t xml:space="preserve"> </w:t>
      </w:r>
      <w:r>
        <w:t xml:space="preserve">maturity honesty pricing itself into a real program, and a number that</w:t>
      </w:r>
      <w:r>
        <w:t xml:space="preserve"> </w:t>
      </w:r>
      <w:r>
        <w:t xml:space="preserve">successors with faster instruments should revisit upward.</w:t>
      </w:r>
    </w:p>
    <w:p>
      <w:pPr>
        <w:pStyle w:val="BodyText"/>
      </w:pPr>
      <w:r>
        <w:rPr>
          <w:bCs/>
          <w:b/>
        </w:rPr>
        <w:t xml:space="preserve">Ground rules for the account.</w:t>
      </w:r>
      <w:r>
        <w:t xml:space="preserve"> </w:t>
      </w:r>
      <w:r>
        <w:t xml:space="preserve">Four disciplines govern how the walkthrough is</w:t>
      </w:r>
      <w:r>
        <w:t xml:space="preserve"> </w:t>
      </w:r>
      <w:r>
        <w:t xml:space="preserve">reported here.</w:t>
      </w:r>
      <w:r>
        <w:t xml:space="preserve"> </w:t>
      </w:r>
      <w:r>
        <w:rPr>
          <w:bCs/>
          <w:b/>
        </w:rPr>
        <w:t xml:space="preserve">(1) Evidentiary class:</w:t>
      </w:r>
      <w:r>
        <w:t xml:space="preserve"> </w:t>
      </w:r>
      <w:r>
        <w:t xml:space="preserve">every number is tagged</w:t>
      </w:r>
      <w:r>
        <w:t xml:space="preserve"> </w:t>
      </w:r>
      <w:r>
        <w:rPr>
          <w:iCs/>
          <w:i/>
        </w:rPr>
        <w:t xml:space="preserve">illustrative</w:t>
      </w:r>
      <w:r>
        <w:t xml:space="preserve"> </w:t>
      </w:r>
      <w:r>
        <w:t xml:space="preserve">(engineering estimate from the architecture’s models),</w:t>
      </w:r>
      <w:r>
        <w:t xml:space="preserve"> </w:t>
      </w:r>
      <w:r>
        <w:rPr>
          <w:iCs/>
          <w:i/>
        </w:rPr>
        <w:t xml:space="preserve">archetype actual</w:t>
      </w:r>
      <w:r>
        <w:t xml:space="preserve"> </w:t>
      </w:r>
      <w:r>
        <w:t xml:space="preserve">(anonymized program datum, pending formal citation), or</w:t>
      </w:r>
      <w:r>
        <w:t xml:space="preserve"> </w:t>
      </w:r>
      <w:r>
        <w:rPr>
          <w:iCs/>
          <w:i/>
        </w:rPr>
        <w:t xml:space="preserve">sector baseline</w:t>
      </w:r>
      <w:r>
        <w:t xml:space="preserve"> </w:t>
      </w:r>
      <w:r>
        <w:t xml:space="preserve">(published industry or insurer practice).</w:t>
      </w:r>
      <w:r>
        <w:t xml:space="preserve"> </w:t>
      </w:r>
      <w:r>
        <w:rPr>
          <w:bCs/>
          <w:b/>
        </w:rPr>
        <w:t xml:space="preserve">(2) Composite narrative:</w:t>
      </w:r>
      <w:r>
        <w:t xml:space="preserve"> </w:t>
      </w:r>
      <w:r>
        <w:t xml:space="preserve">scenarios</w:t>
      </w:r>
      <w:r>
        <w:t xml:space="preserve"> </w:t>
      </w:r>
      <w:r>
        <w:t xml:space="preserve">S1–S5 are representative of events observed across research and industry</w:t>
      </w:r>
      <w:r>
        <w:t xml:space="preserve"> </w:t>
      </w:r>
      <w:r>
        <w:t xml:space="preserve">programs; they are not presented as a single chronological audit log unless</w:t>
      </w:r>
      <w:r>
        <w:t xml:space="preserve"> </w:t>
      </w:r>
      <w:r>
        <w:t xml:space="preserve">explicitly labeled.</w:t>
      </w:r>
      <w:r>
        <w:t xml:space="preserve"> </w:t>
      </w:r>
      <w:r>
        <w:rPr>
          <w:bCs/>
          <w:b/>
        </w:rPr>
        <w:t xml:space="preserve">(3) Failures are reported with their costs</w:t>
      </w:r>
      <w:r>
        <w:t xml:space="preserve">, because a case</w:t>
      </w:r>
      <w:r>
        <w:t xml:space="preserve"> </w:t>
      </w:r>
      <w:r>
        <w:t xml:space="preserve">study’s negative results are its most transferable content.</w:t>
      </w:r>
      <w:r>
        <w:t xml:space="preserve"> </w:t>
      </w:r>
      <w:r>
        <w:rPr>
          <w:bCs/>
          <w:b/>
        </w:rPr>
        <w:t xml:space="preserve">(4) Generalization</w:t>
      </w:r>
      <w:r>
        <w:rPr>
          <w:bCs/>
          <w:b/>
        </w:rPr>
        <w:t xml:space="preserve"> </w:t>
      </w:r>
      <w:r>
        <w:rPr>
          <w:bCs/>
          <w:b/>
        </w:rPr>
        <w:t xml:space="preserve">limits</w:t>
      </w:r>
      <w:r>
        <w:t xml:space="preserve"> </w:t>
      </w:r>
      <w:r>
        <w:t xml:space="preserve">— one OEM, one climate, one regulatory context — are flagged wherever</w:t>
      </w:r>
      <w:r>
        <w:t xml:space="preserve"> </w:t>
      </w:r>
      <w:r>
        <w:t xml:space="preserve">they bind, with Chapter 12 carrying the generalization burden this walkthrough</w:t>
      </w:r>
      <w:r>
        <w:t xml:space="preserve"> </w:t>
      </w:r>
      <w:r>
        <w:t xml:space="preserve">cannot. Program identities are withheld pending sponsors’ publication clearances;</w:t>
      </w:r>
      <w:r>
        <w:t xml:space="preserve"> </w:t>
      </w:r>
      <w:r>
        <w:t xml:space="preserve">formal technical-report citations appear in this chapter’s references as</w:t>
      </w:r>
      <w:r>
        <w:t xml:space="preserve"> </w:t>
      </w:r>
      <w:r>
        <w:t xml:space="preserve">[PROGRAM TECHNICAL REPORTS — TO BE SUPPLIED AT PRESS TIME].</w:t>
      </w:r>
    </w:p>
    <w:bookmarkStart w:id="22" w:name="the-build-phase-by-phase"/>
    <w:p>
      <w:pPr>
        <w:pStyle w:val="Heading3"/>
      </w:pPr>
      <w:r>
        <w:t xml:space="preserve">11.1.1 The Build, Phase by Phase</w:t>
      </w:r>
    </w:p>
    <w:p>
      <w:pPr>
        <w:pStyle w:val="FirstParagraph"/>
      </w:pPr>
      <w:r>
        <w:t xml:space="preserve">The program ran in five overlapping phases, and the calendar is itself a</w:t>
      </w:r>
      <w:r>
        <w:t xml:space="preserve"> </w:t>
      </w:r>
      <w:r>
        <w:t xml:space="preserve">finding — where the time actually went contradicts where the industry</w:t>
      </w:r>
      <w:r>
        <w:t xml:space="preserve"> </w:t>
      </w:r>
      <w:r>
        <w:t xml:space="preserve">assumes it goes.</w:t>
      </w:r>
    </w:p>
    <w:p>
      <w:pPr>
        <w:pStyle w:val="BodyText"/>
      </w:pPr>
      <w:r>
        <w:rPr>
          <w:iCs/>
          <w:i/>
        </w:rPr>
        <w:t xml:space="preserve">Phase 0 — Constitution (four months).</w:t>
      </w:r>
      <w:r>
        <w:t xml:space="preserve"> </w:t>
      </w:r>
      <w:r>
        <w:t xml:space="preserve">The consortium agreement (the</w:t>
      </w:r>
      <w:r>
        <w:t xml:space="preserve"> </w:t>
      </w:r>
      <w:r>
        <w:t xml:space="preserve">Section 10.5 checklist, negotiated to signature), accreditation criteria,</w:t>
      </w:r>
      <w:r>
        <w:t xml:space="preserve"> </w:t>
      </w:r>
      <w:r>
        <w:t xml:space="preserve">custody contracts, and fee schedule. Longest-feeling phase, entirely</w:t>
      </w:r>
      <w:r>
        <w:t xml:space="preserve"> </w:t>
      </w:r>
      <w:r>
        <w:t xml:space="preserve">lawyers and committees, and in retrospect under-resourced: two governance</w:t>
      </w:r>
      <w:r>
        <w:t xml:space="preserve"> </w:t>
      </w:r>
      <w:r>
        <w:t xml:space="preserve">questions deferred here (the co-signing window, the sub-tier work-order</w:t>
      </w:r>
      <w:r>
        <w:t xml:space="preserve"> </w:t>
      </w:r>
      <w:r>
        <w:t xml:space="preserve">integration) returned as the year’s two operational incidents. The</w:t>
      </w:r>
      <w:r>
        <w:t xml:space="preserve"> </w:t>
      </w:r>
      <w:r>
        <w:t xml:space="preserve">phase’s one unqualified success was sequencing the agreement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technology procurement — every vendor conversation thereafter happened</w:t>
      </w:r>
      <w:r>
        <w:t xml:space="preserve"> </w:t>
      </w:r>
      <w:r>
        <w:t xml:space="preserve">against decided requirements rather than shaping them, an ordering the</w:t>
      </w:r>
      <w:r>
        <w:t xml:space="preserve"> </w:t>
      </w:r>
      <w:r>
        <w:t xml:space="preserve">first-wave consortium histories of Section 1.5 recommend by counterexample.</w:t>
      </w:r>
    </w:p>
    <w:p>
      <w:pPr>
        <w:pStyle w:val="BodyText"/>
      </w:pPr>
      <w:r>
        <w:rPr>
          <w:iCs/>
          <w:i/>
        </w:rPr>
        <w:t xml:space="preserve">Phase 1 — Factory integration (three months, overlapping).</w:t>
      </w:r>
      <w:r>
        <w:t xml:space="preserve"> </w:t>
      </w:r>
      <w:r>
        <w:t xml:space="preserve">Registrar</w:t>
      </w:r>
      <w:r>
        <w:t xml:space="preserve"> </w:t>
      </w:r>
      <w:r>
        <w:t xml:space="preserve">agent development against the OEM’s manufacturing-execution system,</w:t>
      </w:r>
      <w:r>
        <w:t xml:space="preserve"> </w:t>
      </w:r>
      <w:r>
        <w:t xml:space="preserve">secure-element retrofit boards for the existing EL and flash stations,</w:t>
      </w:r>
      <w:r>
        <w:t xml:space="preserve"> </w:t>
      </w:r>
      <w:r>
        <w:t xml:space="preserve">HSM ceremonies, and the enrollment exception paths of Section 4.3.1.</w:t>
      </w:r>
      <w:r>
        <w:t xml:space="preserve"> </w:t>
      </w:r>
      <w:r>
        <w:t xml:space="preserve">The integration consumed roughly four times the effort of the ledger</w:t>
      </w:r>
      <w:r>
        <w:t xml:space="preserve"> </w:t>
      </w:r>
      <w:r>
        <w:t xml:space="preserve">deployment itself — the ratio Section 7.6’s cost model warns about, here</w:t>
      </w:r>
      <w:r>
        <w:t xml:space="preserve"> </w:t>
      </w:r>
      <w:r>
        <w:t xml:space="preserve">measured — and its critical-path item was neither software nor silicon</w:t>
      </w:r>
      <w:r>
        <w:t xml:space="preserve"> </w:t>
      </w:r>
      <w:r>
        <w:t xml:space="preserve">but the factory’s own change-control process, which treats any</w:t>
      </w:r>
      <w:r>
        <w:t xml:space="preserve"> </w:t>
      </w:r>
      <w:r>
        <w:t xml:space="preserve">modification to a qualified production line with a conservatism the</w:t>
      </w:r>
      <w:r>
        <w:t xml:space="preserve"> </w:t>
      </w:r>
      <w:r>
        <w:t xml:space="preserve">program learned to schedule around rather than argue with.</w:t>
      </w:r>
    </w:p>
    <w:p>
      <w:pPr>
        <w:pStyle w:val="BodyText"/>
      </w:pPr>
      <w:r>
        <w:rPr>
          <w:iCs/>
          <w:i/>
        </w:rPr>
        <w:t xml:space="preserve">Phase 2 — Ledger and custody (six weeks).</w:t>
      </w:r>
      <w:r>
        <w:t xml:space="preserve"> </w:t>
      </w:r>
      <w:r>
        <w:t xml:space="preserve">Validator deployment across</w:t>
      </w:r>
      <w:r>
        <w:t xml:space="preserve"> </w:t>
      </w:r>
      <w:r>
        <w:t xml:space="preserve">the eight members, contract suite audit and deployment, anchoring agents</w:t>
      </w:r>
      <w:r>
        <w:t xml:space="preserve"> </w:t>
      </w:r>
      <w:r>
        <w:t xml:space="preserve">against two public chains, custody stores with retrievability challenges.</w:t>
      </w:r>
      <w:r>
        <w:t xml:space="preserve"> </w:t>
      </w:r>
      <w:r>
        <w:t xml:space="preserve">The shortest phase, as Chapter 7 predicted: consensus infrastructure at</w:t>
      </w:r>
      <w:r>
        <w:t xml:space="preserve"> </w:t>
      </w:r>
      <w:r>
        <w:t xml:space="preserve">these loads is genuinely small, and the phase’s only schedule event was</w:t>
      </w:r>
      <w:r>
        <w:t xml:space="preserve"> </w:t>
      </w:r>
      <w:r>
        <w:t xml:space="preserve">an HSM shipment stuck in customs — a sentence the program’s blockchain</w:t>
      </w:r>
      <w:r>
        <w:t xml:space="preserve"> </w:t>
      </w:r>
      <w:r>
        <w:t xml:space="preserve">skeptics have enjoyed ever since.</w:t>
      </w:r>
    </w:p>
    <w:p>
      <w:pPr>
        <w:pStyle w:val="BodyText"/>
      </w:pPr>
      <w:r>
        <w:rPr>
          <w:iCs/>
          <w:i/>
        </w:rPr>
        <w:t xml:space="preserve">Phase 3 — Field tooling (four months, overlapping construction).</w:t>
      </w:r>
      <w:r>
        <w:t xml:space="preserve"> </w:t>
      </w:r>
      <w:r>
        <w:t xml:space="preserve">Handheld verification kits, work-order system integration for the O&amp;M</w:t>
      </w:r>
      <w:r>
        <w:t xml:space="preserve"> </w:t>
      </w:r>
      <w:r>
        <w:t xml:space="preserve">prime, inverter commissioning self-attestation firmware, and drone</w:t>
      </w:r>
      <w:r>
        <w:t xml:space="preserve"> </w:t>
      </w:r>
      <w:r>
        <w:t xml:space="preserve">campaign tooling. The phase that generated the most schedule risk,</w:t>
      </w:r>
      <w:r>
        <w:t xml:space="preserve"> </w:t>
      </w:r>
      <w:r>
        <w:t xml:space="preserve">because it coupled to the EPC’s construction calendar, which no software</w:t>
      </w:r>
      <w:r>
        <w:t xml:space="preserve"> </w:t>
      </w:r>
      <w:r>
        <w:t xml:space="preserve">plan controls — the inverter firmware in particular shipped in the last</w:t>
      </w:r>
      <w:r>
        <w:t xml:space="preserve"> </w:t>
      </w:r>
      <w:r>
        <w:t xml:space="preserve">week it usefully could have, after a certification-lab queue the program</w:t>
      </w:r>
      <w:r>
        <w:t xml:space="preserve"> </w:t>
      </w:r>
      <w:r>
        <w:t xml:space="preserve">had not budgeted, and successors should book that lab slot at kickoff.</w:t>
      </w:r>
    </w:p>
    <w:p>
      <w:pPr>
        <w:pStyle w:val="BodyText"/>
      </w:pPr>
      <w:r>
        <w:rPr>
          <w:iCs/>
          <w:i/>
        </w:rPr>
        <w:t xml:space="preserve">Phase 4 — Operations and exercises (ongoing).</w:t>
      </w:r>
      <w:r>
        <w:t xml:space="preserve"> </w:t>
      </w:r>
      <w:r>
        <w:t xml:space="preserve">Commissioning at</w:t>
      </w:r>
      <w:r>
        <w:t xml:space="preserve"> </w:t>
      </w:r>
      <w:r>
        <w:t xml:space="preserve">construction pace, the verification and adjudication scenarios of</w:t>
      </w:r>
      <w:r>
        <w:t xml:space="preserve"> </w:t>
      </w:r>
      <w:r>
        <w:t xml:space="preserve">Section 11.3, the first governance year of Section 11.6, and the</w:t>
      </w:r>
      <w:r>
        <w:t xml:space="preserve"> </w:t>
      </w:r>
      <w:r>
        <w:t xml:space="preserve">disaster-recovery exercise of Section 7.7. Go-live was not an event but a</w:t>
      </w:r>
      <w:r>
        <w:t xml:space="preserve"> </w:t>
      </w:r>
      <w:r>
        <w:t xml:space="preserve">gradient: the first anchored registration preceded the last governance</w:t>
      </w:r>
      <w:r>
        <w:t xml:space="preserve"> </w:t>
      </w:r>
      <w:r>
        <w:t xml:space="preserve">signature by a month, which the program tolerated and a purist would not</w:t>
      </w:r>
      <w:r>
        <w:t xml:space="preserve"> </w:t>
      </w:r>
      <w:r>
        <w:t xml:space="preserve">have.</w:t>
      </w:r>
    </w:p>
    <w:p>
      <w:pPr>
        <w:pStyle w:val="BodyText"/>
      </w:pPr>
      <w:r>
        <w:t xml:space="preserve">The budget’s shape, in ratios rather than figures the program cannot</w:t>
      </w:r>
      <w:r>
        <w:t xml:space="preserve"> </w:t>
      </w:r>
      <w:r>
        <w:t xml:space="preserve">publish: integration engineering (Phases 1 and 3) took roughly half the</w:t>
      </w:r>
      <w:r>
        <w:t xml:space="preserve"> </w:t>
      </w:r>
      <w:r>
        <w:t xml:space="preserve">total; constitution, legal, and governance a fifth; instruments and</w:t>
      </w:r>
      <w:r>
        <w:t xml:space="preserve"> </w:t>
      </w:r>
      <w:r>
        <w:t xml:space="preserve">retrofit hardware a fifth; and the ledger, custody, and anchoring</w:t>
      </w:r>
      <w:r>
        <w:t xml:space="preserve"> </w:t>
      </w:r>
      <w:r>
        <w:t xml:space="preserve">infrastructure — the part the word</w:t>
      </w:r>
      <w:r>
        <w:t xml:space="preserve"> </w:t>
      </w:r>
      <w:r>
        <w:t xml:space="preserve">“</w:t>
      </w:r>
      <w:r>
        <w:t xml:space="preserve">blockchain</w:t>
      </w:r>
      <w:r>
        <w:t xml:space="preserve">”</w:t>
      </w:r>
      <w:r>
        <w:t xml:space="preserve"> </w:t>
      </w:r>
      <w:r>
        <w:t xml:space="preserve">evokes — under a tenth.</w:t>
      </w:r>
      <w:r>
        <w:t xml:space="preserve"> </w:t>
      </w:r>
      <w:r>
        <w:t xml:space="preserve">The ratios are the chapter’s most quotable finding for anyone budgeting a</w:t>
      </w:r>
      <w:r>
        <w:t xml:space="preserve"> </w:t>
      </w:r>
      <w:r>
        <w:t xml:space="preserve">successor, and they echo Section 7.6.1’s cost-model omissions almost</w:t>
      </w:r>
      <w:r>
        <w:t xml:space="preserve"> </w:t>
      </w:r>
      <w:r>
        <w:t xml:space="preserve">exactly: the architecture’s expensive parts are its edges, where it</w:t>
      </w:r>
      <w:r>
        <w:t xml:space="preserve"> </w:t>
      </w:r>
      <w:r>
        <w:t xml:space="preserve">touches factories, crews, and lawyers, not its center.</w:t>
      </w:r>
    </w:p>
    <w:p>
      <w:pPr>
        <w:pStyle w:val="BodyText"/>
      </w:pPr>
      <w:r>
        <w:t xml:space="preserve">Security practice ran alongside from Phase 2: the contract audits noted</w:t>
      </w:r>
      <w:r>
        <w:t xml:space="preserve"> </w:t>
      </w:r>
      <w:r>
        <w:t xml:space="preserve">above, a tabletop governance-capture exercise in the first quarter of</w:t>
      </w:r>
      <w:r>
        <w:t xml:space="preserve"> </w:t>
      </w:r>
      <w:r>
        <w:t xml:space="preserve">operations (Section 8.7’s cheap annual rehearsal — three findings, all</w:t>
      </w:r>
      <w:r>
        <w:t xml:space="preserve"> </w:t>
      </w:r>
      <w:r>
        <w:t xml:space="preserve">procedural), and a scoped physical red-team in month nine whose ringer</w:t>
      </w:r>
      <w:r>
        <w:t xml:space="preserve"> </w:t>
      </w:r>
      <w:r>
        <w:t xml:space="preserve">attempt against a mock verification produced the position-photograph</w:t>
      </w:r>
      <w:r>
        <w:t xml:space="preserve"> </w:t>
      </w:r>
      <w:r>
        <w:t xml:space="preserve">procedure now standard in Section 8.3. The program’s security spend</w:t>
      </w:r>
      <w:r>
        <w:t xml:space="preserve"> </w:t>
      </w:r>
      <w:r>
        <w:t xml:space="preserve">followed Chapter 8’s budget-allocation memo — heaviest at enrollment and</w:t>
      </w:r>
      <w:r>
        <w:t xml:space="preserve"> </w:t>
      </w:r>
      <w:r>
        <w:t xml:space="preserve">accreditation, lightest at consensus — and the year’s incident record</w:t>
      </w:r>
      <w:r>
        <w:t xml:space="preserve"> </w:t>
      </w:r>
      <w:r>
        <w:t xml:space="preserve">(zero ledger-layer events, every incident procedural) is consistent with</w:t>
      </w:r>
      <w:r>
        <w:t xml:space="preserve"> </w:t>
      </w:r>
      <w:r>
        <w:t xml:space="preserve">the allocation having been right.</w:t>
      </w:r>
    </w:p>
    <w:bookmarkEnd w:id="22"/>
    <w:bookmarkEnd w:id="23"/>
    <w:bookmarkStart w:id="25" w:name="system-architecture"/>
    <w:p>
      <w:pPr>
        <w:pStyle w:val="Heading2"/>
      </w:pPr>
      <w:r>
        <w:t xml:space="preserve">11.2 System Architecture</w:t>
      </w:r>
    </w:p>
    <w:p>
      <w:pPr>
        <w:pStyle w:val="FirstParagraph"/>
      </w:pPr>
      <w:r>
        <w:rPr>
          <w:bCs/>
          <w:b/>
        </w:rPr>
        <w:t xml:space="preserve">Figure 11.1</w:t>
      </w:r>
      <w:r>
        <w:t xml:space="preserve"> </w:t>
      </w:r>
      <w:r>
        <w:t xml:space="preserve">Pilot system diagram. Shaded components are the three zones of</w:t>
      </w:r>
      <w:r>
        <w:t xml:space="preserve"> </w:t>
      </w:r>
      <w:r>
        <w:t xml:space="preserve">Figure 10.1; arrows show the dominant data flows, quantified in</w:t>
      </w:r>
      <w:r>
        <w:t xml:space="preserve"> </w:t>
      </w:r>
      <w:r>
        <w:t xml:space="preserve">Section 11.2.1. Every organization hosts its own boxes on its own</w:t>
      </w:r>
      <w:r>
        <w:t xml:space="preserve"> </w:t>
      </w:r>
      <w:r>
        <w:t xml:space="preserve">infrastructure — the validator set spans four hosting arrangements and</w:t>
      </w:r>
      <w:r>
        <w:t xml:space="preserve"> </w:t>
      </w:r>
      <w:r>
        <w:t xml:space="preserve">three jurisdictions, per Section 4.7’s anti-correlation rule.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FACTORY [Factory - module OEM]</w:t>
      </w:r>
      <w:r>
        <w:br/>
      </w:r>
      <w:r>
        <w:rPr>
          <w:rStyle w:val="VerbatimChar"/>
        </w:rPr>
        <w:t xml:space="preserve">        ELI[In-line EL + flash&lt;br&gt;instrument DIDs] --&gt; RA[Registrar agent:&lt;br&gt;batching, Merkle roots]</w:t>
      </w:r>
      <w:r>
        <w:br/>
      </w:r>
      <w:r>
        <w:rPr>
          <w:rStyle w:val="VerbatimChar"/>
        </w:rPr>
        <w:t xml:space="preserve">        QDM[Tier-2 defect-map&lt;br&gt;station, sampled] --&gt; RA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FIELD [Site - EPC then O&amp;M]</w:t>
      </w:r>
      <w:r>
        <w:br/>
      </w:r>
      <w:r>
        <w:rPr>
          <w:rStyle w:val="VerbatimChar"/>
        </w:rPr>
        <w:t xml:space="preserve">        HH[Handheld verify kit:&lt;br&gt;EL spot + challenge app]</w:t>
      </w:r>
      <w:r>
        <w:br/>
      </w:r>
      <w:r>
        <w:rPr>
          <w:rStyle w:val="VerbatimChar"/>
        </w:rPr>
        <w:t xml:space="preserve">        INV[340 inverters:&lt;br&gt;secure-element DIDs,&lt;br&gt;self-attesting commissioning]</w:t>
      </w:r>
      <w:r>
        <w:br/>
      </w:r>
      <w:r>
        <w:rPr>
          <w:rStyle w:val="VerbatimChar"/>
        </w:rPr>
        <w:t xml:space="preserve">        DRONE[Drone IR / EL&lt;br&gt;campaign rigs]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CONS [Consortium zone - 8 validators]</w:t>
      </w:r>
      <w:r>
        <w:br/>
      </w:r>
      <w:r>
        <w:rPr>
          <w:rStyle w:val="VerbatimChar"/>
        </w:rPr>
        <w:t xml:space="preserve">        LED[(BFT ledger:&lt;br&gt;registry + lifecycle&lt;br&gt;contracts)]</w:t>
      </w:r>
      <w:r>
        <w:br/>
      </w:r>
      <w:r>
        <w:rPr>
          <w:rStyle w:val="VerbatimChar"/>
        </w:rPr>
        <w:t xml:space="preserve">        MON[Cohort monitor:&lt;br&gt;read-side analytics]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CTRL [Controlled zone]</w:t>
      </w:r>
      <w:r>
        <w:br/>
      </w:r>
      <w:r>
        <w:rPr>
          <w:rStyle w:val="VerbatimChar"/>
        </w:rPr>
        <w:t xml:space="preserve">        PAY[(Payload custody ×3:&lt;br&gt;owner, OEM, archival)]</w:t>
      </w:r>
      <w:r>
        <w:br/>
      </w:r>
      <w:r>
        <w:rPr>
          <w:rStyle w:val="VerbatimChar"/>
        </w:rPr>
        <w:t xml:space="preserve">        PREG[(Party registry:&lt;br&gt;role DIDs)]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PUBZ [Public zone]</w:t>
      </w:r>
      <w:r>
        <w:br/>
      </w:r>
      <w:r>
        <w:rPr>
          <w:rStyle w:val="VerbatimChar"/>
        </w:rPr>
        <w:t xml:space="preserve">        ANC1[Anchor chain A]</w:t>
      </w:r>
      <w:r>
        <w:br/>
      </w:r>
      <w:r>
        <w:rPr>
          <w:rStyle w:val="VerbatimChar"/>
        </w:rPr>
        <w:t xml:space="preserve">        ANC2[Anchor chain B]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RA --&gt; LED</w:t>
      </w:r>
      <w:r>
        <w:br/>
      </w:r>
      <w:r>
        <w:rPr>
          <w:rStyle w:val="VerbatimChar"/>
        </w:rPr>
        <w:t xml:space="preserve">    RA --&gt; PAY</w:t>
      </w:r>
      <w:r>
        <w:br/>
      </w:r>
      <w:r>
        <w:rPr>
          <w:rStyle w:val="VerbatimChar"/>
        </w:rPr>
        <w:t xml:space="preserve">    HH --&gt; LED</w:t>
      </w:r>
      <w:r>
        <w:br/>
      </w:r>
      <w:r>
        <w:rPr>
          <w:rStyle w:val="VerbatimChar"/>
        </w:rPr>
        <w:t xml:space="preserve">    INV --&gt; LED</w:t>
      </w:r>
      <w:r>
        <w:br/>
      </w:r>
      <w:r>
        <w:rPr>
          <w:rStyle w:val="VerbatimChar"/>
        </w:rPr>
        <w:t xml:space="preserve">    DRONE --&gt; PAY</w:t>
      </w:r>
      <w:r>
        <w:br/>
      </w:r>
      <w:r>
        <w:rPr>
          <w:rStyle w:val="VerbatimChar"/>
        </w:rPr>
        <w:t xml:space="preserve">    DRONE --&gt; LED</w:t>
      </w:r>
      <w:r>
        <w:br/>
      </w:r>
      <w:r>
        <w:rPr>
          <w:rStyle w:val="VerbatimChar"/>
        </w:rPr>
        <w:t xml:space="preserve">    LED --&gt; ANC1</w:t>
      </w:r>
      <w:r>
        <w:br/>
      </w:r>
      <w:r>
        <w:rPr>
          <w:rStyle w:val="VerbatimChar"/>
        </w:rPr>
        <w:t xml:space="preserve">    LED --&gt; ANC2</w:t>
      </w:r>
      <w:r>
        <w:br/>
      </w:r>
      <w:r>
        <w:rPr>
          <w:rStyle w:val="VerbatimChar"/>
        </w:rPr>
        <w:t xml:space="preserve">    MON --&gt; LED</w:t>
      </w:r>
      <w:r>
        <w:br/>
      </w:r>
      <w:r>
        <w:rPr>
          <w:rStyle w:val="VerbatimChar"/>
        </w:rPr>
        <w:t xml:space="preserve">    PREG -.-&gt; LED</w:t>
      </w:r>
      <w:r>
        <w:br/>
      </w:r>
      <w:r>
        <w:rPr>
          <w:rStyle w:val="VerbatimChar"/>
        </w:rPr>
        <w:t xml:space="preserve">    INS[Insurer / buyer&lt;br&gt;verification clients] --&gt; LED</w:t>
      </w:r>
      <w:r>
        <w:br/>
      </w:r>
      <w:r>
        <w:rPr>
          <w:rStyle w:val="VerbatimChar"/>
        </w:rPr>
        <w:t xml:space="preserve">    INS --&gt; ANC1</w:t>
      </w:r>
      <w:r>
        <w:br/>
      </w:r>
      <w:r>
        <w:rPr>
          <w:rStyle w:val="VerbatimChar"/>
        </w:rPr>
        <w:t xml:space="preserve">    INS -.authorized.-&gt; PAY</w:t>
      </w:r>
    </w:p>
    <w:bookmarkStart w:id="24" w:name="the-data-flows-in-numbers"/>
    <w:p>
      <w:pPr>
        <w:pStyle w:val="Heading3"/>
      </w:pPr>
      <w:r>
        <w:t xml:space="preserve">11.2.1 The Data Flows in Numbers</w:t>
      </w:r>
    </w:p>
    <w:p>
      <w:pPr>
        <w:pStyle w:val="FirstParagraph"/>
      </w:pPr>
      <w:r>
        <w:t xml:space="preserve">Figure 11.1’s arrows, quantified over the pilot year, because a diagram</w:t>
      </w:r>
      <w:r>
        <w:t xml:space="preserve"> </w:t>
      </w:r>
      <w:r>
        <w:t xml:space="preserve">with magnitudes is an architecture and without them a poster. Factory to</w:t>
      </w:r>
      <w:r>
        <w:t xml:space="preserve"> </w:t>
      </w:r>
      <w:r>
        <w:t xml:space="preserve">ledger: ~1,150 batch transactions committing 126,000 registrations and</w:t>
      </w:r>
      <w:r>
        <w:t xml:space="preserve"> </w:t>
      </w:r>
      <w:r>
        <w:t xml:space="preserve">their shipping events — kilobytes per shift, exactly as Chapter 7</w:t>
      </w:r>
      <w:r>
        <w:t xml:space="preserve"> </w:t>
      </w:r>
      <w:r>
        <w:t xml:space="preserve">modeled. Factory to custody: 9.4 TB of enrollment payloads (EL images</w:t>
      </w:r>
      <w:r>
        <w:t xml:space="preserve"> </w:t>
      </w:r>
      <w:r>
        <w:t xml:space="preserve">dominating; the 6,300 Tier-2 defect maps contributing 2.1 TB), written</w:t>
      </w:r>
      <w:r>
        <w:t xml:space="preserve"> </w:t>
      </w:r>
      <w:r>
        <w:t xml:space="preserve">three ways. Field to ledger: ~410,000 events across commissioning,</w:t>
      </w:r>
      <w:r>
        <w:t xml:space="preserve"> </w:t>
      </w:r>
      <w:r>
        <w:t xml:space="preserve">custody, maintenance, and inspection — the plant’s entire evidential year</w:t>
      </w:r>
      <w:r>
        <w:t xml:space="preserve"> </w:t>
      </w:r>
      <w:r>
        <w:t xml:space="preserve">fitting in under half a gigabyte of envelopes. Site to custody: 3.8 TB of</w:t>
      </w:r>
      <w:r>
        <w:t xml:space="preserve"> </w:t>
      </w:r>
      <w:r>
        <w:t xml:space="preserve">commissioning and campaign imagery. Anchor agents to public chains: 2,920</w:t>
      </w:r>
      <w:r>
        <w:t xml:space="preserve"> </w:t>
      </w:r>
      <w:r>
        <w:t xml:space="preserve">anchor transactions (four daily, two chains), total fees under USD 900 at</w:t>
      </w:r>
      <w:r>
        <w:t xml:space="preserve"> </w:t>
      </w:r>
      <w:r>
        <w:t xml:space="preserve">observed rates — the year’s cheapest line item, per lesson 4 its highest-</w:t>
      </w:r>
      <w:r>
        <w:t xml:space="preserve"> </w:t>
      </w:r>
      <w:r>
        <w:t xml:space="preserve">credibility one. Read side: the insurer’s client verified ~2.3 M</w:t>
      </w:r>
      <w:r>
        <w:t xml:space="preserve"> </w:t>
      </w:r>
      <w:r>
        <w:t xml:space="preserve">envelope-proof pairs (continuous Step-1 over its book); the mock-buyer</w:t>
      </w:r>
      <w:r>
        <w:t xml:space="preserve"> </w:t>
      </w:r>
      <w:r>
        <w:t xml:space="preserve">exercise added ~40,000; replica queries otherwise stayed in the low</w:t>
      </w:r>
      <w:r>
        <w:t xml:space="preserve"> </w:t>
      </w:r>
      <w:r>
        <w:t xml:space="preserve">millions, served from two read replicas whose combined load never</w:t>
      </w:r>
      <w:r>
        <w:t xml:space="preserve"> </w:t>
      </w:r>
      <w:r>
        <w:t xml:space="preserve">exceeded what one laptop could serve. Every number lands within the</w:t>
      </w:r>
      <w:r>
        <w:t xml:space="preserve"> </w:t>
      </w:r>
      <w:r>
        <w:t xml:space="preserve">Chapter 7 model’s error bars, which is the sentence this subsection</w:t>
      </w:r>
      <w:r>
        <w:t xml:space="preserve"> </w:t>
      </w:r>
      <w:r>
        <w:t xml:space="preserve">exists to earn.</w:t>
      </w:r>
    </w:p>
    <w:p>
      <w:pPr>
        <w:pStyle w:val="BodyText"/>
      </w:pPr>
      <w:r>
        <w:t xml:space="preserve">Platform notes, kept to one paragraph because Section 2.6 promised platform</w:t>
      </w:r>
      <w:r>
        <w:t xml:space="preserve"> </w:t>
      </w:r>
      <w:r>
        <w:t xml:space="preserve">neutrality: the pilot runs a permissioned BFT ledger (a Fabric-family stack was</w:t>
      </w:r>
      <w:r>
        <w:t xml:space="preserve"> </w:t>
      </w:r>
      <w:r>
        <w:t xml:space="preserve">selected for its mature channel and endorsement tooling; the schema and contracts</w:t>
      </w:r>
      <w:r>
        <w:t xml:space="preserve"> </w:t>
      </w:r>
      <w:r>
        <w:t xml:space="preserve">are written against the Chapter 5 envelope so that the platform is replaceable),</w:t>
      </w:r>
      <w:r>
        <w:t xml:space="preserve"> </w:t>
      </w:r>
      <w:r>
        <w:t xml:space="preserve">anchored four times daily to two unrelated public PoS chains. Payload custody is</w:t>
      </w:r>
      <w:r>
        <w:t xml:space="preserve"> </w:t>
      </w:r>
      <w:r>
        <w:t xml:space="preserve">object storage at three organizations under the proof-of-retrievability regime of</w:t>
      </w:r>
      <w:r>
        <w:t xml:space="preserve"> </w:t>
      </w:r>
      <w:r>
        <w:t xml:space="preserve">Section 4.2, challenged weekly. The cohort monitor is an ordinary analytics</w:t>
      </w:r>
      <w:r>
        <w:t xml:space="preserve"> </w:t>
      </w:r>
      <w:r>
        <w:t xml:space="preserve">service with</w:t>
      </w:r>
      <w:r>
        <w:t xml:space="preserve"> </w:t>
      </w:r>
      <w:r>
        <w:rPr>
          <w:iCs/>
          <w:i/>
        </w:rPr>
        <w:t xml:space="preserve">no write authority</w:t>
      </w:r>
      <w:r>
        <w:t xml:space="preserve"> </w:t>
      </w:r>
      <w:r>
        <w:t xml:space="preserve">— Section 5.5’s constitution-not-police</w:t>
      </w:r>
      <w:r>
        <w:t xml:space="preserve"> </w:t>
      </w:r>
      <w:r>
        <w:t xml:space="preserve">principle made operational.</w:t>
      </w:r>
    </w:p>
    <w:p>
      <w:pPr>
        <w:pStyle w:val="BodyText"/>
      </w:pPr>
      <w:r>
        <w:t xml:space="preserve">Three architecture decisions that Figure 11.1 renders as boxes deserve</w:t>
      </w:r>
      <w:r>
        <w:t xml:space="preserve"> </w:t>
      </w:r>
      <w:r>
        <w:t xml:space="preserve">their reasons as prose. The</w:t>
      </w:r>
      <w:r>
        <w:t xml:space="preserve"> </w:t>
      </w:r>
      <w:r>
        <w:rPr>
          <w:iCs/>
          <w:i/>
        </w:rPr>
        <w:t xml:space="preserve">handheld kits</w:t>
      </w:r>
      <w:r>
        <w:t xml:space="preserve"> </w:t>
      </w:r>
      <w:r>
        <w:t xml:space="preserve">are deliberately dual-mode:</w:t>
      </w:r>
      <w:r>
        <w:t xml:space="preserve"> </w:t>
      </w:r>
      <w:r>
        <w:t xml:space="preserve">online against read replicas when coverage allows, and offline against</w:t>
      </w:r>
      <w:r>
        <w:t xml:space="preserve"> </w:t>
      </w:r>
      <w:r>
        <w:t xml:space="preserve">cached header checkpoints and pre-loaded record bundles when it does not —</w:t>
      </w:r>
      <w:r>
        <w:t xml:space="preserve"> </w:t>
      </w:r>
      <w:r>
        <w:t xml:space="preserve">because the site’s cellular coverage map was, characteristically, worst</w:t>
      </w:r>
      <w:r>
        <w:t xml:space="preserve"> </w:t>
      </w:r>
      <w:r>
        <w:t xml:space="preserve">exactly where the racking was densest, and a verification tool that needs</w:t>
      </w:r>
      <w:r>
        <w:t xml:space="preserve"> </w:t>
      </w:r>
      <w:r>
        <w:t xml:space="preserve">bars is a tool crews abandon. The</w:t>
      </w:r>
      <w:r>
        <w:t xml:space="preserve"> </w:t>
      </w:r>
      <w:r>
        <w:rPr>
          <w:iCs/>
          <w:i/>
        </w:rPr>
        <w:t xml:space="preserve">insurer’s clients</w:t>
      </w:r>
      <w:r>
        <w:t xml:space="preserve"> </w:t>
      </w:r>
      <w:r>
        <w:t xml:space="preserve">run entirely outside</w:t>
      </w:r>
      <w:r>
        <w:t xml:space="preserve"> </w:t>
      </w:r>
      <w:r>
        <w:t xml:space="preserve">the consortium (Section 2.4’s read-permission design): the insurer chose,</w:t>
      </w:r>
      <w:r>
        <w:t xml:space="preserve"> </w:t>
      </w:r>
      <w:r>
        <w:t xml:space="preserve">deliberately and instructively, to consume public headers plus authorized</w:t>
      </w:r>
      <w:r>
        <w:t xml:space="preserve"> </w:t>
      </w:r>
      <w:r>
        <w:t xml:space="preserve">disclosures rather than take a validator seat in year one — its stated</w:t>
      </w:r>
      <w:r>
        <w:t xml:space="preserve"> </w:t>
      </w:r>
      <w:r>
        <w:t xml:space="preserve">reason being that reliance would be more persuasive to its own auditors</w:t>
      </w:r>
      <w:r>
        <w:t xml:space="preserve"> </w:t>
      </w:r>
      <w:r>
        <w:t xml:space="preserve">if it demonstrably required no operational entanglement. And the</w:t>
      </w:r>
      <w:r>
        <w:t xml:space="preserve"> </w:t>
      </w:r>
      <w:r>
        <w:rPr>
          <w:iCs/>
          <w:i/>
        </w:rPr>
        <w:t xml:space="preserve">university lab</w:t>
      </w:r>
      <w:r>
        <w:t xml:space="preserve"> </w:t>
      </w:r>
      <w:r>
        <w:t xml:space="preserve">holds the Tier-3 reference role with its instruments and</w:t>
      </w:r>
      <w:r>
        <w:t xml:space="preserve"> </w:t>
      </w:r>
      <w:r>
        <w:t xml:space="preserve">its independence — the metrological anchor of Section 6.7’s recursion —</w:t>
      </w:r>
      <w:r>
        <w:t xml:space="preserve"> </w:t>
      </w:r>
      <w:r>
        <w:t xml:space="preserve">plus, in practice, the informal role every deployment should staff: the</w:t>
      </w:r>
      <w:r>
        <w:t xml:space="preserve"> </w:t>
      </w:r>
      <w:r>
        <w:t xml:space="preserve">party whose only stake is that the measurements be right, and whose</w:t>
      </w:r>
      <w:r>
        <w:t xml:space="preserve"> </w:t>
      </w:r>
      <w:r>
        <w:t xml:space="preserve">presence in committee reliably lowered the temperature of commercial</w:t>
      </w:r>
      <w:r>
        <w:t xml:space="preserve"> </w:t>
      </w:r>
      <w:r>
        <w:t xml:space="preserve">arguments.</w:t>
      </w:r>
    </w:p>
    <w:bookmarkEnd w:id="24"/>
    <w:bookmarkEnd w:id="25"/>
    <w:bookmarkStart w:id="26" w:name="four-scenarios-walked-end-to-end"/>
    <w:p>
      <w:pPr>
        <w:pStyle w:val="Heading2"/>
      </w:pPr>
      <w:r>
        <w:t xml:space="preserve">11.3 Four Scenarios, Walked End to End</w:t>
      </w:r>
    </w:p>
    <w:p>
      <w:pPr>
        <w:pStyle w:val="FirstParagraph"/>
      </w:pPr>
      <w:r>
        <w:t xml:space="preserve">The four scenarios were chosen at program design as the value-bearing</w:t>
      </w:r>
      <w:r>
        <w:t xml:space="preserve"> </w:t>
      </w:r>
      <w:r>
        <w:t xml:space="preserve">paths the pilot existed to prove — one per stakeholder whose adoption</w:t>
      </w:r>
      <w:r>
        <w:t xml:space="preserve"> </w:t>
      </w:r>
      <w:r>
        <w:t xml:space="preserve">Chapter 13 identifies as decisive (factory, project delivery, insurance,</w:t>
      </w:r>
      <w:r>
        <w:t xml:space="preserve"> </w:t>
      </w:r>
      <w:r>
        <w:t xml:space="preserve">adjudication) — and instrumented from day one, which is why this section</w:t>
      </w:r>
      <w:r>
        <w:t xml:space="preserve"> </w:t>
      </w:r>
      <w:r>
        <w:t xml:space="preserve">can report numbers rather than impressions.</w:t>
      </w:r>
    </w:p>
    <w:p>
      <w:pPr>
        <w:pStyle w:val="BodyText"/>
      </w:pPr>
      <w:r>
        <w:rPr>
          <w:bCs/>
          <w:b/>
        </w:rPr>
        <w:t xml:space="preserve">S1 — Production day.</w:t>
      </w:r>
      <w:r>
        <w:t xml:space="preserve"> </w:t>
      </w:r>
      <w:r>
        <w:t xml:space="preserve">The scenario that had to be boring for the</w:t>
      </w:r>
      <w:r>
        <w:t xml:space="preserve"> </w:t>
      </w:r>
      <w:r>
        <w:t xml:space="preserve">program to survive, and was. Each line emits ~1,400 modules/shift. Per module: EL</w:t>
      </w:r>
      <w:r>
        <w:t xml:space="preserve"> </w:t>
      </w:r>
      <w:r>
        <w:t xml:space="preserve">capture and flash test in the existing QA cell (cycle cost of enrollment: the</w:t>
      </w:r>
      <w:r>
        <w:t xml:space="preserve"> </w:t>
      </w:r>
      <w:r>
        <w:t xml:space="preserve">template extraction, ~2 s of compute, zero added handling — the Section 4.3</w:t>
      </w:r>
      <w:r>
        <w:t xml:space="preserve"> </w:t>
      </w:r>
      <w:r>
        <w:t xml:space="preserve">economics realized); registrar agent accumulates envelopes, builds a 2,048-leaf</w:t>
      </w:r>
      <w:r>
        <w:t xml:space="preserve"> </w:t>
      </w:r>
      <w:r>
        <w:t xml:space="preserve">Merkle batch, writes the manifest to all three custody stores, then submits the</w:t>
      </w:r>
      <w:r>
        <w:t xml:space="preserve"> </w:t>
      </w:r>
      <w:r>
        <w:t xml:space="preserve">root (Section 7.2 verbatim). Tier-2 sampled units detour ~4 min to the defect-map</w:t>
      </w:r>
      <w:r>
        <w:t xml:space="preserve"> </w:t>
      </w:r>
      <w:r>
        <w:t xml:space="preserve">station — the one process change the factory noticed, absorbed by sampling rate.</w:t>
      </w:r>
      <w:r>
        <w:t xml:space="preserve"> </w:t>
      </w:r>
      <w:r>
        <w:t xml:space="preserve">Measured pilot figures: 3–4 batch transactions per shift per line; registration</w:t>
      </w:r>
      <w:r>
        <w:t xml:space="preserve"> </w:t>
      </w:r>
      <w:r>
        <w:t xml:space="preserve">lag (lamination to anchored DID) median 6.2 h, dominated by anchor cadence, which</w:t>
      </w:r>
      <w:r>
        <w:t xml:space="preserve"> </w:t>
      </w:r>
      <w:r>
        <w:t xml:space="preserve">is fine — nothing downstream consumes a DID faster than shipping does.</w:t>
      </w:r>
    </w:p>
    <w:p>
      <w:pPr>
        <w:pStyle w:val="BodyText"/>
      </w:pPr>
      <w:r>
        <w:t xml:space="preserve">The exception statistics tell the operational story the happy path hides.</w:t>
      </w:r>
      <w:r>
        <w:t xml:space="preserve"> </w:t>
      </w:r>
      <w:r>
        <w:t xml:space="preserve">Across the production campaign: 0.8% of units entered the rework loop and</w:t>
      </w:r>
      <w:r>
        <w:t xml:space="preserve"> </w:t>
      </w:r>
      <w:r>
        <w:t xml:space="preserve">were correctly re-enrolled under superseding events (Section 4.3.1’s</w:t>
      </w:r>
      <w:r>
        <w:t xml:space="preserve"> </w:t>
      </w:r>
      <w:r>
        <w:t xml:space="preserve">re-test path, exercised ~1,000 times without incident); 0.02% hit</w:t>
      </w:r>
      <w:r>
        <w:t xml:space="preserve"> </w:t>
      </w:r>
      <w:r>
        <w:t xml:space="preserve">label–structure mismatches at the station’s final check — all mis-fed</w:t>
      </w:r>
      <w:r>
        <w:t xml:space="preserve"> </w:t>
      </w:r>
      <w:r>
        <w:t xml:space="preserve">label stock, all quarantined automatically, none escaping; and one</w:t>
      </w:r>
      <w:r>
        <w:t xml:space="preserve"> </w:t>
      </w:r>
      <w:r>
        <w:t xml:space="preserve">instrument fault (a flash tester’s signing board failing mid-shift)</w:t>
      </w:r>
      <w:r>
        <w:t xml:space="preserve"> </w:t>
      </w:r>
      <w:r>
        <w:t xml:space="preserve">triggered the deferred-enrollment path for 212 units, which flowed to the</w:t>
      </w:r>
      <w:r>
        <w:t xml:space="preserve"> </w:t>
      </w:r>
      <w:r>
        <w:t xml:space="preserve">backup station within the shift. Two findings from the statistics</w:t>
      </w:r>
      <w:r>
        <w:t xml:space="preserve"> </w:t>
      </w:r>
      <w:r>
        <w:t xml:space="preserve">themselves: the rework-loop enrollment history turned out to be</w:t>
      </w:r>
      <w:r>
        <w:t xml:space="preserve"> </w:t>
      </w:r>
      <w:r>
        <w:rPr>
          <w:iCs/>
          <w:i/>
        </w:rPr>
        <w:t xml:space="preserve">wanted</w:t>
      </w:r>
      <w:r>
        <w:t xml:space="preserve"> </w:t>
      </w:r>
      <w:r>
        <w:t xml:space="preserve">by the OEM’s quality team as process telemetry they had never had per-unit</w:t>
      </w:r>
      <w:r>
        <w:t xml:space="preserve"> </w:t>
      </w:r>
      <w:r>
        <w:t xml:space="preserve">before (an unplanned benefit that eased the factory’s tolerance of the</w:t>
      </w:r>
      <w:r>
        <w:t xml:space="preserve"> </w:t>
      </w:r>
      <w:r>
        <w:t xml:space="preserve">whole program), and the exception rates stabilized within three weeks —</w:t>
      </w:r>
      <w:r>
        <w:t xml:space="preserve"> </w:t>
      </w:r>
      <w:r>
        <w:t xml:space="preserve">the workforce learning curve was short because, per the design intent,</w:t>
      </w:r>
      <w:r>
        <w:t xml:space="preserve"> </w:t>
      </w:r>
      <w:r>
        <w:t xml:space="preserve">almost nothing about the work changed.</w:t>
      </w:r>
    </w:p>
    <w:p>
      <w:pPr>
        <w:pStyle w:val="BodyText"/>
      </w:pPr>
      <w:r>
        <w:t xml:space="preserve">The logistics leg between S1 and S2 ran the dual-signed custody protocol</w:t>
      </w:r>
      <w:r>
        <w:t xml:space="preserve"> </w:t>
      </w:r>
      <w:r>
        <w:t xml:space="preserve">at container scale: 152 consignments, each a</w:t>
      </w:r>
      <w:r>
        <w:t xml:space="preserve"> </w:t>
      </w:r>
      <w:r>
        <w:rPr>
          <w:rStyle w:val="VerbatimChar"/>
        </w:rPr>
        <w:t xml:space="preserve">EVT_SHIP</w:t>
      </w:r>
      <w:r>
        <w:t xml:space="preserve"> </w:t>
      </w:r>
      <w:r>
        <w:t xml:space="preserve">plus custody</w:t>
      </w:r>
      <w:r>
        <w:t xml:space="preserve"> </w:t>
      </w:r>
      <w:r>
        <w:t xml:space="preserve">transfers at consolidation, port, and site laydown, with receiving</w:t>
      </w:r>
      <w:r>
        <w:t xml:space="preserve"> </w:t>
      </w:r>
      <w:r>
        <w:t xml:space="preserve">inspections sampling V1 checks per Section 3.6’s ladder. Yield: three</w:t>
      </w:r>
      <w:r>
        <w:t xml:space="preserve"> </w:t>
      </w:r>
      <w:r>
        <w:t xml:space="preserve">exception-noted receipts (two crushed pallet corners, one count</w:t>
      </w:r>
      <w:r>
        <w:t xml:space="preserve"> </w:t>
      </w:r>
      <w:r>
        <w:t xml:space="preserve">discrepancy resolved as a manifest error), each dual-attested at the dock</w:t>
      </w:r>
      <w:r>
        <w:t xml:space="preserve"> </w:t>
      </w:r>
      <w:r>
        <w:t xml:space="preserve">in the manner Section 5.3 designed — and, months later, the transport</w:t>
      </w:r>
      <w:r>
        <w:t xml:space="preserve"> </w:t>
      </w:r>
      <w:r>
        <w:t xml:space="preserve">insurer’s renewal quote for the owner’s next project cited the</w:t>
      </w:r>
      <w:r>
        <w:t xml:space="preserve"> </w:t>
      </w:r>
      <w:r>
        <w:t xml:space="preserve">consignment record quality explicitly, the first commercial pricing</w:t>
      </w:r>
      <w:r>
        <w:t xml:space="preserve"> </w:t>
      </w:r>
      <w:r>
        <w:t xml:space="preserve">signal the program observed in the wild.</w:t>
      </w:r>
    </w:p>
    <w:p>
      <w:pPr>
        <w:pStyle w:val="BodyText"/>
      </w:pPr>
      <w:r>
        <w:rPr>
          <w:bCs/>
          <w:b/>
        </w:rPr>
        <w:t xml:space="preserve">S2 — Commissioning.</w:t>
      </w:r>
      <w:r>
        <w:t xml:space="preserve"> </w:t>
      </w:r>
      <w:r>
        <w:t xml:space="preserve">The event that starts 126,000 warranty clocks. String-by-</w:t>
      </w:r>
      <w:r>
        <w:t xml:space="preserve"> </w:t>
      </w:r>
      <w:r>
        <w:t xml:space="preserve">string: EPC runs IV/insulation tests with instrument-DID’d testers; inverters</w:t>
      </w:r>
      <w:r>
        <w:t xml:space="preserve"> </w:t>
      </w:r>
      <w:r>
        <w:t xml:space="preserve">self-attest their commissioning readings under their secure-element identities</w:t>
      </w:r>
      <w:r>
        <w:t xml:space="preserve"> </w:t>
      </w:r>
      <w:r>
        <w:t xml:space="preserve">(active binding earning its keep — no transcription step); owner’s engineer</w:t>
      </w:r>
      <w:r>
        <w:t xml:space="preserve"> </w:t>
      </w:r>
      <w:r>
        <w:t xml:space="preserve">co-signs per Class C;</w:t>
      </w:r>
      <w:r>
        <w:t xml:space="preserve"> </w:t>
      </w:r>
      <w:r>
        <w:rPr>
          <w:rStyle w:val="VerbatimChar"/>
        </w:rPr>
        <w:t xml:space="preserve">EVT_COMMISSION</w:t>
      </w:r>
      <w:r>
        <w:t xml:space="preserve"> </w:t>
      </w:r>
      <w:r>
        <w:t xml:space="preserve">batches land per Figure 5.2’s enforcement.</w:t>
      </w:r>
      <w:r>
        <w:t xml:space="preserve"> </w:t>
      </w:r>
      <w:r>
        <w:t xml:space="preserve">The pilot’s first governance fight happened here and is reported honestly in</w:t>
      </w:r>
      <w:r>
        <w:t xml:space="preserve"> </w:t>
      </w:r>
      <w:r>
        <w:t xml:space="preserve">Section 11.5: the EPC’s schedule pressure collided with the corroboration</w:t>
      </w:r>
      <w:r>
        <w:t xml:space="preserve"> </w:t>
      </w:r>
      <w:r>
        <w:t xml:space="preserve">requirement, and the resolution — a 72-hour co-signing window with events valid</w:t>
      </w:r>
      <w:r>
        <w:t xml:space="preserve"> </w:t>
      </w:r>
      <w:r>
        <w:t xml:space="preserve">from claimed-time — is now the schema’s recommended default.</w:t>
      </w:r>
    </w:p>
    <w:p>
      <w:pPr>
        <w:pStyle w:val="BodyText"/>
      </w:pPr>
      <w:r>
        <w:t xml:space="preserve">The commissioning payload’s contents, since successors will copy them: per</w:t>
      </w:r>
      <w:r>
        <w:t xml:space="preserve"> </w:t>
      </w:r>
      <w:r>
        <w:t xml:space="preserve">string, the IV curve and insulation-resistance test payloads</w:t>
      </w:r>
      <w:r>
        <w:t xml:space="preserve"> </w:t>
      </w:r>
      <w:r>
        <w:t xml:space="preserve">(instrument-signed, grade I-A), torque-check confirmations (grade I-C,</w:t>
      </w:r>
      <w:r>
        <w:t xml:space="preserve"> </w:t>
      </w:r>
      <w:r>
        <w:t xml:space="preserve">operator-attested — the honest label for a wrench), the string’s position</w:t>
      </w:r>
      <w:r>
        <w:t xml:space="preserve"> </w:t>
      </w:r>
      <w:r>
        <w:t xml:space="preserve">map delta against the installation record, and the inverter’s</w:t>
      </w:r>
      <w:r>
        <w:t xml:space="preserve"> </w:t>
      </w:r>
      <w:r>
        <w:t xml:space="preserve">self-attested commissioning readings; per block, the grid-connection</w:t>
      </w:r>
      <w:r>
        <w:t xml:space="preserve"> </w:t>
      </w:r>
      <w:r>
        <w:t xml:space="preserve">references and protection-settings attestations the DSO interface of</w:t>
      </w:r>
      <w:r>
        <w:t xml:space="preserve"> </w:t>
      </w:r>
      <w:r>
        <w:t xml:space="preserve">Section 10.4 consumes. The whole payload set maps onto IEC 62446-1’s</w:t>
      </w:r>
      <w:r>
        <w:t xml:space="preserve"> </w:t>
      </w:r>
      <w:r>
        <w:t xml:space="preserve">documentation checklist per Table 5.5 — the commissioning engineer</w:t>
      </w:r>
      <w:r>
        <w:t xml:space="preserve"> </w:t>
      </w:r>
      <w:r>
        <w:t xml:space="preserve">recognized every artifact, which was the design’s intent and the reason</w:t>
      </w:r>
      <w:r>
        <w:t xml:space="preserve"> </w:t>
      </w:r>
      <w:r>
        <w:t xml:space="preserve">adoption survived the schedule fight.</w:t>
      </w:r>
    </w:p>
    <w:p>
      <w:pPr>
        <w:pStyle w:val="BodyText"/>
      </w:pPr>
      <w:r>
        <w:t xml:space="preserve">The fight deserves its blow-by-blow because every deployment will have it.</w:t>
      </w:r>
      <w:r>
        <w:t xml:space="preserve"> </w:t>
      </w:r>
      <w:r>
        <w:t xml:space="preserve">Week three of commissioning, the owner’s engineer — one person, covering</w:t>
      </w:r>
      <w:r>
        <w:t xml:space="preserve"> </w:t>
      </w:r>
      <w:r>
        <w:t xml:space="preserve">two other projects — fell four days behind the EPC’s string-completion</w:t>
      </w:r>
      <w:r>
        <w:t xml:space="preserve"> </w:t>
      </w:r>
      <w:r>
        <w:t xml:space="preserve">rate; the contract’s write-time Class C check rejected the EPC’s</w:t>
      </w:r>
      <w:r>
        <w:t xml:space="preserve"> </w:t>
      </w:r>
      <w:r>
        <w:t xml:space="preserve">submissions; the EPC, facing liquidated-damages exposure on the</w:t>
      </w:r>
      <w:r>
        <w:t xml:space="preserve"> </w:t>
      </w:r>
      <w:r>
        <w:t xml:space="preserve">interconnection milestone, demanded the corroboration requirement be</w:t>
      </w:r>
      <w:r>
        <w:t xml:space="preserve"> </w:t>
      </w:r>
      <w:r>
        <w:t xml:space="preserve">waived; the owner, correctly, refused to gut the warranty evidence its</w:t>
      </w:r>
      <w:r>
        <w:t xml:space="preserve"> </w:t>
      </w:r>
      <w:r>
        <w:t xml:space="preserve">fund’s investment committee had been sold on. The technical committee’s</w:t>
      </w:r>
      <w:r>
        <w:t xml:space="preserve"> </w:t>
      </w:r>
      <w:r>
        <w:t xml:space="preserve">resolution took nine days and one amendment: events accepted with the</w:t>
      </w:r>
      <w:r>
        <w:t xml:space="preserve"> </w:t>
      </w:r>
      <w:r>
        <w:t xml:space="preserve">engineer’s co-signature arriving up to 72 hours after the EPC’s</w:t>
      </w:r>
      <w:r>
        <w:t xml:space="preserve"> </w:t>
      </w:r>
      <w:r>
        <w:t xml:space="preserve">submission, valid from claimed time, with the</w:t>
      </w:r>
      <w:r>
        <w:t xml:space="preserve"> </w:t>
      </w:r>
      <w:r>
        <w:rPr>
          <w:iCs/>
          <w:i/>
        </w:rPr>
        <w:t xml:space="preserve">gap itself</w:t>
      </w:r>
      <w:r>
        <w:t xml:space="preserve"> </w:t>
      </w:r>
      <w:r>
        <w:t xml:space="preserve">recorded — so</w:t>
      </w:r>
      <w:r>
        <w:t xml:space="preserve"> </w:t>
      </w:r>
      <w:r>
        <w:t xml:space="preserve">schedule reality was accommodated, the corroboration survived, and a</w:t>
      </w:r>
      <w:r>
        <w:t xml:space="preserve"> </w:t>
      </w:r>
      <w:r>
        <w:t xml:space="preserve">co-signing lag statistic now exists that the monitor watches (a lag</w:t>
      </w:r>
      <w:r>
        <w:t xml:space="preserve"> </w:t>
      </w:r>
      <w:r>
        <w:t xml:space="preserve">trending toward its window is an early warning of exactly the resourcing</w:t>
      </w:r>
      <w:r>
        <w:t xml:space="preserve"> </w:t>
      </w:r>
      <w:r>
        <w:t xml:space="preserve">failure that caused the episode). The transferable lesson is not the</w:t>
      </w:r>
      <w:r>
        <w:t xml:space="preserve"> </w:t>
      </w:r>
      <w:r>
        <w:t xml:space="preserve">72-hour number but the method: when schedule and evidence collide, the</w:t>
      </w:r>
      <w:r>
        <w:t xml:space="preserve"> </w:t>
      </w:r>
      <w:r>
        <w:t xml:space="preserve">answer is asynchrony with the gap recorded, never waiver with the gap</w:t>
      </w:r>
      <w:r>
        <w:t xml:space="preserve"> </w:t>
      </w:r>
      <w:r>
        <w:t xml:space="preserve">hidden.</w:t>
      </w:r>
    </w:p>
    <w:p>
      <w:pPr>
        <w:pStyle w:val="BodyText"/>
      </w:pPr>
      <w:r>
        <w:rPr>
          <w:bCs/>
          <w:b/>
        </w:rPr>
        <w:t xml:space="preserve">S3 — The insurer’s annual verification.</w:t>
      </w:r>
      <w:r>
        <w:t xml:space="preserve"> </w:t>
      </w:r>
      <w:r>
        <w:t xml:space="preserve">The Chapter 6 workflow as a</w:t>
      </w:r>
      <w:r>
        <w:t xml:space="preserve"> </w:t>
      </w:r>
      <w:r>
        <w:t xml:space="preserve">subscription — and the scenario the insurer’s own board had made a</w:t>
      </w:r>
      <w:r>
        <w:t xml:space="preserve"> </w:t>
      </w:r>
      <w:r>
        <w:t xml:space="preserve">condition of its program participation, which concentrated minds:</w:t>
      </w:r>
      <w:r>
        <w:t xml:space="preserve"> </w:t>
      </w:r>
      <w:r>
        <w:t xml:space="preserve">Step 1–2 (record authenticity + evidence-graph policy) run</w:t>
      </w:r>
      <w:r>
        <w:t xml:space="preserve"> </w:t>
      </w:r>
      <w:r>
        <w:t xml:space="preserve">continuously by the insurer’s client against headers and anchors; Step 3 annually</w:t>
      </w:r>
      <w:r>
        <w:t xml:space="preserve"> </w:t>
      </w:r>
      <w:r>
        <w:t xml:space="preserve">— sampling design (n = 380, stratified by production week and string position,</w:t>
      </w:r>
      <w:r>
        <w:t xml:space="preserve"> </w:t>
      </w:r>
      <w:r>
        <w:t xml:space="preserve">95/5 confidence on the fleet fraction outside degradation envelope) committed to</w:t>
      </w:r>
      <w:r>
        <w:t xml:space="preserve"> </w:t>
      </w:r>
      <w:r>
        <w:t xml:space="preserve">the ledger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site visit; handheld EL challenge-verification of the</w:t>
      </w:r>
      <w:r>
        <w:t xml:space="preserve"> </w:t>
      </w:r>
      <w:r>
        <w:t xml:space="preserve">sample against enrolled templates, with 12 units escalated to portable</w:t>
      </w:r>
      <w:r>
        <w:t xml:space="preserve"> </w:t>
      </w:r>
      <w:r>
        <w:t xml:space="preserve">magnetometry. Year-one outcome: 378/380 template matches; 2 mismatches traced to</w:t>
      </w:r>
      <w:r>
        <w:t xml:space="preserve"> </w:t>
      </w:r>
      <w:r>
        <w:t xml:space="preserve">a documented pallet-drop replacement never event-logged — an honest completeness</w:t>
      </w:r>
      <w:r>
        <w:t xml:space="preserve"> </w:t>
      </w:r>
      <w:r>
        <w:t xml:space="preserve">failure (Section 5.7) that cost the O&amp;M contractor a finding and produced the</w:t>
      </w:r>
      <w:r>
        <w:t xml:space="preserve"> </w:t>
      </w:r>
      <w:r>
        <w:t xml:space="preserve">pilot’s procedural fix: removal/replacement events are now blocking steps in the</w:t>
      </w:r>
      <w:r>
        <w:t xml:space="preserve"> </w:t>
      </w:r>
      <w:r>
        <w:t xml:space="preserve">work-order system, not after-action paperwork.</w:t>
      </w:r>
    </w:p>
    <w:p>
      <w:pPr>
        <w:pStyle w:val="BodyText"/>
      </w:pPr>
      <w:r>
        <w:t xml:space="preserve">The sampling design itself, committed as</w:t>
      </w:r>
      <w:r>
        <w:t xml:space="preserve"> </w:t>
      </w:r>
      <w:r>
        <w:rPr>
          <w:rStyle w:val="VerbatimChar"/>
        </w:rPr>
        <w:t xml:space="preserve">evt:s3-2027-design</w:t>
      </w:r>
      <w:r>
        <w:t xml:space="preserve"> </w:t>
      </w:r>
      <w:r>
        <w:t xml:space="preserve">before the</w:t>
      </w:r>
      <w:r>
        <w:t xml:space="preserve"> </w:t>
      </w:r>
      <w:r>
        <w:t xml:space="preserve">visit: stratification by production week (14 strata) crossed with string</w:t>
      </w:r>
      <w:r>
        <w:t xml:space="preserve"> </w:t>
      </w:r>
      <w:r>
        <w:t xml:space="preserve">position class (edge/interior, a PID-risk proxy), allocation proportional</w:t>
      </w:r>
      <w:r>
        <w:t xml:space="preserve"> </w:t>
      </w:r>
      <w:r>
        <w:t xml:space="preserve">to stratum size with a floor of eight units per stratum, selection by a</w:t>
      </w:r>
      <w:r>
        <w:t xml:space="preserve"> </w:t>
      </w:r>
      <w:r>
        <w:t xml:space="preserve">published seeded generator over the frozen as-installed register, and the</w:t>
      </w:r>
      <w:r>
        <w:t xml:space="preserve"> </w:t>
      </w:r>
      <w:r>
        <w:t xml:space="preserve">escalation rule (any mismatch inflates its stratum’s sample threefold)</w:t>
      </w:r>
      <w:r>
        <w:t xml:space="preserve"> </w:t>
      </w:r>
      <w:r>
        <w:t xml:space="preserve">pre-declared. None of this is statistically exotic — it is Cochran’s</w:t>
      </w:r>
      <w:r>
        <w:t xml:space="preserve"> </w:t>
      </w:r>
      <w:r>
        <w:t xml:space="preserve">textbook with a ledger commitment — and that ordinariness is the point:</w:t>
      </w:r>
      <w:r>
        <w:t xml:space="preserve"> </w:t>
      </w:r>
      <w:r>
        <w:t xml:space="preserve">the adversarial soundness comes from the pre-commitment, not from novel</w:t>
      </w:r>
      <w:r>
        <w:t xml:space="preserve"> </w:t>
      </w:r>
      <w:r>
        <w:t xml:space="preserve">mathematics, per Section 6.6.1.</w:t>
      </w:r>
    </w:p>
    <w:p>
      <w:pPr>
        <w:pStyle w:val="BodyText"/>
      </w:pPr>
      <w:r>
        <w:t xml:space="preserve">The campaign’s operational texture, for the practitioner who will run one:</w:t>
      </w:r>
      <w:r>
        <w:t xml:space="preserve"> </w:t>
      </w:r>
      <w:r>
        <w:t xml:space="preserve">two technicians, nine field days (Section 11.7’s ergonomics problem is why</w:t>
      </w:r>
      <w:r>
        <w:t xml:space="preserve"> </w:t>
      </w:r>
      <w:r>
        <w:t xml:space="preserve">it was not six), night work for the EL rig on 340 of the sampled units and</w:t>
      </w:r>
      <w:r>
        <w:t xml:space="preserve"> </w:t>
      </w:r>
      <w:r>
        <w:t xml:space="preserve">daylight contact measurement for the rest; unit selection executed at the</w:t>
      </w:r>
      <w:r>
        <w:t xml:space="preserve"> </w:t>
      </w:r>
      <w:r>
        <w:t xml:space="preserve">racking per the anti-ringer procedure of Section 8.3, with the position</w:t>
      </w:r>
      <w:r>
        <w:t xml:space="preserve"> </w:t>
      </w:r>
      <w:r>
        <w:t xml:space="preserve">photographs adding perhaps ninety seconds per unit and one flagged</w:t>
      </w:r>
      <w:r>
        <w:t xml:space="preserve"> </w:t>
      </w:r>
      <w:r>
        <w:t xml:space="preserve">discrepancy (a transposed row label from construction, corrected as a</w:t>
      </w:r>
      <w:r>
        <w:t xml:space="preserve"> </w:t>
      </w:r>
      <w:r>
        <w:t xml:space="preserve">finding rather than a fraud). The twelve magnetometric escalations were</w:t>
      </w:r>
      <w:r>
        <w:t xml:space="preserve"> </w:t>
      </w:r>
      <w:r>
        <w:t xml:space="preserve">chosen where EL matches were positive but marginal — all twelve confirmed</w:t>
      </w:r>
      <w:r>
        <w:t xml:space="preserve"> </w:t>
      </w:r>
      <w:r>
        <w:t xml:space="preserve">identity and quantified condition deltas that EL alone had bounded</w:t>
      </w:r>
      <w:r>
        <w:t xml:space="preserve"> </w:t>
      </w:r>
      <w:r>
        <w:t xml:space="preserve">loosely, which is the escalation tier doing precisely its Section 6.7</w:t>
      </w:r>
      <w:r>
        <w:t xml:space="preserve"> </w:t>
      </w:r>
      <w:r>
        <w:t xml:space="preserve">job. The insurer’s diligence cost, all-in against its prior-year</w:t>
      </w:r>
      <w:r>
        <w:t xml:space="preserve"> </w:t>
      </w:r>
      <w:r>
        <w:t xml:space="preserve">conventional baseline for a comparable plant: 40% — with the pre-committed</w:t>
      </w:r>
      <w:r>
        <w:t xml:space="preserve"> </w:t>
      </w:r>
      <w:r>
        <w:t xml:space="preserve">sampling design surviving its first hostile review when the owner’s fund</w:t>
      </w:r>
      <w:r>
        <w:t xml:space="preserve"> </w:t>
      </w:r>
      <w:r>
        <w:t xml:space="preserve">auditors, initially skeptical that 380 units could speak for 126,000,</w:t>
      </w:r>
      <w:r>
        <w:t xml:space="preserve"> </w:t>
      </w:r>
      <w:r>
        <w:t xml:space="preserve">were walked through the acceptance-sampling arithmetic their own</w:t>
      </w:r>
      <w:r>
        <w:t xml:space="preserve"> </w:t>
      </w:r>
      <w:r>
        <w:t xml:space="preserve">procurement standards already used.</w:t>
      </w:r>
    </w:p>
    <w:p>
      <w:pPr>
        <w:pStyle w:val="BodyText"/>
      </w:pPr>
      <w:r>
        <w:t xml:space="preserve">The insurer’s continuous Step-1/2 subscription deserves its own line in</w:t>
      </w:r>
      <w:r>
        <w:t xml:space="preserve"> </w:t>
      </w:r>
      <w:r>
        <w:t xml:space="preserve">the record: across the year it processed every new event on the covered</w:t>
      </w:r>
      <w:r>
        <w:t xml:space="preserve"> </w:t>
      </w:r>
      <w:r>
        <w:t xml:space="preserve">fleet within minutes of anchoring, raised four policy flags (two</w:t>
      </w:r>
      <w:r>
        <w:t xml:space="preserve"> </w:t>
      </w:r>
      <w:r>
        <w:t xml:space="preserve">instrument-grade downgrades, one cadence anomaly that proved to be a</w:t>
      </w:r>
      <w:r>
        <w:t xml:space="preserve"> </w:t>
      </w:r>
      <w:r>
        <w:t xml:space="preserve">paused cleaning contract, and the S3 finding’s precursor), and cost the</w:t>
      </w:r>
      <w:r>
        <w:t xml:space="preserve"> </w:t>
      </w:r>
      <w:r>
        <w:t xml:space="preserve">insurer, by its own account, one analyst-day a month to operate — the</w:t>
      </w:r>
      <w:r>
        <w:t xml:space="preserve"> </w:t>
      </w:r>
      <w:r>
        <w:t xml:space="preserve">“</w:t>
      </w:r>
      <w:r>
        <w:t xml:space="preserve">verification as subscription</w:t>
      </w:r>
      <w:r>
        <w:t xml:space="preserve">”</w:t>
      </w:r>
      <w:r>
        <w:t xml:space="preserve"> </w:t>
      </w:r>
      <w:r>
        <w:t xml:space="preserve">economics that Chapter 13 builds on.</w:t>
      </w:r>
    </w:p>
    <w:p>
      <w:pPr>
        <w:pStyle w:val="BodyText"/>
      </w:pPr>
      <w:r>
        <w:t xml:space="preserve">The two mismatches deserve their epilogue because they exercised the whole</w:t>
      </w:r>
      <w:r>
        <w:t xml:space="preserve"> </w:t>
      </w:r>
      <w:r>
        <w:t xml:space="preserve">escalation machine: re-measurement excluded instrument error; template</w:t>
      </w:r>
      <w:r>
        <w:t xml:space="preserve"> </w:t>
      </w:r>
      <w:r>
        <w:t xml:space="preserve">comparison against the</w:t>
      </w:r>
      <w:r>
        <w:t xml:space="preserve"> </w:t>
      </w:r>
      <w:r>
        <w:rPr>
          <w:iCs/>
          <w:i/>
        </w:rPr>
        <w:t xml:space="preserve">corpus</w:t>
      </w:r>
      <w:r>
        <w:t xml:space="preserve"> </w:t>
      </w:r>
      <w:r>
        <w:t xml:space="preserve">(the F4 resurrection check) identified</w:t>
      </w:r>
      <w:r>
        <w:t xml:space="preserve"> </w:t>
      </w:r>
      <w:r>
        <w:t xml:space="preserve">both units as enrolled modules from the same production batch — physically</w:t>
      </w:r>
      <w:r>
        <w:t xml:space="preserve"> </w:t>
      </w:r>
      <w:r>
        <w:t xml:space="preserve">genuine, correctly enrolled, but sitting at positions whose records said</w:t>
      </w:r>
      <w:r>
        <w:t xml:space="preserve"> </w:t>
      </w:r>
      <w:r>
        <w:t xml:space="preserve">other modules sat there. The work-order archaeology took an afternoon:</w:t>
      </w:r>
      <w:r>
        <w:t xml:space="preserve"> </w:t>
      </w:r>
      <w:r>
        <w:t xml:space="preserve">a pallet dropped during construction, two damaged modules swapped for</w:t>
      </w:r>
      <w:r>
        <w:t xml:space="preserve"> </w:t>
      </w:r>
      <w:r>
        <w:t xml:space="preserve">spares by a subcontractor crew, no event filed. Honest units, dishonest-</w:t>
      </w:r>
      <w:r>
        <w:t xml:space="preserve"> </w:t>
      </w:r>
      <w:r>
        <w:t xml:space="preserve">looking records, a procedural fix — and a demonstration to every party</w:t>
      </w:r>
      <w:r>
        <w:t xml:space="preserve"> </w:t>
      </w:r>
      <w:r>
        <w:t xml:space="preserve">watching that the system distinguishes</w:t>
      </w:r>
      <w:r>
        <w:t xml:space="preserve"> </w:t>
      </w:r>
      <w:r>
        <w:rPr>
          <w:iCs/>
          <w:i/>
        </w:rPr>
        <w:t xml:space="preserve">fraud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sloppiness</w:t>
      </w:r>
      <w:r>
        <w:t xml:space="preserve"> </w:t>
      </w:r>
      <w:r>
        <w:t xml:space="preserve">by</w:t>
      </w:r>
      <w:r>
        <w:t xml:space="preserve"> </w:t>
      </w:r>
      <w:r>
        <w:t xml:space="preserve">evidence rather than by accusation, which did more for the O&amp;M</w:t>
      </w:r>
      <w:r>
        <w:t xml:space="preserve"> </w:t>
      </w:r>
      <w:r>
        <w:t xml:space="preserve">relationship than the finding cost it.</w:t>
      </w:r>
    </w:p>
    <w:p>
      <w:pPr>
        <w:pStyle w:val="BodyText"/>
      </w:pPr>
      <w:r>
        <w:rPr>
          <w:bCs/>
          <w:b/>
        </w:rPr>
        <w:t xml:space="preserve">S4 — Warranty adjudication rehearsal.</w:t>
      </w:r>
      <w:r>
        <w:t xml:space="preserve"> </w:t>
      </w:r>
      <w:r>
        <w:t xml:space="preserve">A staged dispute (real modules, agreed</w:t>
      </w:r>
      <w:r>
        <w:t xml:space="preserve"> </w:t>
      </w:r>
      <w:r>
        <w:t xml:space="preserve">fiction, both parties’ real counsel and a real arbitrator engaged under</w:t>
      </w:r>
      <w:r>
        <w:t xml:space="preserve"> </w:t>
      </w:r>
      <w:r>
        <w:t xml:space="preserve">the program’s budget): owner claims accelerated degradation on 210 modules</w:t>
      </w:r>
      <w:r>
        <w:t xml:space="preserve"> </w:t>
      </w:r>
      <w:r>
        <w:t xml:space="preserve">of one production week. The evidence DAG did what Chapter 5 designed it to do: claim event</w:t>
      </w:r>
      <w:r>
        <w:t xml:space="preserve"> </w:t>
      </w:r>
      <w:r>
        <w:t xml:space="preserve">references commissioning + three condition records; OEM’s response references the</w:t>
      </w:r>
      <w:r>
        <w:t xml:space="preserve"> </w:t>
      </w:r>
      <w:r>
        <w:t xml:space="preserve">same records plus factory Tier-2 first-article maps; the adjudicating engineer</w:t>
      </w:r>
      <w:r>
        <w:t xml:space="preserve"> </w:t>
      </w:r>
      <w:r>
        <w:t xml:space="preserve">re-executed the provenance chains (Section 4.5’s determinism paying off — two</w:t>
      </w:r>
      <w:r>
        <w:t xml:space="preserve"> </w:t>
      </w:r>
      <w:r>
        <w:t xml:space="preserve">processing-version pins had to be honored, exactly as Section 4.2 predicted) and</w:t>
      </w:r>
      <w:r>
        <w:t xml:space="preserve"> </w:t>
      </w:r>
      <w:r>
        <w:t xml:space="preserve">resolved in 11 days against a sector norm of months. The rehearsal’s real product</w:t>
      </w:r>
      <w:r>
        <w:t xml:space="preserve"> </w:t>
      </w:r>
      <w:r>
        <w:t xml:space="preserve">was the finding that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parties’ counsel accepted anchored ledger extracts</w:t>
      </w:r>
      <w:r>
        <w:t xml:space="preserve"> </w:t>
      </w:r>
      <w:r>
        <w:t xml:space="preserve">without contesting authenticity — the first indication that Step-1 verification</w:t>
      </w:r>
      <w:r>
        <w:t xml:space="preserve"> </w:t>
      </w:r>
      <w:r>
        <w:t xml:space="preserve">has the evidentiary standing the whole design wagers on.</w:t>
      </w:r>
    </w:p>
    <w:p>
      <w:pPr>
        <w:pStyle w:val="BodyText"/>
      </w:pPr>
      <w:r>
        <w:t xml:space="preserve">The rehearsal’s all-in cost — adjudicator fees, counsel time on both</w:t>
      </w:r>
      <w:r>
        <w:t xml:space="preserve"> </w:t>
      </w:r>
      <w:r>
        <w:t xml:space="preserve">sides, the sampling campaign, and program staff — came to roughly a tenth</w:t>
      </w:r>
      <w:r>
        <w:t xml:space="preserve"> </w:t>
      </w:r>
      <w:r>
        <w:t xml:space="preserve">of the OEM’s reported average for comparable live disputes, with the</w:t>
      </w:r>
      <w:r>
        <w:t xml:space="preserve"> </w:t>
      </w:r>
      <w:r>
        <w:t xml:space="preserve">usual caveat that a rehearsal lacks a real dispute’s motivated</w:t>
      </w:r>
      <w:r>
        <w:t xml:space="preserve"> </w:t>
      </w:r>
      <w:r>
        <w:t xml:space="preserve">obstruction. The eleven days decompose instructively: two for pleadings</w:t>
      </w:r>
      <w:r>
        <w:t xml:space="preserve"> </w:t>
      </w:r>
      <w:r>
        <w:t xml:space="preserve">against the</w:t>
      </w:r>
      <w:r>
        <w:t xml:space="preserve"> </w:t>
      </w:r>
      <w:r>
        <w:t xml:space="preserve">stipulated-evidence clause (Section 10.3’s arbitration design, exercised);</w:t>
      </w:r>
      <w:r>
        <w:t xml:space="preserve"> </w:t>
      </w:r>
      <w:r>
        <w:t xml:space="preserve">five for the adjudicator’s independent re-execution of the evidence graph</w:t>
      </w:r>
      <w:r>
        <w:t xml:space="preserve"> </w:t>
      </w:r>
      <w:r>
        <w:t xml:space="preserve">— including the deliberately planted complication, a condition record</w:t>
      </w:r>
      <w:r>
        <w:t xml:space="preserve"> </w:t>
      </w:r>
      <w:r>
        <w:t xml:space="preserve">whose processing pipeline version had been superseded mid-pilot (lesson 6</w:t>
      </w:r>
      <w:r>
        <w:t xml:space="preserve"> </w:t>
      </w:r>
      <w:r>
        <w:t xml:space="preserve">below), which the versioned re-execution machinery resolved in an</w:t>
      </w:r>
      <w:r>
        <w:t xml:space="preserve"> </w:t>
      </w:r>
      <w:r>
        <w:t xml:space="preserve">afternoon that would otherwise have been an expert-witness week; three for</w:t>
      </w:r>
      <w:r>
        <w:t xml:space="preserve"> </w:t>
      </w:r>
      <w:r>
        <w:t xml:space="preserve">the physical sampling of contested units under the challenge protocol;</w:t>
      </w:r>
      <w:r>
        <w:t xml:space="preserve"> </w:t>
      </w:r>
      <w:r>
        <w:t xml:space="preserve">one for the award. The staged fiction was calibrated from real disputes</w:t>
      </w:r>
      <w:r>
        <w:t xml:space="preserve"> </w:t>
      </w:r>
      <w:r>
        <w:t xml:space="preserve">in the OEM’s claims history, and the participating counsel’s debrief</w:t>
      </w:r>
      <w:r>
        <w:t xml:space="preserve"> </w:t>
      </w:r>
      <w:r>
        <w:t xml:space="preserve">produced the quote the program’s steering committee circulated most: the</w:t>
      </w:r>
      <w:r>
        <w:t xml:space="preserve"> </w:t>
      </w:r>
      <w:r>
        <w:t xml:space="preserve">dispute was</w:t>
      </w:r>
      <w:r>
        <w:t xml:space="preserve"> </w:t>
      </w:r>
      <w:r>
        <w:t xml:space="preserve">“</w:t>
      </w:r>
      <w:r>
        <w:t xml:space="preserve">argued about causation from day one, because there was</w:t>
      </w:r>
      <w:r>
        <w:t xml:space="preserve"> </w:t>
      </w:r>
      <w:r>
        <w:t xml:space="preserve">nothing else left to argue about</w:t>
      </w:r>
      <w:r>
        <w:t xml:space="preserve">”</w:t>
      </w:r>
      <w:r>
        <w:t xml:space="preserve"> </w:t>
      </w:r>
      <w:r>
        <w:t xml:space="preserve">— which is, compressed to a sentence,</w:t>
      </w:r>
      <w:r>
        <w:t xml:space="preserve"> </w:t>
      </w:r>
      <w:r>
        <w:t xml:space="preserve">the entire value proposition of Part II.</w:t>
      </w:r>
    </w:p>
    <w:p>
      <w:pPr>
        <w:pStyle w:val="BodyText"/>
      </w:pPr>
      <w:r>
        <w:rPr>
          <w:bCs/>
          <w:b/>
        </w:rPr>
        <w:t xml:space="preserve">S5 — The unplanned scenario: a secondary-market rehearsal.</w:t>
      </w:r>
      <w:r>
        <w:t xml:space="preserve"> </w:t>
      </w:r>
      <w:r>
        <w:t xml:space="preserve">Late in the</w:t>
      </w:r>
      <w:r>
        <w:t xml:space="preserve"> </w:t>
      </w:r>
      <w:r>
        <w:t xml:space="preserve">year, the owner’s fund asked the program to mock a partial divestment —</w:t>
      </w:r>
      <w:r>
        <w:t xml:space="preserve"> </w:t>
      </w:r>
      <w:r>
        <w:t xml:space="preserve">5,000 modules from an early production week, packaged for a</w:t>
      </w:r>
      <w:r>
        <w:t xml:space="preserve"> </w:t>
      </w:r>
      <w:r>
        <w:t xml:space="preserve">hypothetical buyer’s diligence — because its investment committee wanted</w:t>
      </w:r>
      <w:r>
        <w:t xml:space="preserve"> </w:t>
      </w:r>
      <w:r>
        <w:t xml:space="preserve">to see the resale story with its own eyes. The exercise assembled the</w:t>
      </w:r>
      <w:r>
        <w:t xml:space="preserve"> </w:t>
      </w:r>
      <w:r>
        <w:t xml:space="preserve">disclosure bundle of Section 10.2.2 (registrations, commissioning,</w:t>
      </w:r>
      <w:r>
        <w:t xml:space="preserve"> </w:t>
      </w:r>
      <w:r>
        <w:t xml:space="preserve">condition chains, climate-zone class, verifier attestations) in two days</w:t>
      </w:r>
      <w:r>
        <w:t xml:space="preserve"> </w:t>
      </w:r>
      <w:r>
        <w:t xml:space="preserve">of analyst time, most of it spent deciding</w:t>
      </w:r>
      <w:r>
        <w:t xml:space="preserve"> </w:t>
      </w:r>
      <w:r>
        <w:rPr>
          <w:iCs/>
          <w:i/>
        </w:rPr>
        <w:t xml:space="preserve">what not to disclose</w:t>
      </w:r>
      <w:r>
        <w:t xml:space="preserve"> </w:t>
      </w:r>
      <w:r>
        <w:t xml:space="preserve">— the</w:t>
      </w:r>
      <w:r>
        <w:t xml:space="preserve"> </w:t>
      </w:r>
      <w:r>
        <w:t xml:space="preserve">first live exercise of the selective-disclosure policy, which held. A</w:t>
      </w:r>
      <w:r>
        <w:t xml:space="preserve"> </w:t>
      </w:r>
      <w:r>
        <w:t xml:space="preserve">diligence firm engaged as the mock buyer ran Steps 1–2 in an afternoon,</w:t>
      </w:r>
      <w:r>
        <w:t xml:space="preserve"> </w:t>
      </w:r>
      <w:r>
        <w:t xml:space="preserve">requested V2 sampling of 40 units (executed within the week during a</w:t>
      </w:r>
      <w:r>
        <w:t xml:space="preserve"> </w:t>
      </w:r>
      <w:r>
        <w:t xml:space="preserve">scheduled O&amp;M campaign), and returned a diligence memo whose residual-risk</w:t>
      </w:r>
      <w:r>
        <w:t xml:space="preserve"> </w:t>
      </w:r>
      <w:r>
        <w:t xml:space="preserve">section quoted Table 8.3’s categories nearly verbatim — evidence that the</w:t>
      </w:r>
      <w:r>
        <w:t xml:space="preserve"> </w:t>
      </w:r>
      <w:r>
        <w:t xml:space="preserve">residual-register discipline travels to third parties unprompted. No</w:t>
      </w:r>
      <w:r>
        <w:t xml:space="preserve"> </w:t>
      </w:r>
      <w:r>
        <w:t xml:space="preserve">price was set (the divestment was fictional), so the exercise produced no</w:t>
      </w:r>
      <w:r>
        <w:t xml:space="preserve"> </w:t>
      </w:r>
      <w:r>
        <w:t xml:space="preserve">premium datum for Section 11.7’s problem 5 — but the fund’s committee saw</w:t>
      </w:r>
      <w:r>
        <w:t xml:space="preserve"> </w:t>
      </w:r>
      <w:r>
        <w:t xml:space="preserve">a five-day diligence cycle on an asset class whose norm is six weeks, and</w:t>
      </w:r>
      <w:r>
        <w:t xml:space="preserve"> </w:t>
      </w:r>
      <w:r>
        <w:t xml:space="preserve">the program counts their subsequent enthusiasm as its most consequential</w:t>
      </w:r>
      <w:r>
        <w:t xml:space="preserve"> </w:t>
      </w:r>
      <w:r>
        <w:t xml:space="preserve">unmeasured result. The scenario’s other yield was procedural: the</w:t>
      </w:r>
      <w:r>
        <w:t xml:space="preserve"> </w:t>
      </w:r>
      <w:r>
        <w:t xml:space="preserve">disclosure-policy decisions made under a fictional deadline are now the</w:t>
      </w:r>
      <w:r>
        <w:t xml:space="preserve"> </w:t>
      </w:r>
      <w:r>
        <w:t xml:space="preserve">template the real transaction will start from, which is what rehearsals</w:t>
      </w:r>
      <w:r>
        <w:t xml:space="preserve"> </w:t>
      </w:r>
      <w:r>
        <w:t xml:space="preserve">are for.</w:t>
      </w:r>
    </w:p>
    <w:bookmarkEnd w:id="26"/>
    <w:bookmarkStart w:id="27" w:name="the-contract-suite-in-walkthrough"/>
    <w:p>
      <w:pPr>
        <w:pStyle w:val="Heading2"/>
      </w:pPr>
      <w:r>
        <w:t xml:space="preserve">11.4 The Contract Suite in Walkthrough</w:t>
      </w:r>
    </w:p>
    <w:p>
      <w:pPr>
        <w:pStyle w:val="FirstParagraph"/>
      </w:pPr>
      <w:r>
        <w:t xml:space="preserve">Four contracts, deliberately small (Section 8.5, F8); full annotated listings are</w:t>
      </w:r>
      <w:r>
        <w:t xml:space="preserve"> </w:t>
      </w:r>
      <w:r>
        <w:t xml:space="preserve">Appendix A.</w:t>
      </w:r>
    </w:p>
    <w:p>
      <w:pPr>
        <w:pStyle w:val="BodyText"/>
      </w:pPr>
      <w:r>
        <w:rPr>
          <w:bCs/>
          <w:b/>
        </w:rPr>
        <w:t xml:space="preserve">Table 11.1</w:t>
      </w:r>
      <w:r>
        <w:t xml:space="preserve"> </w:t>
      </w:r>
      <w:r>
        <w:t xml:space="preserve">Pilot contract suite. Line counts are the deployed</w:t>
      </w:r>
      <w:r>
        <w:t xml:space="preserve"> </w:t>
      </w:r>
      <w:r>
        <w:t xml:space="preserve">implementations’ logic lines, cited to make the smallness-by-design</w:t>
      </w:r>
      <w:r>
        <w:t xml:space="preserve"> </w:t>
      </w:r>
      <w:r>
        <w:t xml:space="preserve">audible: the whole consensus-critical codebase is under 1,700 lines,</w:t>
      </w:r>
      <w:r>
        <w:t xml:space="preserve"> </w:t>
      </w:r>
      <w:r>
        <w:t xml:space="preserve">reviewable in a day by anyone this book has equipped.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(pilot impl.)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→ registration record, batch roots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Uniqueness; registrar accreditation; registration class labeling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→ state, custody/ownership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5.1 transitions; Table 5.1 corroboration classes; submission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RoleAccred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DID → accreditation, algorithm policy, validity intervals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§8.5 succession; §9.4 P2 time-contextual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AnchorAudit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log, custody-challenge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 cadence; §4.2 retrievability challenge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lines</w:t>
            </w:r>
          </w:p>
        </w:tc>
      </w:tr>
    </w:tbl>
    <w:p>
      <w:pPr>
        <w:pStyle w:val="BodyText"/>
      </w:pPr>
      <w:r>
        <w:t xml:space="preserve">The walkthrough example the appendix develops line by line is the</w:t>
      </w:r>
      <w:r>
        <w:t xml:space="preserve"> </w:t>
      </w:r>
      <w:r>
        <w:rPr>
          <w:rStyle w:val="VerbatimChar"/>
        </w:rPr>
        <w:t xml:space="preserve">LifecycleSM</w:t>
      </w:r>
      <w:r>
        <w:t xml:space="preserve"> </w:t>
      </w:r>
      <w:r>
        <w:t xml:space="preserve">path for</w:t>
      </w:r>
      <w:r>
        <w:t xml:space="preserve"> </w:t>
      </w:r>
      <w:r>
        <w:rPr>
          <w:rStyle w:val="VerbatimChar"/>
        </w:rPr>
        <w:t xml:space="preserve">EVT_COMMISSION</w:t>
      </w:r>
      <w:r>
        <w:t xml:space="preserve"> </w:t>
      </w:r>
      <w:r>
        <w:t xml:space="preserve">(Figure 5.2’s sequence as code), chosen because it</w:t>
      </w:r>
      <w:r>
        <w:t xml:space="preserve"> </w:t>
      </w:r>
      <w:r>
        <w:t xml:space="preserve">exercises every enforcement class: state check, role check via</w:t>
      </w:r>
      <w:r>
        <w:t xml:space="preserve"> </w:t>
      </w:r>
      <w:r>
        <w:rPr>
          <w:rStyle w:val="VerbatimChar"/>
        </w:rPr>
        <w:t xml:space="preserve">RoleAccred</w:t>
      </w:r>
      <w:r>
        <w:t xml:space="preserve">,</w:t>
      </w:r>
      <w:r>
        <w:t xml:space="preserve"> </w:t>
      </w:r>
      <w:r>
        <w:t xml:space="preserve">corroboration counting, window arithmetic, and the emission of the derived</w:t>
      </w:r>
      <w:r>
        <w:t xml:space="preserve"> </w:t>
      </w:r>
      <w:r>
        <w:t xml:space="preserve">warranty-clock event that the insurer’s client subscribes to.</w:t>
      </w:r>
    </w:p>
    <w:p>
      <w:pPr>
        <w:pStyle w:val="BodyText"/>
      </w:pPr>
      <w:r>
        <w:t xml:space="preserve">The reason-code taxonomy deserves its operational note: 71 codes at</w:t>
      </w:r>
      <w:r>
        <w:t xml:space="preserve"> </w:t>
      </w:r>
      <w:r>
        <w:t xml:space="preserve">go-live, organized by the four enforcement classes of Section 5.5, each</w:t>
      </w:r>
      <w:r>
        <w:t xml:space="preserve"> </w:t>
      </w:r>
      <w:r>
        <w:t xml:space="preserve">carrying a documentation link and a suggested remediation. Field telemetry</w:t>
      </w:r>
      <w:r>
        <w:t xml:space="preserve"> </w:t>
      </w:r>
      <w:r>
        <w:t xml:space="preserve">on rejections became an accidental quality instrument — the distribution</w:t>
      </w:r>
      <w:r>
        <w:t xml:space="preserve"> </w:t>
      </w:r>
      <w:r>
        <w:t xml:space="preserve">of reason codes by submitter identified integration bugs (one code</w:t>
      </w:r>
      <w:r>
        <w:t xml:space="preserve"> </w:t>
      </w:r>
      <w:r>
        <w:t xml:space="preserve">spiking from one party is a software defect; the same code spread evenly</w:t>
      </w:r>
      <w:r>
        <w:t xml:space="preserve"> </w:t>
      </w:r>
      <w:r>
        <w:t xml:space="preserve">is a schema usability problem), and two payload-schema clarifications in</w:t>
      </w:r>
      <w:r>
        <w:t xml:space="preserve"> </w:t>
      </w:r>
      <w:r>
        <w:t xml:space="preserve">the year’s amendments originated as reason-code statistics rather than as</w:t>
      </w:r>
      <w:r>
        <w:t xml:space="preserve"> </w:t>
      </w:r>
      <w:r>
        <w:t xml:space="preserve">anyone’s complaint. A rejection, properly coded, is the system teaching</w:t>
      </w:r>
      <w:r>
        <w:t xml:space="preserve"> </w:t>
      </w:r>
      <w:r>
        <w:t xml:space="preserve">its users; uncoded, it is the system training them to route around it.</w:t>
      </w:r>
    </w:p>
    <w:p>
      <w:pPr>
        <w:pStyle w:val="BodyText"/>
      </w:pPr>
      <w:r>
        <w:t xml:space="preserve">The suite’s engineering history in three sentences, because contract</w:t>
      </w:r>
      <w:r>
        <w:t xml:space="preserve"> </w:t>
      </w:r>
      <w:r>
        <w:t xml:space="preserve">processes are argued about more than they are documented. Both</w:t>
      </w:r>
      <w:r>
        <w:t xml:space="preserve"> </w:t>
      </w:r>
      <w:r>
        <w:t xml:space="preserve">implementations (the software-diversity rule of Section 7.5 applied from</w:t>
      </w:r>
      <w:r>
        <w:t xml:space="preserve"> </w:t>
      </w:r>
      <w:r>
        <w:t xml:space="preserve">day one, at the cost of roughly 1.6× the single-implementation effort)</w:t>
      </w:r>
      <w:r>
        <w:t xml:space="preserve"> </w:t>
      </w:r>
      <w:r>
        <w:t xml:space="preserve">were developed against the schema’s conformance suite — 412 cases at</w:t>
      </w:r>
      <w:r>
        <w:t xml:space="preserve"> </w:t>
      </w:r>
      <w:r>
        <w:t xml:space="preserve">go-live, grown to over 600 by year-end as every governance amendment and</w:t>
      </w:r>
      <w:r>
        <w:t xml:space="preserve"> </w:t>
      </w:r>
      <w:r>
        <w:t xml:space="preserve">every incident added its regression — and audited independently, with the</w:t>
      </w:r>
      <w:r>
        <w:t xml:space="preserve"> </w:t>
      </w:r>
      <w:r>
        <w:t xml:space="preserve">audit finding two genuine defects: a submission-window boundary condition</w:t>
      </w:r>
      <w:r>
        <w:t xml:space="preserve"> </w:t>
      </w:r>
      <w:r>
        <w:t xml:space="preserve">(off-by-one at exactly the window’s edge, the classic) and a</w:t>
      </w:r>
      <w:r>
        <w:t xml:space="preserve"> </w:t>
      </w:r>
      <w:r>
        <w:t xml:space="preserve">corroboration-counting path that accepted two attestations from</w:t>
      </w:r>
      <w:r>
        <w:t xml:space="preserve"> </w:t>
      </w:r>
      <w:r>
        <w:t xml:space="preserve">instruments sharing a controller, violating Section 4.5’s independence</w:t>
      </w:r>
      <w:r>
        <w:t xml:space="preserve"> </w:t>
      </w:r>
      <w:r>
        <w:t xml:space="preserve">requirement — the precise F8-enables-F5 coupling Chapter 8 predicted, and</w:t>
      </w:r>
      <w:r>
        <w:t xml:space="preserve"> </w:t>
      </w:r>
      <w:r>
        <w:t xml:space="preserve">an audit finding that paid for the audit. Post-go-live change traffic was</w:t>
      </w:r>
      <w:r>
        <w:t xml:space="preserve"> </w:t>
      </w:r>
      <w:r>
        <w:t xml:space="preserve">modest and entirely parameter-level: the S2 window amendment and two</w:t>
      </w:r>
      <w:r>
        <w:t xml:space="preserve"> </w:t>
      </w:r>
      <w:r>
        <w:t xml:space="preserve">payload-schema version registrations, zero logic deployments — the</w:t>
      </w:r>
      <w:r>
        <w:t xml:space="preserve"> </w:t>
      </w:r>
      <w:r>
        <w:t xml:space="preserve">small-contract discipline holding in practice as designed.</w:t>
      </w:r>
    </w:p>
    <w:bookmarkEnd w:id="27"/>
    <w:bookmarkStart w:id="28" w:name="lessons-learned"/>
    <w:p>
      <w:pPr>
        <w:pStyle w:val="Heading2"/>
      </w:pPr>
      <w:r>
        <w:t xml:space="preserve">11.5 Lessons Learned</w:t>
      </w:r>
    </w:p>
    <w:p>
      <w:pPr>
        <w:pStyle w:val="FirstParagraph"/>
      </w:pPr>
      <w:r>
        <w:t xml:space="preserve">Reported as they were logged, because sanitized lessons teach nothing.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schema survived contact; the procedures did not.</w:t>
      </w:r>
      <w:r>
        <w:t xml:space="preserve"> </w:t>
      </w:r>
      <w:r>
        <w:t xml:space="preserve">No envelope or</w:t>
      </w:r>
      <w:r>
        <w:t xml:space="preserve"> </w:t>
      </w:r>
      <w:r>
        <w:t xml:space="preserve">state-machine change was needed through commissioning. Every early failure was</w:t>
      </w:r>
      <w:r>
        <w:t xml:space="preserve"> </w:t>
      </w:r>
      <w:r>
        <w:t xml:space="preserve">procedural: unlogged replacements (S3), co-signing bottlenecks (S2), a custody</w:t>
      </w:r>
      <w:r>
        <w:t xml:space="preserve"> </w:t>
      </w:r>
      <w:r>
        <w:t xml:space="preserve">store that silently failed retrievability challenges for nine days before its</w:t>
      </w:r>
      <w:r>
        <w:t xml:space="preserve"> </w:t>
      </w:r>
      <w:r>
        <w:t xml:space="preserve">operator noticed the alerts. Systems of this kind fail at the human seams</w:t>
      </w:r>
      <w:r>
        <w:t xml:space="preserve"> </w:t>
      </w:r>
      <w:r>
        <w:t xml:space="preserve">first — design the escalations, not just the cryptography. The corollary</w:t>
      </w:r>
      <w:r>
        <w:t xml:space="preserve"> </w:t>
      </w:r>
      <w:r>
        <w:t xml:space="preserve">the program drew: procedural failure modes deserve the same pre-mortem</w:t>
      </w:r>
      <w:r>
        <w:t xml:space="preserve"> </w:t>
      </w:r>
      <w:r>
        <w:t xml:space="preserve">treatment Chapter 8 gives attacks — enumerate the seams (handoffs,</w:t>
      </w:r>
      <w:r>
        <w:t xml:space="preserve"> </w:t>
      </w:r>
      <w:r>
        <w:t xml:space="preserve">co-signatures, alert routing), assign each a detection and an owner,</w:t>
      </w:r>
      <w:r>
        <w:t xml:space="preserve"> </w:t>
      </w:r>
      <w:r>
        <w:t xml:space="preserve">and rehearse the escalations before the incident chooses its own.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Enrollment economics behaved as predicted; verification economics beat</w:t>
      </w:r>
      <w:r>
        <w:rPr>
          <w:bCs/>
          <w:b/>
        </w:rPr>
        <w:t xml:space="preserve"> </w:t>
      </w:r>
      <w:r>
        <w:rPr>
          <w:bCs/>
          <w:b/>
        </w:rPr>
        <w:t xml:space="preserve">prediction.</w:t>
      </w:r>
      <w:r>
        <w:t xml:space="preserve"> </w:t>
      </w:r>
      <w:r>
        <w:t xml:space="preserve">Tier-0 enrollment marginal cost was effectively invisible in</w:t>
      </w:r>
      <w:r>
        <w:t xml:space="preserve"> </w:t>
      </w:r>
      <w:r>
        <w:t xml:space="preserve">line takt; the insurer’s Step-3 campaign cost ~40% of its conventional</w:t>
      </w:r>
      <w:r>
        <w:t xml:space="preserve"> </w:t>
      </w:r>
      <w:r>
        <w:t xml:space="preserve">due-diligence baseline because sampling design replaced blanket re-testing.</w:t>
      </w:r>
      <w:r>
        <w:t xml:space="preserve"> </w:t>
      </w:r>
      <w:r>
        <w:t xml:space="preserve">The asymmetry has a lesson inside it: the modeled savings came from the</w:t>
      </w:r>
      <w:r>
        <w:t xml:space="preserve"> </w:t>
      </w:r>
      <w:r>
        <w:t xml:space="preserve">ledger, but the</w:t>
      </w:r>
      <w:r>
        <w:t xml:space="preserve"> </w:t>
      </w:r>
      <w:r>
        <w:rPr>
          <w:iCs/>
          <w:i/>
        </w:rPr>
        <w:t xml:space="preserve">realized</w:t>
      </w:r>
      <w:r>
        <w:t xml:space="preserve"> </w:t>
      </w:r>
      <w:r>
        <w:t xml:space="preserve">savings came from statistics the ledger made</w:t>
      </w:r>
      <w:r>
        <w:t xml:space="preserve"> </w:t>
      </w:r>
      <w:r>
        <w:t xml:space="preserve">defensible — pre-committed sampling was always cheaper than blanket</w:t>
      </w:r>
      <w:r>
        <w:t xml:space="preserve"> </w:t>
      </w:r>
      <w:r>
        <w:t xml:space="preserve">testing, and what the architecture actually sold the insurer’s auditors</w:t>
      </w:r>
      <w:r>
        <w:t xml:space="preserve"> </w:t>
      </w:r>
      <w:r>
        <w:t xml:space="preserve">was the inability of anyone to have gamed the sample.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completeness problem is cultural before it is technical.</w:t>
      </w:r>
      <w:r>
        <w:t xml:space="preserve"> </w:t>
      </w:r>
      <w:r>
        <w:t xml:space="preserve">Field crews</w:t>
      </w:r>
      <w:r>
        <w:t xml:space="preserve"> </w:t>
      </w:r>
      <w:r>
        <w:t xml:space="preserve">log what the work-order system forces them to log. The fix that worked was</w:t>
      </w:r>
      <w:r>
        <w:t xml:space="preserve"> </w:t>
      </w:r>
      <w:r>
        <w:t xml:space="preserve">embedding event emission in the tools crews already use — not training,</w:t>
      </w:r>
      <w:r>
        <w:t xml:space="preserve"> </w:t>
      </w:r>
      <w:r>
        <w:t xml:space="preserve">not policy memos. The program’s failed first attempt deserves equal</w:t>
      </w:r>
      <w:r>
        <w:t xml:space="preserve"> </w:t>
      </w:r>
      <w:r>
        <w:t xml:space="preserve">billing: a two-hour training module and a laminated procedure card,</w:t>
      </w:r>
      <w:r>
        <w:t xml:space="preserve"> </w:t>
      </w:r>
      <w:r>
        <w:t xml:space="preserve">which produced two weeks of conscientious logging followed by</w:t>
      </w:r>
      <w:r>
        <w:t xml:space="preserve"> </w:t>
      </w:r>
      <w:r>
        <w:t xml:space="preserve">regression to exactly the prior baseline — a result any behavioral</w:t>
      </w:r>
      <w:r>
        <w:t xml:space="preserve"> </w:t>
      </w:r>
      <w:r>
        <w:t xml:space="preserve">scientist would have predicted and the budget’s training line item did</w:t>
      </w:r>
      <w:r>
        <w:t xml:space="preserve"> </w:t>
      </w:r>
      <w:r>
        <w:t xml:space="preserve">not.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Anchoring bought unplanned credibility.</w:t>
      </w:r>
      <w:r>
        <w:t xml:space="preserve"> </w:t>
      </w:r>
      <w:r>
        <w:t xml:space="preserve">The S4 finding: external counsel</w:t>
      </w:r>
      <w:r>
        <w:t xml:space="preserve"> </w:t>
      </w:r>
      <w:r>
        <w:t xml:space="preserve">treated public-chain anchors as the decisive authenticity argument, ahead of</w:t>
      </w:r>
      <w:r>
        <w:t xml:space="preserve"> </w:t>
      </w:r>
      <w:r>
        <w:t xml:space="preserve">the consortium’s own signatures. Budget anchoring generously; it is the</w:t>
      </w:r>
      <w:r>
        <w:t xml:space="preserve"> </w:t>
      </w:r>
      <w:r>
        <w:t xml:space="preserve">cheapest trust in the system. The mechanism, per the counsel debrief, is</w:t>
      </w:r>
      <w:r>
        <w:t xml:space="preserve"> </w:t>
      </w:r>
      <w:r>
        <w:t xml:space="preserve">worth recording: the anchors required no explanation of consortium</w:t>
      </w:r>
      <w:r>
        <w:t xml:space="preserve"> </w:t>
      </w:r>
      <w:r>
        <w:t xml:space="preserve">governance, no trust in any party to the dispute, and no expert witness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newspaper argument,</w:t>
      </w:r>
      <w:r>
        <w:t xml:space="preserve">”</w:t>
      </w:r>
      <w:r>
        <w:t xml:space="preserve"> </w:t>
      </w:r>
      <w:r>
        <w:t xml:space="preserve">one lawyer called it, independently</w:t>
      </w:r>
      <w:r>
        <w:t xml:space="preserve"> </w:t>
      </w:r>
      <w:r>
        <w:t xml:space="preserve">reinventing Section 2.1.2’s framing, and lawyers argue comfortably from</w:t>
      </w:r>
      <w:r>
        <w:t xml:space="preserve"> </w:t>
      </w:r>
      <w:r>
        <w:t xml:space="preserve">precedents they can see.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Underestimated: instrument identity operations.</w:t>
      </w:r>
      <w:r>
        <w:t xml:space="preserve"> </w:t>
      </w:r>
      <w:r>
        <w:t xml:space="preserve">Calibration-lifecycle</w:t>
      </w:r>
      <w:r>
        <w:t xml:space="preserve"> </w:t>
      </w:r>
      <w:r>
        <w:t xml:space="preserve">events for ~60 instruments (testers, cameras, handhelds, drones) generated</w:t>
      </w:r>
      <w:r>
        <w:t xml:space="preserve"> </w:t>
      </w:r>
      <w:r>
        <w:t xml:space="preserve">more governance traffic than all 126,000 modules — accreditation renewals,</w:t>
      </w:r>
      <w:r>
        <w:t xml:space="preserve"> </w:t>
      </w:r>
      <w:r>
        <w:t xml:space="preserve">firmware attestations, one revoked handheld. Section 4.5’s Rule 3 is right and</w:t>
      </w:r>
      <w:r>
        <w:t xml:space="preserve"> </w:t>
      </w:r>
      <w:r>
        <w:t xml:space="preserve">is also real work; staff it. The revoked handheld is its own paragraph</w:t>
      </w:r>
      <w:r>
        <w:t xml:space="preserve"> </w:t>
      </w:r>
      <w:r>
        <w:t xml:space="preserve">of instruction: a unit whose firmware attestation began failing after a</w:t>
      </w:r>
      <w:r>
        <w:t xml:space="preserve"> </w:t>
      </w:r>
      <w:r>
        <w:t xml:space="preserve">field repair by an unauthorized service shop — no malice found, but the</w:t>
      </w:r>
      <w:r>
        <w:t xml:space="preserve"> </w:t>
      </w:r>
      <w:r>
        <w:t xml:space="preserve">attestation chain was broken and the revocation-and-re-provisioning</w:t>
      </w:r>
      <w:r>
        <w:t xml:space="preserve"> </w:t>
      </w:r>
      <w:r>
        <w:t xml:space="preserve">machinery ran exactly as designed, retiring 3 weeks of that unit’s</w:t>
      </w:r>
      <w:r>
        <w:t xml:space="preserve"> </w:t>
      </w:r>
      <w:r>
        <w:t xml:space="preserve">measurements to grade I-C (operator-attested) status. The measurements</w:t>
      </w:r>
      <w:r>
        <w:t xml:space="preserve"> </w:t>
      </w:r>
      <w:r>
        <w:t xml:space="preserve">survived, downgraded honestly; the procedure held; and the O&amp;M</w:t>
      </w:r>
      <w:r>
        <w:t xml:space="preserve"> </w:t>
      </w:r>
      <w:r>
        <w:t xml:space="preserve">contractor now reads repair terms in its instrument purchase orders.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two-layer decomposition needs versioned discipline.</w:t>
      </w:r>
      <w:r>
        <w:t xml:space="preserve"> </w:t>
      </w:r>
      <w:r>
        <w:t xml:space="preserve">Mid-pilot</w:t>
      </w:r>
      <w:r>
        <w:t xml:space="preserve"> </w:t>
      </w:r>
      <w:r>
        <w:t xml:space="preserve">improvement of the stable/condition separation model (Section 6.3) forced the</w:t>
      </w:r>
      <w:r>
        <w:t xml:space="preserve"> </w:t>
      </w:r>
      <w:r>
        <w:t xml:space="preserve">first live exercise of payload versioning and P1-style re-commitment for 6,300</w:t>
      </w:r>
      <w:r>
        <w:t xml:space="preserve"> </w:t>
      </w:r>
      <w:r>
        <w:t xml:space="preserve">Tier-2 templates. It worked, and it was the strongest validation of</w:t>
      </w:r>
      <w:r>
        <w:t xml:space="preserve"> </w:t>
      </w:r>
      <w:r>
        <w:t xml:space="preserve">Chapter 9’s machinery the pilot produced — migration exercised as routine, not</w:t>
      </w:r>
      <w:r>
        <w:t xml:space="preserve"> </w:t>
      </w:r>
      <w:r>
        <w:t xml:space="preserve">emergency.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Measure the humans, kindly.</w:t>
      </w:r>
      <w:r>
        <w:t xml:space="preserve"> </w:t>
      </w:r>
      <w:r>
        <w:t xml:space="preserve">The program’s most predictive</w:t>
      </w:r>
      <w:r>
        <w:t xml:space="preserve"> </w:t>
      </w:r>
      <w:r>
        <w:t xml:space="preserve">operational metrics were human-process statistics nobody originally</w:t>
      </w:r>
      <w:r>
        <w:t xml:space="preserve"> </w:t>
      </w:r>
      <w:r>
        <w:t xml:space="preserve">planned to collect: co-signing lag (the S2 early warning), exception-</w:t>
      </w:r>
      <w:r>
        <w:t xml:space="preserve"> </w:t>
      </w:r>
      <w:r>
        <w:t xml:space="preserve">path rates by station and shift (which located a training gap two weeks</w:t>
      </w:r>
      <w:r>
        <w:t xml:space="preserve"> </w:t>
      </w:r>
      <w:r>
        <w:t xml:space="preserve">before it would have become a data-quality incident), and work-order-to-</w:t>
      </w:r>
      <w:r>
        <w:t xml:space="preserve"> </w:t>
      </w:r>
      <w:r>
        <w:t xml:space="preserve">event latency by crew. The kindness matters as much as the measurement:</w:t>
      </w:r>
      <w:r>
        <w:t xml:space="preserve"> </w:t>
      </w:r>
      <w:r>
        <w:t xml:space="preserve">the metrics were reviewed as process health, never as individual</w:t>
      </w:r>
      <w:r>
        <w:t xml:space="preserve"> </w:t>
      </w:r>
      <w:r>
        <w:t xml:space="preserve">performance — the moment field crews suspect the evidence layer is a</w:t>
      </w:r>
      <w:r>
        <w:t xml:space="preserve"> </w:t>
      </w:r>
      <w:r>
        <w:t xml:space="preserve">surveillance layer, Section 5.7’s completeness problem stops being</w:t>
      </w:r>
      <w:r>
        <w:t xml:space="preserve"> </w:t>
      </w:r>
      <w:r>
        <w:t xml:space="preserve">incentive-shaped and becomes adversarial, and no schema survives its</w:t>
      </w:r>
      <w:r>
        <w:t xml:space="preserve"> </w:t>
      </w:r>
      <w:r>
        <w:t xml:space="preserve">own users’ hostility.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pilot’s size was nearly too small — and nearly too large.</w:t>
      </w:r>
      <w:r>
        <w:t xml:space="preserve"> </w:t>
      </w:r>
      <w:r>
        <w:t xml:space="preserve">Too</w:t>
      </w:r>
      <w:r>
        <w:t xml:space="preserve"> </w:t>
      </w:r>
      <w:r>
        <w:t xml:space="preserve">small: eight validators left (f = 2), one insolvency away from</w:t>
      </w:r>
      <w:r>
        <w:t xml:space="preserve"> </w:t>
      </w:r>
      <w:r>
        <w:t xml:space="preserve">discomfort, and several governance mechanisms (adverse-interest quorums</w:t>
      </w:r>
      <w:r>
        <w:t xml:space="preserve"> </w:t>
      </w:r>
      <w:r>
        <w:t xml:space="preserve">especially) only barely had the membership to constitute themselves.</w:t>
      </w:r>
      <w:r>
        <w:t xml:space="preserve"> </w:t>
      </w:r>
      <w:r>
        <w:t xml:space="preserve">Too large: 126,000 units meant that every schema mistake had six-figure</w:t>
      </w:r>
      <w:r>
        <w:t xml:space="preserve"> </w:t>
      </w:r>
      <w:r>
        <w:t xml:space="preserve">blast radii, which made the committee conservative in ways a 5 MW</w:t>
      </w:r>
      <w:r>
        <w:t xml:space="preserve"> </w:t>
      </w:r>
      <w:r>
        <w:t xml:space="preserve">sandbox would not have suffered. Programs following this one should</w:t>
      </w:r>
      <w:r>
        <w:t xml:space="preserve"> </w:t>
      </w:r>
      <w:r>
        <w:t xml:space="preserve">consider the two-stage shape the pilot backed into by luck — constitute</w:t>
      </w:r>
      <w:r>
        <w:t xml:space="preserve"> </w:t>
      </w:r>
      <w:r>
        <w:t xml:space="preserve">governance and schema against a small early tranche, then scale the</w:t>
      </w:r>
      <w:r>
        <w:t xml:space="preserve"> </w:t>
      </w:r>
      <w:r>
        <w:t xml:space="preserve">fleet once the amendment traffic settles.</w:t>
      </w:r>
    </w:p>
    <w:bookmarkEnd w:id="28"/>
    <w:bookmarkStart w:id="29" w:name="governance-as-deployed"/>
    <w:p>
      <w:pPr>
        <w:pStyle w:val="Heading2"/>
      </w:pPr>
      <w:r>
        <w:t xml:space="preserve">11.6 Governance as Deployed</w:t>
      </w:r>
    </w:p>
    <w:p>
      <w:pPr>
        <w:pStyle w:val="FirstParagraph"/>
      </w:pPr>
      <w:r>
        <w:t xml:space="preserve">One seat deserves mention for being empty: the program invited the state</w:t>
      </w:r>
      <w:r>
        <w:t xml:space="preserve"> </w:t>
      </w:r>
      <w:r>
        <w:t xml:space="preserve">energy regulator to observe (Section 10.3’s observers-before-members</w:t>
      </w:r>
      <w:r>
        <w:t xml:space="preserve"> </w:t>
      </w:r>
      <w:r>
        <w:t xml:space="preserve">principle), and the invitation was declined for capacity reasons — with a</w:t>
      </w:r>
      <w:r>
        <w:t xml:space="preserve"> </w:t>
      </w:r>
      <w:r>
        <w:t xml:space="preserve">request for the transparency reports instead, which the regulator’s staff</w:t>
      </w:r>
      <w:r>
        <w:t xml:space="preserve"> </w:t>
      </w:r>
      <w:r>
        <w:t xml:space="preserve">have since cited twice in DER data-standards consultations. The</w:t>
      </w:r>
      <w:r>
        <w:t xml:space="preserve"> </w:t>
      </w:r>
      <w:r>
        <w:t xml:space="preserve">half-engagement is reported as encouragement calibrated to reality:</w:t>
      </w:r>
      <w:r>
        <w:t xml:space="preserve"> </w:t>
      </w:r>
      <w:r>
        <w:t xml:space="preserve">regulatory familiarity compounds slowly, starts with documents rather</w:t>
      </w:r>
      <w:r>
        <w:t xml:space="preserve"> </w:t>
      </w:r>
      <w:r>
        <w:t xml:space="preserve">than seats, and begins whenever someone sends the first report.</w:t>
      </w:r>
    </w:p>
    <w:p>
      <w:pPr>
        <w:pStyle w:val="BodyText"/>
      </w:pPr>
      <w:r>
        <w:t xml:space="preserve">The Table 10.2 allocations, instantiated: accreditation committee of three</w:t>
      </w:r>
      <w:r>
        <w:t xml:space="preserve"> </w:t>
      </w:r>
      <w:r>
        <w:t xml:space="preserve">(certifier, insurer, university — no party in the module supply chain); technical</w:t>
      </w:r>
      <w:r>
        <w:t xml:space="preserve"> </w:t>
      </w:r>
      <w:r>
        <w:t xml:space="preserve">committee chaired by the owner; contract upgrades by 6-of-8 with a 14-day</w:t>
      </w:r>
      <w:r>
        <w:t xml:space="preserve"> </w:t>
      </w:r>
      <w:r>
        <w:t xml:space="preserve">timelock; migration authority pre-delegated to the technical committee acting</w:t>
      </w:r>
      <w:r>
        <w:t xml:space="preserve"> </w:t>
      </w:r>
      <w:r>
        <w:t xml:space="preserve">with the university lab; party-registry disclosure triggers enumerated (dispute</w:t>
      </w:r>
      <w:r>
        <w:t xml:space="preserve"> </w:t>
      </w:r>
      <w:r>
        <w:t xml:space="preserve">event, regulatory demand, insurance claim above a threshold) with the certifier</w:t>
      </w:r>
      <w:r>
        <w:t xml:space="preserve"> </w:t>
      </w:r>
      <w:r>
        <w:t xml:space="preserve">as contested-case adjudicator; arbitration under the ICC rules seated per the</w:t>
      </w:r>
      <w:r>
        <w:t xml:space="preserve"> </w:t>
      </w:r>
      <w:r>
        <w:t xml:space="preserve">consortium agreement. Two governance events fired in year one — the S2 window</w:t>
      </w:r>
      <w:r>
        <w:t xml:space="preserve"> </w:t>
      </w:r>
      <w:r>
        <w:t xml:space="preserve">amendment (schema policy change, 8-of-8) and one custody-SLA breach finding.</w:t>
      </w:r>
      <w:r>
        <w:t xml:space="preserve"> </w:t>
      </w:r>
      <w:r>
        <w:t xml:space="preserve">Neither reached arbitration. The agreement’s most-used clause, unexpectedly, was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instrument</w:t>
      </w:r>
      <w:r>
        <w:t xml:space="preserve"> </w:t>
      </w:r>
      <w:r>
        <w:t xml:space="preserve">accreditation schedule (lesson 5).</w:t>
      </w:r>
    </w:p>
    <w:p>
      <w:pPr>
        <w:pStyle w:val="BodyText"/>
      </w:pPr>
      <w:r>
        <w:t xml:space="preserve">The custody-SLA episode completes the governance record because it</w:t>
      </w:r>
      <w:r>
        <w:t xml:space="preserve"> </w:t>
      </w:r>
      <w:r>
        <w:t xml:space="preserve">exercised the sanctions ladder end to end. The OEM-side custody store</w:t>
      </w:r>
      <w:r>
        <w:t xml:space="preserve"> </w:t>
      </w:r>
      <w:r>
        <w:t xml:space="preserve">failed retrievability challenges for nine consecutive days (lesson 1’s</w:t>
      </w:r>
      <w:r>
        <w:t xml:space="preserve"> </w:t>
      </w:r>
      <w:r>
        <w:t xml:space="preserve">sleeping-alert incident); the audit contract’s third consecutive failure</w:t>
      </w:r>
      <w:r>
        <w:t xml:space="preserve"> </w:t>
      </w:r>
      <w:r>
        <w:t xml:space="preserve">had already triggered automatic re-replication to the archival custodian,</w:t>
      </w:r>
      <w:r>
        <w:t xml:space="preserve"> </w:t>
      </w:r>
      <w:r>
        <w:t xml:space="preserve">so no payload was ever at risk — but the SLA breach stood. The operations</w:t>
      </w:r>
      <w:r>
        <w:t xml:space="preserve"> </w:t>
      </w:r>
      <w:r>
        <w:t xml:space="preserve">committee’s finding imposed the ladder’s second rung (a remediation plan</w:t>
      </w:r>
      <w:r>
        <w:t xml:space="preserve"> </w:t>
      </w:r>
      <w:r>
        <w:t xml:space="preserve">with verification, plus the challenge sampling rate doubled for that store</w:t>
      </w:r>
      <w:r>
        <w:t xml:space="preserve"> </w:t>
      </w:r>
      <w:r>
        <w:t xml:space="preserve">for two quarters) rather than the financial penalty the agreement</w:t>
      </w:r>
      <w:r>
        <w:t xml:space="preserve"> </w:t>
      </w:r>
      <w:r>
        <w:t xml:space="preserve">permitted, reasoning recorded in the finding: first breach, no data</w:t>
      </w:r>
      <w:r>
        <w:t xml:space="preserve"> </w:t>
      </w:r>
      <w:r>
        <w:t xml:space="preserve">exposure, root cause procedural. The store’s operator fixed the alert</w:t>
      </w:r>
      <w:r>
        <w:t xml:space="preserve"> </w:t>
      </w:r>
      <w:r>
        <w:t xml:space="preserve">routing, passed the enhanced regime clean, and the episode now serves as</w:t>
      </w:r>
      <w:r>
        <w:t xml:space="preserve"> </w:t>
      </w:r>
      <w:r>
        <w:t xml:space="preserve">the consortium’s worked example that the ladder’s lower rungs are real —</w:t>
      </w:r>
      <w:r>
        <w:t xml:space="preserve"> </w:t>
      </w:r>
      <w:r>
        <w:t xml:space="preserve">which, per Section 4.3.2’s argument, is what makes the upper rungs</w:t>
      </w:r>
      <w:r>
        <w:t xml:space="preserve"> </w:t>
      </w:r>
      <w:r>
        <w:t xml:space="preserve">credible.</w:t>
      </w:r>
    </w:p>
    <w:p>
      <w:pPr>
        <w:pStyle w:val="BodyText"/>
      </w:pPr>
      <w:r>
        <w:t xml:space="preserve">Expansion status at time of writing: the second plant (a different owner,</w:t>
      </w:r>
      <w:r>
        <w:t xml:space="preserve"> </w:t>
      </w:r>
      <w:r>
        <w:t xml:space="preserve">a different module OEM — forcing problem 2 of Section 11.7 onto the</w:t>
      </w:r>
      <w:r>
        <w:t xml:space="preserve"> </w:t>
      </w:r>
      <w:r>
        <w:t xml:space="preserve">roadmap where it belongs) has signed the accession instrument the</w:t>
      </w:r>
      <w:r>
        <w:t xml:space="preserve"> </w:t>
      </w:r>
      <w:r>
        <w:t xml:space="preserve">agreement’s membership clauses anticipated, bringing the validator set to</w:t>
      </w:r>
      <w:r>
        <w:t xml:space="preserve"> </w:t>
      </w:r>
      <w:r>
        <w:t xml:space="preserve">eleven with three further candidates in diligence; the schema required no</w:t>
      </w:r>
      <w:r>
        <w:t xml:space="preserve"> </w:t>
      </w:r>
      <w:r>
        <w:t xml:space="preserve">changes for the new OEM’s enrollment integration, which is the</w:t>
      </w:r>
      <w:r>
        <w:t xml:space="preserve"> </w:t>
      </w:r>
      <w:r>
        <w:t xml:space="preserve">extensibility principle earning its second data point. The federation</w:t>
      </w:r>
      <w:r>
        <w:t xml:space="preserve"> </w:t>
      </w:r>
      <w:r>
        <w:t xml:space="preserve">question — whether growth continues within one consortium or splits along</w:t>
      </w:r>
      <w:r>
        <w:t xml:space="preserve"> </w:t>
      </w:r>
      <w:r>
        <w:t xml:space="preserve">the jurisdictional lines Chapter 7 and 10 recommend — is scheduled for the</w:t>
      </w:r>
      <w:r>
        <w:t xml:space="preserve"> </w:t>
      </w:r>
      <w:r>
        <w:t xml:space="preserve">membership’s second annual meeting, and this book’s advice is on the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Governance load, quantified for planners: across year one, the committees</w:t>
      </w:r>
      <w:r>
        <w:t xml:space="preserve"> </w:t>
      </w:r>
      <w:r>
        <w:t xml:space="preserve">consumed roughly 340 person-hours across the eight members — front-loaded</w:t>
      </w:r>
      <w:r>
        <w:t xml:space="preserve"> </w:t>
      </w:r>
      <w:r>
        <w:t xml:space="preserve">into the amendment and accreditation traffic of the first two quarters,</w:t>
      </w:r>
      <w:r>
        <w:t xml:space="preserve"> </w:t>
      </w:r>
      <w:r>
        <w:t xml:space="preserve">decaying toward a steady state near 20 hours a month consortium-wide.</w:t>
      </w:r>
      <w:r>
        <w:t xml:space="preserve"> </w:t>
      </w:r>
      <w:r>
        <w:t xml:space="preserve">Small numbers, deliberately reported: the sector’s consortium-phobia is</w:t>
      </w:r>
      <w:r>
        <w:t xml:space="preserve"> </w:t>
      </w:r>
      <w:r>
        <w:t xml:space="preserve">calibrated on standards-war experiences, and the observed load of</w:t>
      </w:r>
      <w:r>
        <w:t xml:space="preserve"> </w:t>
      </w:r>
      <w:r>
        <w:t xml:space="preserve">governing a</w:t>
      </w:r>
      <w:r>
        <w:t xml:space="preserve"> </w:t>
      </w:r>
      <w:r>
        <w:rPr>
          <w:iCs/>
          <w:i/>
        </w:rPr>
        <w:t xml:space="preserve">running system with decided questions</w:t>
      </w:r>
      <w:r>
        <w:t xml:space="preserve"> </w:t>
      </w:r>
      <w:r>
        <w:t xml:space="preserve">is an order of</w:t>
      </w:r>
      <w:r>
        <w:t xml:space="preserve"> </w:t>
      </w:r>
      <w:r>
        <w:t xml:space="preserve">magnitude below the load of deciding the questions — one more argument</w:t>
      </w:r>
      <w:r>
        <w:t xml:space="preserve"> </w:t>
      </w:r>
      <w:r>
        <w:t xml:space="preserve">for Phase 0 patience.</w:t>
      </w:r>
    </w:p>
    <w:bookmarkEnd w:id="29"/>
    <w:bookmarkStart w:id="30" w:name="open-engineering-problems-from-the-field"/>
    <w:p>
      <w:pPr>
        <w:pStyle w:val="Heading2"/>
      </w:pPr>
      <w:r>
        <w:t xml:space="preserve">11.7 Open Engineering Problems, From the Field</w:t>
      </w:r>
    </w:p>
    <w:p>
      <w:pPr>
        <w:pStyle w:val="FirstParagraph"/>
      </w:pPr>
      <w:r>
        <w:t xml:space="preserve">Continuing Section 6.8’s list with what only deployment reveals — six</w:t>
      </w:r>
      <w:r>
        <w:t xml:space="preserve"> </w:t>
      </w:r>
      <w:r>
        <w:t xml:space="preserve">problems, each stated with what the pilot contributed toward its solution,</w:t>
      </w:r>
      <w:r>
        <w:t xml:space="preserve"> </w:t>
      </w:r>
      <w:r>
        <w:t xml:space="preserve">because a case study that only</w:t>
      </w:r>
      <w:r>
        <w:t xml:space="preserve"> </w:t>
      </w:r>
      <w:r>
        <w:rPr>
          <w:iCs/>
          <w:i/>
        </w:rPr>
        <w:t xml:space="preserve">finds</w:t>
      </w:r>
      <w:r>
        <w:t xml:space="preserve"> </w:t>
      </w:r>
      <w:r>
        <w:t xml:space="preserve">problems has done half its job.</w:t>
      </w:r>
    </w:p>
    <w:p>
      <w:pPr>
        <w:pStyle w:val="BodyText"/>
      </w:pPr>
      <w:r>
        <w:rPr>
          <w:bCs/>
          <w:b/>
        </w:rPr>
        <w:t xml:space="preserve">(1) Handheld challenge-verification ergonomics.</w:t>
      </w:r>
      <w:r>
        <w:t xml:space="preserve"> </w:t>
      </w:r>
      <w:r>
        <w:t xml:space="preserve">Step-3 throughput is</w:t>
      </w:r>
      <w:r>
        <w:t xml:space="preserve"> </w:t>
      </w:r>
      <w:r>
        <w:t xml:space="preserve">gated by fixture alignment time, not measurement time: the measurement</w:t>
      </w:r>
      <w:r>
        <w:t xml:space="preserve"> </w:t>
      </w:r>
      <w:r>
        <w:t xml:space="preserve">takes seconds, but positioning the rig against a racked module, achieving</w:t>
      </w:r>
      <w:r>
        <w:t xml:space="preserve"> </w:t>
      </w:r>
      <w:r>
        <w:t xml:space="preserve">standoff tolerance, and confirming fiducial lock averaged four minutes per</w:t>
      </w:r>
      <w:r>
        <w:t xml:space="preserve"> </w:t>
      </w:r>
      <w:r>
        <w:t xml:space="preserve">unit across the S3 campaign, and the technicians’ own suggestions (a</w:t>
      </w:r>
      <w:r>
        <w:t xml:space="preserve"> </w:t>
      </w:r>
      <w:r>
        <w:t xml:space="preserve">self-aligning frame jig, projected alignment guides) are mechanical</w:t>
      </w:r>
      <w:r>
        <w:t xml:space="preserve"> </w:t>
      </w:r>
      <w:r>
        <w:t xml:space="preserve">engineering nobody has funded. The problem is prosaic and decisive: at two</w:t>
      </w:r>
      <w:r>
        <w:t xml:space="preserve"> </w:t>
      </w:r>
      <w:r>
        <w:t xml:space="preserve">minutes per unit, escalated verification prices into routine transactions;</w:t>
      </w:r>
      <w:r>
        <w:t xml:space="preserve"> </w:t>
      </w:r>
      <w:r>
        <w:t xml:space="preserve">at six, it stays exceptional.</w:t>
      </w:r>
    </w:p>
    <w:p>
      <w:pPr>
        <w:pStyle w:val="BodyText"/>
      </w:pPr>
      <w:r>
        <w:rPr>
          <w:bCs/>
          <w:b/>
        </w:rPr>
        <w:t xml:space="preserve">(2) Template portability across instrument generations.</w:t>
      </w:r>
      <w:r>
        <w:t xml:space="preserve"> </w:t>
      </w:r>
      <w:r>
        <w:t xml:space="preserve">The pilot’s</w:t>
      </w:r>
      <w:r>
        <w:t xml:space="preserve"> </w:t>
      </w:r>
      <w:r>
        <w:t xml:space="preserve">re-commitment exercise (lesson 6) worked within one vendor’s pipeline —</w:t>
      </w:r>
      <w:r>
        <w:t xml:space="preserve"> </w:t>
      </w:r>
      <w:r>
        <w:t xml:space="preserve">same optics, same feature extraction, versioned parameters. The unsolved</w:t>
      </w:r>
      <w:r>
        <w:t xml:space="preserve"> </w:t>
      </w:r>
      <w:r>
        <w:t xml:space="preserve">case is heterogeneity: an S3-style verification in 2035 will use cameras</w:t>
      </w:r>
      <w:r>
        <w:t xml:space="preserve"> </w:t>
      </w:r>
      <w:r>
        <w:t xml:space="preserve">and extraction software that do not exist today, and nothing yet</w:t>
      </w:r>
      <w:r>
        <w:t xml:space="preserve"> </w:t>
      </w:r>
      <w:r>
        <w:t xml:space="preserve">guarantees that their templates land in a comparable feature space.</w:t>
      </w:r>
      <w:r>
        <w:t xml:space="preserve"> </w:t>
      </w:r>
      <w:r>
        <w:t xml:space="preserve">Cross-vendor template verification standards do not exist (→ Chapter 14,</w:t>
      </w:r>
      <w:r>
        <w:t xml:space="preserve"> </w:t>
      </w:r>
      <w:r>
        <w:t xml:space="preserve">S3), and the pilot’s contribution is a dataset: the 6,300-unit Tier-2</w:t>
      </w:r>
      <w:r>
        <w:t xml:space="preserve"> </w:t>
      </w:r>
      <w:r>
        <w:t xml:space="preserve">cohort, imaged under two instrument generations, awaiting exactly this</w:t>
      </w:r>
      <w:r>
        <w:t xml:space="preserve"> </w:t>
      </w:r>
      <w:r>
        <w:t xml:space="preserve">research.</w:t>
      </w:r>
    </w:p>
    <w:p>
      <w:pPr>
        <w:pStyle w:val="BodyText"/>
      </w:pPr>
      <w:r>
        <w:rPr>
          <w:bCs/>
          <w:b/>
        </w:rPr>
        <w:t xml:space="preserve">(3) Bifacial rear-side condition records.</w:t>
      </w:r>
      <w:r>
        <w:t xml:space="preserve"> </w:t>
      </w:r>
      <w:r>
        <w:t xml:space="preserve">Rear EL in the field remains</w:t>
      </w:r>
      <w:r>
        <w:t xml:space="preserve"> </w:t>
      </w:r>
      <w:r>
        <w:t xml:space="preserve">awkward — access, reflection management, and the racking’s shadowing all</w:t>
      </w:r>
      <w:r>
        <w:t xml:space="preserve"> </w:t>
      </w:r>
      <w:r>
        <w:t xml:space="preserve">degrade image quality — and the pilot’s rear-side evidence is thinner than</w:t>
      </w:r>
      <w:r>
        <w:t xml:space="preserve"> </w:t>
      </w:r>
      <w:r>
        <w:t xml:space="preserve">its front-side evidence in ways an adversary could learn and exploit</w:t>
      </w:r>
      <w:r>
        <w:t xml:space="preserve"> </w:t>
      </w:r>
      <w:r>
        <w:t xml:space="preserve">(a rear-side defect history is effectively unverifiable at V2 today). The</w:t>
      </w:r>
      <w:r>
        <w:t xml:space="preserve"> </w:t>
      </w:r>
      <w:r>
        <w:t xml:space="preserve">candidate answers (rear-biased challenge protocols, thermographic</w:t>
      </w:r>
      <w:r>
        <w:t xml:space="preserve"> </w:t>
      </w:r>
      <w:r>
        <w:t xml:space="preserve">surrogates, sampling modules pulled to ground stations) all cost more than</w:t>
      </w:r>
      <w:r>
        <w:t xml:space="preserve"> </w:t>
      </w:r>
      <w:r>
        <w:t xml:space="preserve">the front-side equivalents, and the honest current posture is the graded</w:t>
      </w:r>
      <w:r>
        <w:t xml:space="preserve"> </w:t>
      </w:r>
      <w:r>
        <w:t xml:space="preserve">one: rear-side claims carry a lower evidence grade, priced accordingly.</w:t>
      </w:r>
    </w:p>
    <w:p>
      <w:pPr>
        <w:pStyle w:val="BodyText"/>
      </w:pPr>
      <w:r>
        <w:rPr>
          <w:bCs/>
          <w:b/>
        </w:rPr>
        <w:t xml:space="preserve">(4) Event emission from subcontractor tools.</w:t>
      </w:r>
      <w:r>
        <w:t xml:space="preserve"> </w:t>
      </w:r>
      <w:r>
        <w:t xml:space="preserve">The work-order</w:t>
      </w:r>
      <w:r>
        <w:t xml:space="preserve"> </w:t>
      </w:r>
      <w:r>
        <w:t xml:space="preserve">integration (lesson 3) covered the O&amp;M prime, while sub-tier crews —</w:t>
      </w:r>
      <w:r>
        <w:t xml:space="preserve"> </w:t>
      </w:r>
      <w:r>
        <w:t xml:space="preserve">the cleaning contractor’s crews above all — still route around it,</w:t>
      </w:r>
      <w:r>
        <w:t xml:space="preserve"> </w:t>
      </w:r>
      <w:r>
        <w:t xml:space="preserve">reporting through the prime’s paperwork at day’s end. The S3 pallet-drop</w:t>
      </w:r>
      <w:r>
        <w:t xml:space="preserve"> </w:t>
      </w:r>
      <w:r>
        <w:t xml:space="preserve">finding was exactly this gap. Options run from contractual flow-down</w:t>
      </w:r>
      <w:r>
        <w:t xml:space="preserve"> </w:t>
      </w:r>
      <w:r>
        <w:t xml:space="preserve">(works, slowly, at renewal cadence) to a lightweight signing app for</w:t>
      </w:r>
      <w:r>
        <w:t xml:space="preserve"> </w:t>
      </w:r>
      <w:r>
        <w:t xml:space="preserve">sub-tier use (grade I-C, but an attributed I-C beats an invisible gap)</w:t>
      </w:r>
      <w:r>
        <w:t xml:space="preserve"> </w:t>
      </w:r>
      <w:r>
        <w:t xml:space="preserve">to the structural answer of making event emission a prerequisite for site</w:t>
      </w:r>
      <w:r>
        <w:t xml:space="preserve"> </w:t>
      </w:r>
      <w:r>
        <w:t xml:space="preserve">access badges — which the owner is piloting and the book reports without</w:t>
      </w:r>
      <w:r>
        <w:t xml:space="preserve"> </w:t>
      </w:r>
      <w:r>
        <w:t xml:space="preserve">yet endorsing.</w:t>
      </w:r>
    </w:p>
    <w:p>
      <w:pPr>
        <w:pStyle w:val="BodyText"/>
      </w:pPr>
      <w:r>
        <w:rPr>
          <w:bCs/>
          <w:b/>
        </w:rPr>
        <w:t xml:space="preserve">(5) Retrofit enrollment backlog economics.</w:t>
      </w:r>
      <w:r>
        <w:t xml:space="preserve"> </w:t>
      </w:r>
      <w:r>
        <w:t xml:space="preserve">The owner’s other plants</w:t>
      </w:r>
      <w:r>
        <w:t xml:space="preserve"> </w:t>
      </w:r>
      <w:r>
        <w:t xml:space="preserve">want in, and Section 4.3’s retroactive-class discount needs market data it</w:t>
      </w:r>
      <w:r>
        <w:t xml:space="preserve"> </w:t>
      </w:r>
      <w:r>
        <w:t xml:space="preserve">does not yet have (→ Chapter 13): until resale or refinancing events price</w:t>
      </w:r>
      <w:r>
        <w:t xml:space="preserve"> </w:t>
      </w:r>
      <w:r>
        <w:t xml:space="preserve">retroactive-class assets against factory-class ones, the business case for</w:t>
      </w:r>
      <w:r>
        <w:t xml:space="preserve"> </w:t>
      </w:r>
      <w:r>
        <w:t xml:space="preserve">campaign-mode retrofit (as opposed to opportunistic touchpoint enrollment)</w:t>
      </w:r>
      <w:r>
        <w:t xml:space="preserve"> </w:t>
      </w:r>
      <w:r>
        <w:t xml:space="preserve">rests on modeled rather than observed premia. The pilot’s contribution is</w:t>
      </w:r>
      <w:r>
        <w:t xml:space="preserve"> </w:t>
      </w:r>
      <w:r>
        <w:t xml:space="preserve">the cost side: its retrofit trial on a neighboring 12 MW plant measured</w:t>
      </w:r>
      <w:r>
        <w:t xml:space="preserve"> </w:t>
      </w:r>
      <w:r>
        <w:t xml:space="preserve">enrollment at USD 3.10 per module in campaign mode — the denominator</w:t>
      </w:r>
      <w:r>
        <w:t xml:space="preserve"> </w:t>
      </w:r>
      <w:r>
        <w:t xml:space="preserve">waiting for its numerator.</w:t>
      </w:r>
    </w:p>
    <w:p>
      <w:pPr>
        <w:pStyle w:val="BodyText"/>
      </w:pPr>
      <w:r>
        <w:rPr>
          <w:bCs/>
          <w:b/>
        </w:rPr>
        <w:t xml:space="preserve">(6) Monitor governance.</w:t>
      </w:r>
      <w:r>
        <w:t xml:space="preserve"> </w:t>
      </w:r>
      <w:r>
        <w:t xml:space="preserve">The cohort monitor, deliberately deprived of</w:t>
      </w:r>
      <w:r>
        <w:t xml:space="preserve"> </w:t>
      </w:r>
      <w:r>
        <w:t xml:space="preserve">write authority (Section 5.5), accumulated something subtler:</w:t>
      </w:r>
      <w:r>
        <w:t xml:space="preserve"> </w:t>
      </w:r>
      <w:r>
        <w:rPr>
          <w:iCs/>
          <w:i/>
        </w:rPr>
        <w:t xml:space="preserve">agenda</w:t>
      </w:r>
      <w:r>
        <w:t xml:space="preserve"> </w:t>
      </w:r>
      <w:r>
        <w:t xml:space="preserve">authority. Its flags determined what the committees discussed, its</w:t>
      </w:r>
      <w:r>
        <w:t xml:space="preserve"> </w:t>
      </w:r>
      <w:r>
        <w:t xml:space="preserve">baselines defined</w:t>
      </w:r>
      <w:r>
        <w:t xml:space="preserve"> </w:t>
      </w:r>
      <w:r>
        <w:t xml:space="preserve">“</w:t>
      </w:r>
      <w:r>
        <w:t xml:space="preserve">normal,</w:t>
      </w:r>
      <w:r>
        <w:t xml:space="preserve">”</w:t>
      </w:r>
      <w:r>
        <w:t xml:space="preserve"> </w:t>
      </w:r>
      <w:r>
        <w:t xml:space="preserve">and by year-end its maintainers were, in</w:t>
      </w:r>
      <w:r>
        <w:t xml:space="preserve"> </w:t>
      </w:r>
      <w:r>
        <w:t xml:space="preserve">practice, among the most influential parties in the consortium — with no</w:t>
      </w:r>
      <w:r>
        <w:t xml:space="preserve"> </w:t>
      </w:r>
      <w:r>
        <w:t xml:space="preserve">accreditation, no audit schedule, and no adverse-interest rules covering</w:t>
      </w:r>
      <w:r>
        <w:t xml:space="preserve"> </w:t>
      </w:r>
      <w:r>
        <w:t xml:space="preserve">them. Nothing went wrong; the gap is the point. Read-side analytics need</w:t>
      </w:r>
      <w:r>
        <w:t xml:space="preserve"> </w:t>
      </w:r>
      <w:r>
        <w:t xml:space="preserve">governance proportional to their agenda power — versioned models,</w:t>
      </w:r>
      <w:r>
        <w:t xml:space="preserve"> </w:t>
      </w:r>
      <w:r>
        <w:t xml:space="preserve">challengeable baselines, a documented flag taxonomy — and neither this</w:t>
      </w:r>
      <w:r>
        <w:t xml:space="preserve"> </w:t>
      </w:r>
      <w:r>
        <w:t xml:space="preserve">book’s Part III nor the standards landscape yet provides the template.</w:t>
      </w:r>
    </w:p>
    <w:p>
      <w:pPr>
        <w:pStyle w:val="BodyText"/>
      </w:pPr>
      <w:r>
        <w:t xml:space="preserve">A closing observation ties the six together: none is a ledger problem.</w:t>
      </w:r>
      <w:r>
        <w:t xml:space="preserve"> </w:t>
      </w:r>
      <w:r>
        <w:t xml:space="preserve">Every open problem the deployment surfaced lives at the physical,</w:t>
      </w:r>
      <w:r>
        <w:t xml:space="preserve"> </w:t>
      </w:r>
      <w:r>
        <w:t xml:space="preserve">procedural, or institutional edges — instruments, templates, sub-tier</w:t>
      </w:r>
      <w:r>
        <w:t xml:space="preserve"> </w:t>
      </w:r>
      <w:r>
        <w:t xml:space="preserve">workflows, market data, analytics governance — which is simultaneously</w:t>
      </w:r>
      <w:r>
        <w:t xml:space="preserve"> </w:t>
      </w:r>
      <w:r>
        <w:t xml:space="preserve">the strongest validation of Part II’s architecture (its own layer held)</w:t>
      </w:r>
      <w:r>
        <w:t xml:space="preserve"> </w:t>
      </w:r>
      <w:r>
        <w:t xml:space="preserve">and the clearest instruction about where this field’s next five years of</w:t>
      </w:r>
      <w:r>
        <w:t xml:space="preserve"> </w:t>
      </w:r>
      <w:r>
        <w:t xml:space="preserve">engineering effort belong.</w:t>
      </w:r>
    </w:p>
    <w:bookmarkEnd w:id="30"/>
    <w:bookmarkStart w:id="32" w:name="illustrative-results"/>
    <w:p>
      <w:pPr>
        <w:pStyle w:val="Heading2"/>
      </w:pPr>
      <w:r>
        <w:t xml:space="preserve">11.8 Illustrative Results</w:t>
      </w:r>
    </w:p>
    <w:p>
      <w:pPr>
        <w:pStyle w:val="FirstParagraph"/>
      </w:pPr>
      <w:r>
        <w:t xml:space="preserve">The scattered numbers above, collected for the reader who will be asked</w:t>
      </w:r>
      <w:r>
        <w:t xml:space="preserve"> </w:t>
      </w:r>
      <w:r>
        <w:t xml:space="preserve">“</w:t>
      </w:r>
      <w:r>
        <w:t xml:space="preserve">but what did it actually do?</w:t>
      </w:r>
      <w:r>
        <w:t xml:space="preserve">”</w:t>
      </w:r>
      <w:r>
        <w:t xml:space="preserve"> </w:t>
      </w:r>
      <w:r>
        <w:t xml:space="preserve">in a steering committee — and, per the</w:t>
      </w:r>
      <w:r>
        <w:t xml:space="preserve"> </w:t>
      </w:r>
      <w:r>
        <w:t xml:space="preserve">book’s evidence discipline, presented with their baselines’ provenance</w:t>
      </w:r>
      <w:r>
        <w:t xml:space="preserve"> </w:t>
      </w:r>
      <w:r>
        <w:t xml:space="preserve">and their caveats attached rather than rounded into a brochure.</w:t>
      </w:r>
    </w:p>
    <w:p>
      <w:pPr>
        <w:pStyle w:val="BodyText"/>
      </w:pPr>
      <w:r>
        <w:rPr>
          <w:bCs/>
          <w:b/>
        </w:rPr>
        <w:t xml:space="preserve">Table 11.2</w:t>
      </w:r>
      <w:r>
        <w:t xml:space="preserve"> </w:t>
      </w:r>
      <w:r>
        <w:t xml:space="preserve">Illustrative year-one results for the composite walkthrough.</w:t>
      </w:r>
      <w:r>
        <w:t xml:space="preserve"> </w:t>
      </w:r>
      <w:r>
        <w:rPr>
          <w:iCs/>
          <w:i/>
        </w:rPr>
        <w:t xml:space="preserve">Evidentiary class</w:t>
      </w:r>
      <w:r>
        <w:t xml:space="preserve"> </w:t>
      </w:r>
      <w:r>
        <w:t xml:space="preserve">per row: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illustrative estimate from Chapters 6–7</w:t>
      </w:r>
      <w:r>
        <w:t xml:space="preserve"> </w:t>
      </w:r>
      <w:r>
        <w:t xml:space="preserve">models;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archetype actual (anonymized program datum, citation pending);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 sector baseline. Baselines for A-rows are insurer and OEM prior-practice</w:t>
      </w:r>
      <w:r>
        <w:t xml:space="preserve"> </w:t>
      </w:r>
      <w:r>
        <w:t xml:space="preserve">figures for comparable assets.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/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Tier-0 enrollment marginal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USD 0.08/module (compute + ledger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≤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Added line takt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s (parallel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lag (median, to anchored DID)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Anchor-cadence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Enrollment exception rate (steady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 rework loop; 0.02% label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QA norms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Commissioning events, Class C conformance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(post-amendment)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Co-signing lag (median / p95, post-amendment)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h / 61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72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Insurer diligence cost vs. conventional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baseline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verification: template match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378/380 (both mismatches explained)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FA/FR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adjudication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norm: months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retrievability challenge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99.4% (one 9-day incident)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99.9% — breached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Consortium infrastructure opex, year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Table 7.4’s plant-scale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±30%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~340 person-hours consortium-wide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baseline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t xml:space="preserve">Three caveats accompany the table in every presentation derived from this</w:t>
      </w:r>
      <w:r>
        <w:t xml:space="preserve"> </w:t>
      </w:r>
      <w:r>
        <w:t xml:space="preserve">walkthrough, and belong here too.</w:t>
      </w:r>
      <w:r>
        <w:t xml:space="preserve"> </w:t>
      </w:r>
      <w:r>
        <w:rPr>
          <w:bCs/>
          <w:b/>
        </w:rPr>
        <w:t xml:space="preserve">Baselines for A-rows are self-reported by</w:t>
      </w:r>
      <w:r>
        <w:rPr>
          <w:bCs/>
          <w:b/>
        </w:rPr>
        <w:t xml:space="preserve"> </w:t>
      </w:r>
      <w:r>
        <w:rPr>
          <w:bCs/>
          <w:b/>
        </w:rPr>
        <w:t xml:space="preserve">interested parties</w:t>
      </w:r>
      <w:r>
        <w:t xml:space="preserve">, not independently audited in the manuscript draft.</w:t>
      </w:r>
      <w:r>
        <w:t xml:space="preserve"> </w:t>
      </w:r>
      <w:r>
        <w:rPr>
          <w:bCs/>
          <w:b/>
        </w:rPr>
        <w:t xml:space="preserve">Year-one</w:t>
      </w:r>
      <w:r>
        <w:rPr>
          <w:bCs/>
          <w:b/>
        </w:rPr>
        <w:t xml:space="preserve"> </w:t>
      </w:r>
      <w:r>
        <w:rPr>
          <w:bCs/>
          <w:b/>
        </w:rPr>
        <w:t xml:space="preserve">results measure a fleet too young for degradation disputes</w:t>
      </w:r>
      <w:r>
        <w:t xml:space="preserve">, so warranty-relevant</w:t>
      </w:r>
      <w:r>
        <w:t xml:space="preserve"> </w:t>
      </w:r>
      <w:r>
        <w:t xml:space="preserve">numbers (S4) come from a rehearsal scenario, not a live claim.</w:t>
      </w:r>
      <w:r>
        <w:t xml:space="preserve"> </w:t>
      </w:r>
      <w:r>
        <w:rPr>
          <w:bCs/>
          <w:b/>
        </w:rPr>
        <w:t xml:space="preserve">A single</w:t>
      </w:r>
      <w:r>
        <w:rPr>
          <w:bCs/>
          <w:b/>
        </w:rPr>
        <w:t xml:space="preserve"> </w:t>
      </w:r>
      <w:r>
        <w:rPr>
          <w:bCs/>
          <w:b/>
        </w:rPr>
        <w:t xml:space="preserve">walkthrough proves architectural feasibility, not population statistics</w:t>
      </w:r>
      <w:r>
        <w:t xml:space="preserve"> </w:t>
      </w:r>
      <w:r>
        <w:t xml:space="preserve">— the</w:t>
      </w:r>
      <w:r>
        <w:t xml:space="preserve"> </w:t>
      </w:r>
      <w:r>
        <w:t xml:space="preserve">honest claim is that nothing in the architecture’s cost or operability assumptions</w:t>
      </w:r>
      <w:r>
        <w:t xml:space="preserve"> </w:t>
      </w:r>
      <w:r>
        <w:t xml:space="preserve">was falsified by the archetype data available, and several illustrative estimates</w:t>
      </w:r>
      <w:r>
        <w:t xml:space="preserve"> </w:t>
      </w:r>
      <w:r>
        <w:t xml:space="preserve">(enrollment cost, diligence savings, adjudication speed) landed at or better than</w:t>
      </w:r>
      <w:r>
        <w:t xml:space="preserve"> </w:t>
      </w:r>
      <w:r>
        <w:t xml:space="preserve">modeled when checked against those data.</w:t>
      </w:r>
    </w:p>
    <w:bookmarkStart w:id="31" w:name="what-the-program-would-do-differently"/>
    <w:p>
      <w:pPr>
        <w:pStyle w:val="Heading3"/>
      </w:pPr>
      <w:r>
        <w:t xml:space="preserve">11.8.1 What the Program Would Do Differently</w:t>
      </w:r>
    </w:p>
    <w:p>
      <w:pPr>
        <w:pStyle w:val="FirstParagraph"/>
      </w:pPr>
      <w:r>
        <w:t xml:space="preserve">The retrospective’s consensus items, in the program’s own priority order.</w:t>
      </w:r>
      <w:r>
        <w:t xml:space="preserve"> </w:t>
      </w:r>
      <w:r>
        <w:rPr>
          <w:iCs/>
          <w:i/>
        </w:rPr>
        <w:t xml:space="preserve">Resource Phase 0 as the main event</w:t>
      </w:r>
      <w:r>
        <w:t xml:space="preserve">: the two deferred governance</w:t>
      </w:r>
      <w:r>
        <w:t xml:space="preserve"> </w:t>
      </w:r>
      <w:r>
        <w:t xml:space="preserve">questions became the year’s two incidents, and everyone now believes the</w:t>
      </w:r>
      <w:r>
        <w:t xml:space="preserve"> </w:t>
      </w:r>
      <w:r>
        <w:t xml:space="preserve">causality.</w:t>
      </w:r>
      <w:r>
        <w:t xml:space="preserve"> </w:t>
      </w:r>
      <w:r>
        <w:rPr>
          <w:iCs/>
          <w:i/>
        </w:rPr>
        <w:t xml:space="preserve">Buy the owner’s engineer capacity twice over</w:t>
      </w:r>
      <w:r>
        <w:t xml:space="preserve">: the S2 episode</w:t>
      </w:r>
      <w:r>
        <w:t xml:space="preserve"> </w:t>
      </w:r>
      <w:r>
        <w:t xml:space="preserve">was, at root, a staffing decision made against a spreadsheet; evidence</w:t>
      </w:r>
      <w:r>
        <w:t xml:space="preserve"> </w:t>
      </w:r>
      <w:r>
        <w:t xml:space="preserve">requirements change critical-path staffing, and project plans should model</w:t>
      </w:r>
      <w:r>
        <w:t xml:space="preserve"> </w:t>
      </w:r>
      <w:r>
        <w:t xml:space="preserve">co-signing as a resource, not a formality.</w:t>
      </w:r>
      <w:r>
        <w:t xml:space="preserve"> </w:t>
      </w:r>
      <w:r>
        <w:rPr>
          <w:iCs/>
          <w:i/>
        </w:rPr>
        <w:t xml:space="preserve">Integrate the sub-tier from</w:t>
      </w:r>
      <w:r>
        <w:rPr>
          <w:iCs/>
          <w:i/>
        </w:rPr>
        <w:t xml:space="preserve"> </w:t>
      </w:r>
      <w:r>
        <w:rPr>
          <w:iCs/>
          <w:i/>
        </w:rPr>
        <w:t xml:space="preserve">day one</w:t>
      </w:r>
      <w:r>
        <w:t xml:space="preserve">: the prime-contractor boundary was known, the gap was documented,</w:t>
      </w:r>
      <w:r>
        <w:t xml:space="preserve"> </w:t>
      </w:r>
      <w:r>
        <w:t xml:space="preserve">and the pallet-drop finding happened anyway — known gaps do not close</w:t>
      </w:r>
      <w:r>
        <w:t xml:space="preserve"> </w:t>
      </w:r>
      <w:r>
        <w:t xml:space="preserve">themselves.</w:t>
      </w:r>
      <w:r>
        <w:t xml:space="preserve"> </w:t>
      </w:r>
      <w:r>
        <w:rPr>
          <w:iCs/>
          <w:i/>
        </w:rPr>
        <w:t xml:space="preserve">Instrument the humans from the start</w:t>
      </w:r>
      <w:r>
        <w:t xml:space="preserve"> </w:t>
      </w:r>
      <w:r>
        <w:t xml:space="preserve">(lesson 7’s metrics</w:t>
      </w:r>
      <w:r>
        <w:t xml:space="preserve"> </w:t>
      </w:r>
      <w:r>
        <w:t xml:space="preserve">were retrofitted at month four; the program would pay real money for the</w:t>
      </w:r>
      <w:r>
        <w:t xml:space="preserve"> </w:t>
      </w:r>
      <w:r>
        <w:t xml:space="preserve">missing four months of baseline).</w:t>
      </w:r>
      <w:r>
        <w:t xml:space="preserve"> </w:t>
      </w:r>
      <w:r>
        <w:rPr>
          <w:iCs/>
          <w:i/>
        </w:rPr>
        <w:t xml:space="preserve">Start the second-site conversation</w:t>
      </w:r>
      <w:r>
        <w:rPr>
          <w:iCs/>
          <w:i/>
        </w:rPr>
        <w:t xml:space="preserve"> </w:t>
      </w:r>
      <w:r>
        <w:rPr>
          <w:iCs/>
          <w:i/>
        </w:rPr>
        <w:t xml:space="preserve">earlier</w:t>
      </w:r>
      <w:r>
        <w:t xml:space="preserve">: several design decisions optimal for one plant (single-OEM</w:t>
      </w:r>
      <w:r>
        <w:t xml:space="preserve"> </w:t>
      </w:r>
      <w:r>
        <w:t xml:space="preserve">templates, one work-order integration) acquired inertia that the second</w:t>
      </w:r>
      <w:r>
        <w:t xml:space="preserve"> </w:t>
      </w:r>
      <w:r>
        <w:t xml:space="preserve">site — different OEM, different O&amp;M platform — now has to budget against.</w:t>
      </w:r>
      <w:r>
        <w:t xml:space="preserve"> </w:t>
      </w:r>
      <w:r>
        <w:t xml:space="preserve">None of these is architectural; all of them are expensive; and their</w:t>
      </w:r>
      <w:r>
        <w:t xml:space="preserve"> </w:t>
      </w:r>
      <w:r>
        <w:t xml:space="preserve">absence from the blockchain-for-energy literature the program consulted</w:t>
      </w:r>
      <w:r>
        <w:t xml:space="preserve"> </w:t>
      </w:r>
      <w:r>
        <w:t xml:space="preserve">at kickoff is part of why this chapter exists.</w:t>
      </w:r>
    </w:p>
    <w:p>
      <w:pPr>
        <w:pStyle w:val="BodyText"/>
      </w:pPr>
      <w:r>
        <w:t xml:space="preserve">The program’s replication kit — what a successor can take rather than</w:t>
      </w:r>
      <w:r>
        <w:t xml:space="preserve"> </w:t>
      </w:r>
      <w:r>
        <w:t xml:space="preserve">rebuild — is, in the order a successor will want it: the consortium</w:t>
      </w:r>
      <w:r>
        <w:t xml:space="preserve"> </w:t>
      </w:r>
      <w:r>
        <w:t xml:space="preserve">agreement’s structure (Section 10.5’s checklist, now with one</w:t>
      </w:r>
      <w:r>
        <w:t xml:space="preserve"> </w:t>
      </w:r>
      <w:r>
        <w:t xml:space="preserve">jurisdiction’s worked instantiation), the schema and conformance suite</w:t>
      </w:r>
      <w:r>
        <w:t xml:space="preserve"> </w:t>
      </w:r>
      <w:r>
        <w:t xml:space="preserve">(the versioned artifact, portable by design), the contract suite’s two</w:t>
      </w:r>
      <w:r>
        <w:t xml:space="preserve"> </w:t>
      </w:r>
      <w:r>
        <w:t xml:space="preserve">implementations and audit reports, the enrollment-station integration</w:t>
      </w:r>
      <w:r>
        <w:t xml:space="preserve"> </w:t>
      </w:r>
      <w:r>
        <w:t xml:space="preserve">patterns per MES vendor, the reason-code taxonomy, the sampling-design</w:t>
      </w:r>
      <w:r>
        <w:t xml:space="preserve"> </w:t>
      </w:r>
      <w:r>
        <w:t xml:space="preserve">templates, and the metrics definitions of Table 11.2 — so that the second</w:t>
      </w:r>
      <w:r>
        <w:t xml:space="preserve"> </w:t>
      </w:r>
      <w:r>
        <w:t xml:space="preserve">deployment’s results are comparable to the first’s, which is how a pilot</w:t>
      </w:r>
      <w:r>
        <w:t xml:space="preserve"> </w:t>
      </w:r>
      <w:r>
        <w:t xml:space="preserve">becomes an evidence base. [Distribution terms for these artifacts are</w:t>
      </w:r>
      <w:r>
        <w:t xml:space="preserve"> </w:t>
      </w:r>
      <w:r>
        <w:t xml:space="preserve">being settled with the program’s sponsors — TO BE CONFIRMED AT PRESS</w:t>
      </w:r>
      <w:r>
        <w:t xml:space="preserve"> </w:t>
      </w:r>
      <w:r>
        <w:t xml:space="preserve">TIME.]</w:t>
      </w:r>
    </w:p>
    <w:bookmarkEnd w:id="31"/>
    <w:bookmarkEnd w:id="32"/>
    <w:bookmarkStart w:id="33" w:name="chapter-summary"/>
    <w:p>
      <w:pPr>
        <w:pStyle w:val="Heading2"/>
      </w:pPr>
      <w:r>
        <w:t xml:space="preserve">11.9 Chapter Summary</w:t>
      </w:r>
    </w:p>
    <w:p>
      <w:pPr>
        <w:pStyle w:val="FirstParagraph"/>
      </w:pPr>
      <w:r>
        <w:t xml:space="preserve">A composite 50 MW design walkthrough instantiated the full stack — Tier-0 enrollment</w:t>
      </w:r>
      <w:r>
        <w:t xml:space="preserve"> </w:t>
      </w:r>
      <w:r>
        <w:t xml:space="preserve">folded invisibly into factory QA with sampled Tier-2 structural defect mapping, active-bound inverters,</w:t>
      </w:r>
      <w:r>
        <w:t xml:space="preserve"> </w:t>
      </w:r>
      <w:r>
        <w:t xml:space="preserve">an eight-validator BFT consortium with twice-redundant public anchoring, three-zone</w:t>
      </w:r>
      <w:r>
        <w:t xml:space="preserve"> </w:t>
      </w:r>
      <w:r>
        <w:t xml:space="preserve">privacy topology, and a four-contract suite small enough to audit twice and</w:t>
      </w:r>
      <w:r>
        <w:t xml:space="preserve"> </w:t>
      </w:r>
      <w:r>
        <w:t xml:space="preserve">change never. The build’s true proportions contradict the industry’s</w:t>
      </w:r>
      <w:r>
        <w:t xml:space="preserve"> </w:t>
      </w:r>
      <w:r>
        <w:t xml:space="preserve">assumptions: constitution and factory integration consumed the calendar;</w:t>
      </w:r>
      <w:r>
        <w:t xml:space="preserve"> </w:t>
      </w:r>
      <w:r>
        <w:t xml:space="preserve">the ledger took six weeks. The five</w:t>
      </w:r>
      <w:r>
        <w:t xml:space="preserve"> </w:t>
      </w:r>
      <w:r>
        <w:t xml:space="preserve">walked scenarios delivered the design’s promises in measurable form: production-</w:t>
      </w:r>
      <w:r>
        <w:t xml:space="preserve"> </w:t>
      </w:r>
      <w:r>
        <w:t xml:space="preserve">paced registration at batch cost with exception statistics the factory</w:t>
      </w:r>
      <w:r>
        <w:t xml:space="preserve"> </w:t>
      </w:r>
      <w:r>
        <w:t xml:space="preserve">came to want for its own reasons; Class-C commissioning that survived its first</w:t>
      </w:r>
      <w:r>
        <w:t xml:space="preserve"> </w:t>
      </w:r>
      <w:r>
        <w:t xml:space="preserve">governance collision and left behind a co-signing-lag metric that now</w:t>
      </w:r>
      <w:r>
        <w:t xml:space="preserve"> </w:t>
      </w:r>
      <w:r>
        <w:t xml:space="preserve">serves as an early-warning instrument; insurer verification at 40% of</w:t>
      </w:r>
      <w:r>
        <w:t xml:space="preserve"> </w:t>
      </w:r>
      <w:r>
        <w:t xml:space="preserve">conventional diligence cost</w:t>
      </w:r>
      <w:r>
        <w:t xml:space="preserve"> </w:t>
      </w:r>
      <w:r>
        <w:t xml:space="preserve">with pre-committed sampling that survived hostile audit review, and two</w:t>
      </w:r>
      <w:r>
        <w:t xml:space="preserve"> </w:t>
      </w:r>
      <w:r>
        <w:t xml:space="preserve">template mismatches that demonstrated the system distinguishing</w:t>
      </w:r>
      <w:r>
        <w:t xml:space="preserve"> </w:t>
      </w:r>
      <w:r>
        <w:t xml:space="preserve">sloppiness from fraud by evidence; an 11-day warranty adjudication whose ledger</w:t>
      </w:r>
      <w:r>
        <w:t xml:space="preserve"> </w:t>
      </w:r>
      <w:r>
        <w:t xml:space="preserve">extracts went uncontested and whose counsel debrief compressed the book’s</w:t>
      </w:r>
      <w:r>
        <w:t xml:space="preserve"> </w:t>
      </w:r>
      <w:r>
        <w:t xml:space="preserve">thesis into a sentence; and an unplanned divestment rehearsal that ran a</w:t>
      </w:r>
      <w:r>
        <w:t xml:space="preserve"> </w:t>
      </w:r>
      <w:r>
        <w:t xml:space="preserve">six-week diligence norm in five days. Table 11.2 collects the numbers</w:t>
      </w:r>
      <w:r>
        <w:t xml:space="preserve"> </w:t>
      </w:r>
      <w:r>
        <w:t xml:space="preserve">with their caveats attached. The failures were procedural and human — unlogged</w:t>
      </w:r>
      <w:r>
        <w:t xml:space="preserve"> </w:t>
      </w:r>
      <w:r>
        <w:t xml:space="preserve">swaps, co-signing bottlenecks, a sleeping custody operator — and the durable</w:t>
      </w:r>
      <w:r>
        <w:t xml:space="preserve"> </w:t>
      </w:r>
      <w:r>
        <w:t xml:space="preserve">lessons are about seams, not algorithms: design the escalations, embed the</w:t>
      </w:r>
      <w:r>
        <w:t xml:space="preserve"> </w:t>
      </w:r>
      <w:r>
        <w:t xml:space="preserve">event emission, staff the instrument operations, measure the humans</w:t>
      </w:r>
      <w:r>
        <w:t xml:space="preserve"> </w:t>
      </w:r>
      <w:r>
        <w:t xml:space="preserve">kindly, and resource the constitution like the main event it is. The pilot</w:t>
      </w:r>
      <w:r>
        <w:t xml:space="preserve"> </w:t>
      </w:r>
      <w:r>
        <w:t xml:space="preserve">also stress-tested Chapter 9’s</w:t>
      </w:r>
      <w:r>
        <w:t xml:space="preserve"> </w:t>
      </w:r>
      <w:r>
        <w:t xml:space="preserve">migration machinery a decade early and found it routine, which is the highest</w:t>
      </w:r>
      <w:r>
        <w:t xml:space="preserve"> </w:t>
      </w:r>
      <w:r>
        <w:t xml:space="preserve">compliment migration machinery can earn — and surfaced, in the monitor’s</w:t>
      </w:r>
      <w:r>
        <w:t xml:space="preserve"> </w:t>
      </w:r>
      <w:r>
        <w:t xml:space="preserve">quiet accumulation of agenda power, a governance gap the literature has</w:t>
      </w:r>
      <w:r>
        <w:t xml:space="preserve"> </w:t>
      </w:r>
      <w:r>
        <w:t xml:space="preserve">not yet named. What remains is to generalize beyond one</w:t>
      </w:r>
      <w:r>
        <w:t xml:space="preserve"> </w:t>
      </w:r>
      <w:r>
        <w:t xml:space="preserve">technology and one plant — Chapter 12 — and to put numbers on the value the pilot</w:t>
      </w:r>
      <w:r>
        <w:t xml:space="preserve"> </w:t>
      </w:r>
      <w:r>
        <w:t xml:space="preserve">only gestured at — Chapter 13.</w:t>
      </w:r>
    </w:p>
    <w:bookmarkEnd w:id="33"/>
    <w:bookmarkStart w:id="34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2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62446-1</w:t>
      </w:r>
      <w:r>
        <w:t xml:space="preserve"> </w:t>
      </w:r>
      <w:r>
        <w:t xml:space="preserve">(commissioning test</w:t>
      </w:r>
      <w:r>
        <w:t xml:space="preserve"> </w:t>
      </w:r>
      <w:r>
        <w:t xml:space="preserve">documentation) and</w:t>
      </w:r>
      <w:r>
        <w:t xml:space="preserve"> </w:t>
      </w:r>
      <w:r>
        <w:rPr>
          <w:iCs/>
          <w:i/>
        </w:rPr>
        <w:t xml:space="preserve">IEC TS 60904-13</w:t>
      </w:r>
      <w:r>
        <w:t xml:space="preserve"> </w:t>
      </w:r>
      <w:r>
        <w:t xml:space="preserve">(electroluminescence of photovoltaic</w:t>
      </w:r>
      <w:r>
        <w:t xml:space="preserve"> </w:t>
      </w:r>
      <w:r>
        <w:t xml:space="preserve">modules). Geneva: IEC. The standards whose artifacts the S2 payloads and</w:t>
      </w:r>
      <w:r>
        <w:t xml:space="preserve"> </w:t>
      </w:r>
      <w:r>
        <w:t xml:space="preserve">S3 campaign procedures instantiate.</w:t>
      </w:r>
    </w:p>
    <w:p>
      <w:pPr>
        <w:numPr>
          <w:ilvl w:val="0"/>
          <w:numId w:val="1002"/>
        </w:numPr>
        <w:pStyle w:val="Compact"/>
      </w:pPr>
      <w:r>
        <w:t xml:space="preserve">IEA-PVPS Task 13.</w:t>
      </w:r>
      <w:r>
        <w:t xml:space="preserve"> </w:t>
      </w:r>
      <w:r>
        <w:rPr>
          <w:iCs/>
          <w:i/>
        </w:rPr>
        <w:t xml:space="preserve">Qualification of Photovoltaic Power Plants Using</w:t>
      </w:r>
      <w:r>
        <w:rPr>
          <w:iCs/>
          <w:i/>
        </w:rPr>
        <w:t xml:space="preserve"> </w:t>
      </w:r>
      <w:r>
        <w:rPr>
          <w:iCs/>
          <w:i/>
        </w:rPr>
        <w:t xml:space="preserve">Mobile Test Equipment.</w:t>
      </w:r>
      <w:r>
        <w:t xml:space="preserve"> </w:t>
      </w:r>
      <w:r>
        <w:t xml:space="preserve">Report T13-24:2021. Field-measurement practice</w:t>
      </w:r>
      <w:r>
        <w:t xml:space="preserve"> </w:t>
      </w:r>
      <w:r>
        <w:t xml:space="preserve">underlying the S3 campaign design.</w:t>
      </w:r>
    </w:p>
    <w:p>
      <w:pPr>
        <w:numPr>
          <w:ilvl w:val="0"/>
          <w:numId w:val="1002"/>
        </w:numPr>
        <w:pStyle w:val="Compact"/>
      </w:pPr>
      <w:r>
        <w:t xml:space="preserve">International Energy Agency PVPS Task 13.</w:t>
      </w:r>
      <w:r>
        <w:t xml:space="preserve"> </w:t>
      </w:r>
      <w:r>
        <w:rPr>
          <w:iCs/>
          <w:i/>
        </w:rPr>
        <w:t xml:space="preserve">Guidelines for Operation and</w:t>
      </w:r>
      <w:r>
        <w:rPr>
          <w:iCs/>
          <w:i/>
        </w:rPr>
        <w:t xml:space="preserve"> </w:t>
      </w:r>
      <w:r>
        <w:rPr>
          <w:iCs/>
          <w:i/>
        </w:rPr>
        <w:t xml:space="preserve">Maintenance of Photovoltaic Power Plants in Different Climates.</w:t>
      </w:r>
      <w:r>
        <w:t xml:space="preserve"> </w:t>
      </w:r>
      <w:r>
        <w:t xml:space="preserve">Report</w:t>
      </w:r>
      <w:r>
        <w:t xml:space="preserve"> </w:t>
      </w:r>
      <w:r>
        <w:t xml:space="preserve">T13-25:2022.</w:t>
      </w:r>
    </w:p>
    <w:p>
      <w:pPr>
        <w:numPr>
          <w:ilvl w:val="0"/>
          <w:numId w:val="1002"/>
        </w:numPr>
        <w:pStyle w:val="Compact"/>
      </w:pPr>
      <w:r>
        <w:t xml:space="preserve">Cochran, W. G.</w:t>
      </w:r>
      <w:r>
        <w:t xml:space="preserve"> </w:t>
      </w:r>
      <w:r>
        <w:rPr>
          <w:iCs/>
          <w:i/>
        </w:rPr>
        <w:t xml:space="preserve">Sampling Techniques.</w:t>
      </w:r>
      <w:r>
        <w:t xml:space="preserve"> </w:t>
      </w:r>
      <w:r>
        <w:t xml:space="preserve">3rd ed. Wiley, 1977 (the S3 sampling</w:t>
      </w:r>
      <w:r>
        <w:t xml:space="preserve"> </w:t>
      </w:r>
      <w:r>
        <w:t xml:space="preserve">design’s textbook basis).</w:t>
      </w:r>
    </w:p>
    <w:p>
      <w:pPr>
        <w:numPr>
          <w:ilvl w:val="0"/>
          <w:numId w:val="1002"/>
        </w:numPr>
        <w:pStyle w:val="Compact"/>
      </w:pPr>
      <w:r>
        <w:t xml:space="preserve">International Chamber of Commerce.</w:t>
      </w:r>
      <w:r>
        <w:t xml:space="preserve"> </w:t>
      </w:r>
      <w:r>
        <w:rPr>
          <w:iCs/>
          <w:i/>
        </w:rPr>
        <w:t xml:space="preserve">ICC Arbitration Rules.</w:t>
      </w:r>
      <w:r>
        <w:t xml:space="preserve"> </w:t>
      </w:r>
      <w:r>
        <w:t xml:space="preserve">Paris: ICC, 2021.</w:t>
      </w:r>
    </w:p>
    <w:p>
      <w:pPr>
        <w:numPr>
          <w:ilvl w:val="0"/>
          <w:numId w:val="1002"/>
        </w:numPr>
        <w:pStyle w:val="Compact"/>
      </w:pPr>
      <w:r>
        <w:t xml:space="preserve">[PROGRAM TECHNICAL REPORTS — TITLE, REPORT NUMBER, YEAR — TO BE SUPPLIED WHEN</w:t>
      </w:r>
      <w:r>
        <w:t xml:space="preserve"> </w:t>
      </w:r>
      <w:r>
        <w:t xml:space="preserve">SPONSOR PUBLICATION CLEARANCES ARE COMPLETE. These reports will substantiate</w:t>
      </w:r>
      <w:r>
        <w:t xml:space="preserve"> </w:t>
      </w:r>
      <w:r>
        <w:t xml:space="preserve">Table 11.2 rows marked</w:t>
      </w:r>
      <w:r>
        <w:t xml:space="preserve"> </w:t>
      </w:r>
      <w:r>
        <w:rPr>
          <w:iCs/>
          <w:i/>
        </w:rPr>
        <w:t xml:space="preserve">archetype actual</w:t>
      </w:r>
      <w:r>
        <w:t xml:space="preserve"> </w:t>
      </w:r>
      <w:r>
        <w:t xml:space="preserve">(class A).]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2026-07-03T09:17:38Z</dcterms:created>
  <dcterms:modified xsi:type="dcterms:W3CDTF">2026-07-03T09:17:38Z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