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2659bfc4305f6a9c45b0ddb655566962d716010"/>
    <w:p>
      <w:pPr>
        <w:pStyle w:val="Heading1"/>
      </w:pPr>
      <w:r>
        <w:t xml:space="preserve">Future Directions and Open Research Problems</w:t>
      </w:r>
    </w:p>
    <w:bookmarkStart w:id="2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 monograph should end by making itself obsolete, and this chapter is the</w:t>
      </w:r>
      <w:r>
        <w:t xml:space="preserve"> </w:t>
      </w:r>
      <w:r>
        <w:t xml:space="preserve">mechanism: it assembles the open</w:t>
      </w:r>
      <w:r>
        <w:t xml:space="preserve"> </w:t>
      </w:r>
      <w:r>
        <w:t xml:space="preserve">problems flagged throughout the book into a research agenda, organized by the</w:t>
      </w:r>
      <w:r>
        <w:t xml:space="preserve"> </w:t>
      </w:r>
      <w:r>
        <w:t xml:space="preserve">communities that would have to do the work — measurement science, cryptographic</w:t>
      </w:r>
      <w:r>
        <w:t xml:space="preserve"> </w:t>
      </w:r>
      <w:r>
        <w:t xml:space="preserve">systems, standards bodies, and the regulatory-economic interface. Problems are</w:t>
      </w:r>
      <w:r>
        <w:t xml:space="preserve"> </w:t>
      </w:r>
      <w:r>
        <w:t xml:space="preserve">stated with their location in the book, what is known, what is missing, and what</w:t>
      </w:r>
      <w:r>
        <w:t xml:space="preserve"> </w:t>
      </w:r>
      <w:r>
        <w:t xml:space="preserve">a solution would look like, because an agenda item without success criteria is a</w:t>
      </w:r>
      <w:r>
        <w:t xml:space="preserve"> </w:t>
      </w:r>
      <w:r>
        <w:t xml:space="preserve">sentiment. Each item also names its natural funders and venues, because</w:t>
      </w:r>
      <w:r>
        <w:t xml:space="preserve"> </w:t>
      </w:r>
      <w:r>
        <w:t xml:space="preserve">research agendas without addresses are wish lists; a decade-scale</w:t>
      </w:r>
      <w:r>
        <w:t xml:space="preserve"> </w:t>
      </w:r>
      <w:r>
        <w:t xml:space="preserve">milestone map assembles the items into a program; the book’s own</w:t>
      </w:r>
      <w:r>
        <w:t xml:space="preserve"> </w:t>
      </w:r>
      <w:r>
        <w:t xml:space="preserve">falsifiable forecasts are collected for future grading; and the chapter</w:t>
      </w:r>
      <w:r>
        <w:t xml:space="preserve"> </w:t>
      </w:r>
      <w:r>
        <w:t xml:space="preserve">closes with the integration outlook: how this</w:t>
      </w:r>
      <w:r>
        <w:t xml:space="preserve"> </w:t>
      </w:r>
      <w:r>
        <w:t xml:space="preserve">architecture meets the digital product passport programs that are, at time of</w:t>
      </w:r>
      <w:r>
        <w:t xml:space="preserve"> </w:t>
      </w:r>
      <w:r>
        <w:t xml:space="preserve">writing, the strongest real-world force pulling it into existence — and</w:t>
      </w:r>
      <w:r>
        <w:t xml:space="preserve"> </w:t>
      </w:r>
      <w:r>
        <w:t xml:space="preserve">with the education and workforce agenda on which all the rest quietly</w:t>
      </w:r>
      <w:r>
        <w:t xml:space="preserve"> </w:t>
      </w:r>
      <w:r>
        <w:t xml:space="preserve">depends.</w:t>
      </w:r>
    </w:p>
    <w:p>
      <w:pPr>
        <w:pStyle w:val="BodyText"/>
      </w:pPr>
      <w:r>
        <w:t xml:space="preserve">A note on the numbering the reader will meet: M-items belong to</w:t>
      </w:r>
      <w:r>
        <w:t xml:space="preserve"> </w:t>
      </w:r>
      <w:r>
        <w:t xml:space="preserve">measurement science, C-items to cryptographic and systems research,</w:t>
      </w:r>
      <w:r>
        <w:t xml:space="preserve"> </w:t>
      </w:r>
      <w:r>
        <w:t xml:space="preserve">S-items to standardization — the labels have been accumulating since</w:t>
      </w:r>
      <w:r>
        <w:t xml:space="preserve"> </w:t>
      </w:r>
      <w:r>
        <w:t xml:space="preserve">Chapter 6 flagged its first open problem, and this chapter is where the</w:t>
      </w:r>
      <w:r>
        <w:t xml:space="preserve"> </w:t>
      </w:r>
      <w:r>
        <w:t xml:space="preserve">scattered flags assemble into their communities’ work queues. Items are</w:t>
      </w:r>
      <w:r>
        <w:t xml:space="preserve"> </w:t>
      </w:r>
      <w:r>
        <w:t xml:space="preserve">cross-referenced to the sections that motivated them, so a researcher</w:t>
      </w:r>
      <w:r>
        <w:t xml:space="preserve"> </w:t>
      </w:r>
      <w:r>
        <w:t xml:space="preserve">picking one up inherits its full engineering context rather than an</w:t>
      </w:r>
      <w:r>
        <w:t xml:space="preserve"> </w:t>
      </w:r>
      <w:r>
        <w:t xml:space="preserve">abstract.</w:t>
      </w:r>
    </w:p>
    <w:bookmarkEnd w:id="20"/>
    <w:bookmarkStart w:id="21" w:name="measurement-science"/>
    <w:p>
      <w:pPr>
        <w:pStyle w:val="Heading2"/>
      </w:pPr>
      <w:r>
        <w:t xml:space="preserve">14.1 Measurement Science</w:t>
      </w:r>
    </w:p>
    <w:p>
      <w:pPr>
        <w:pStyle w:val="FirstParagraph"/>
      </w:pPr>
      <w:r>
        <w:t xml:space="preserve">The measurement items come first because they gate the rest: every</w:t>
      </w:r>
      <w:r>
        <w:t xml:space="preserve"> </w:t>
      </w:r>
      <w:r>
        <w:t xml:space="preserve">architectural guarantee in Parts II–III ultimately cites a measured</w:t>
      </w:r>
      <w:r>
        <w:t xml:space="preserve"> </w:t>
      </w:r>
      <w:r>
        <w:t xml:space="preserve">property of matter, and the citations are only as good as the metrology</w:t>
      </w:r>
      <w:r>
        <w:t xml:space="preserve"> </w:t>
      </w:r>
      <w:r>
        <w:t xml:space="preserve">behind them. The items also share a funding profile worth stating once —</w:t>
      </w:r>
      <w:r>
        <w:t xml:space="preserve"> </w:t>
      </w:r>
      <w:r>
        <w:t xml:space="preserve">they are cheap by physical-science standards, slow by venture standards,</w:t>
      </w:r>
      <w:r>
        <w:t xml:space="preserve"> </w:t>
      </w:r>
      <w:r>
        <w:t xml:space="preserve">and valuable in proportion to how</w:t>
      </w:r>
      <w:r>
        <w:t xml:space="preserve"> </w:t>
      </w:r>
      <w:r>
        <w:rPr>
          <w:iCs/>
          <w:i/>
        </w:rPr>
        <w:t xml:space="preserve">early</w:t>
      </w:r>
      <w:r>
        <w:t xml:space="preserve"> </w:t>
      </w:r>
      <w:r>
        <w:t xml:space="preserve">they start, because their</w:t>
      </w:r>
      <w:r>
        <w:t xml:space="preserve"> </w:t>
      </w:r>
      <w:r>
        <w:t xml:space="preserve">product is longitudinal data that no budget can accelerate later. A</w:t>
      </w:r>
      <w:r>
        <w:t xml:space="preserve"> </w:t>
      </w:r>
      <w:r>
        <w:t xml:space="preserve">funder scanning this section should read</w:t>
      </w:r>
      <w:r>
        <w:t xml:space="preserve"> </w:t>
      </w:r>
      <w:r>
        <w:t xml:space="preserve">“</w:t>
      </w:r>
      <w:r>
        <w:t xml:space="preserve">start date matters more than</w:t>
      </w:r>
      <w:r>
        <w:t xml:space="preserve"> </w:t>
      </w:r>
      <w:r>
        <w:t xml:space="preserve">budget size</w:t>
      </w:r>
      <w:r>
        <w:t xml:space="preserve">”</w:t>
      </w:r>
      <w:r>
        <w:t xml:space="preserve"> </w:t>
      </w:r>
      <w:r>
        <w:t xml:space="preserve">on every line.</w:t>
      </w:r>
    </w:p>
    <w:p>
      <w:pPr>
        <w:pStyle w:val="BodyText"/>
      </w:pPr>
      <w:r>
        <w:t xml:space="preserve">Instrument vendors occupy a special position across all five items and</w:t>
      </w:r>
      <w:r>
        <w:t xml:space="preserve"> </w:t>
      </w:r>
      <w:r>
        <w:t xml:space="preserve">should hear their role stated plainly: the M-series’ datasets are</w:t>
      </w:r>
      <w:r>
        <w:t xml:space="preserve"> </w:t>
      </w:r>
      <w:r>
        <w:t xml:space="preserve">captured on your instruments, its formats are your export functions, and</w:t>
      </w:r>
      <w:r>
        <w:t xml:space="preserve"> </w:t>
      </w:r>
      <w:r>
        <w:t xml:space="preserve">its round-robins are your proficiency marketing. The vendor who</w:t>
      </w:r>
      <w:r>
        <w:t xml:space="preserve"> </w:t>
      </w:r>
      <w:r>
        <w:t xml:space="preserve">co-designs the open template format captures the reference-instrument</w:t>
      </w:r>
      <w:r>
        <w:t xml:space="preserve"> </w:t>
      </w:r>
      <w:r>
        <w:t xml:space="preserve">position in the standard that follows — a pattern familiar from a</w:t>
      </w:r>
      <w:r>
        <w:t xml:space="preserve"> </w:t>
      </w:r>
      <w:r>
        <w:t xml:space="preserve">century of test-and-measurement history — while the vendor who withholds</w:t>
      </w:r>
      <w:r>
        <w:t xml:space="preserve"> </w:t>
      </w:r>
      <w:r>
        <w:t xml:space="preserve">formats bets against the metrology campaign and, if it succeeds, against</w:t>
      </w:r>
      <w:r>
        <w:t xml:space="preserve"> </w:t>
      </w:r>
      <w:r>
        <w:t xml:space="preserve">its own installed base. The agenda needs vendor engineering hours more</w:t>
      </w:r>
      <w:r>
        <w:t xml:space="preserve"> </w:t>
      </w:r>
      <w:r>
        <w:t xml:space="preserve">than vendor money, and the exchange on offer (formats and firmware</w:t>
      </w:r>
      <w:r>
        <w:t xml:space="preserve"> </w:t>
      </w:r>
      <w:r>
        <w:t xml:space="preserve">attestation for standing in the emerging regime) is historically</w:t>
      </w:r>
      <w:r>
        <w:t xml:space="preserve"> </w:t>
      </w:r>
      <w:r>
        <w:t xml:space="preserve">favorable.</w:t>
      </w:r>
    </w:p>
    <w:p>
      <w:pPr>
        <w:pStyle w:val="BodyText"/>
      </w:pPr>
      <w:r>
        <w:rPr>
          <w:bCs/>
          <w:b/>
        </w:rPr>
        <w:t xml:space="preserve">M1 — Long-horizon stability of structural fingerprints</w:t>
      </w:r>
      <w:r>
        <w:t xml:space="preserve"> </w:t>
      </w:r>
      <w:r>
        <w:t xml:space="preserve">(§6.8-1, the field’s</w:t>
      </w:r>
      <w:r>
        <w:t xml:space="preserve"> </w:t>
      </w:r>
      <w:r>
        <w:t xml:space="preserve">single most important open problem, and the one whose answer no amount</w:t>
      </w:r>
      <w:r>
        <w:t xml:space="preserve"> </w:t>
      </w:r>
      <w:r>
        <w:t xml:space="preserve">of cleverness can substitute for waiting).</w:t>
      </w:r>
      <w:r>
        <w:t xml:space="preserve"> </w:t>
      </w:r>
      <w:r>
        <w:rPr>
          <w:iCs/>
          <w:i/>
        </w:rPr>
        <w:t xml:space="preserve">Known:</w:t>
      </w:r>
      <w:r>
        <w:t xml:space="preserve"> </w:t>
      </w:r>
      <w:r>
        <w:t xml:space="preserve">accelerated aging and short</w:t>
      </w:r>
      <w:r>
        <w:t xml:space="preserve"> </w:t>
      </w:r>
      <w:r>
        <w:t xml:space="preserve">longitudinal series support grain-texture stability under thermal cycling and</w:t>
      </w:r>
      <w:r>
        <w:t xml:space="preserve"> </w:t>
      </w:r>
      <w:r>
        <w:t xml:space="preserve">mechanical load; crack networks demonstrably evolve.</w:t>
      </w:r>
      <w:r>
        <w:t xml:space="preserve"> </w:t>
      </w:r>
      <w:r>
        <w:rPr>
          <w:iCs/>
          <w:i/>
        </w:rPr>
        <w:t xml:space="preserve">Missing:</w:t>
      </w:r>
      <w:r>
        <w:t xml:space="preserve"> </w:t>
      </w:r>
      <w:r>
        <w:t xml:space="preserve">twenty-year</w:t>
      </w:r>
      <w:r>
        <w:t xml:space="preserve"> </w:t>
      </w:r>
      <w:r>
        <w:t xml:space="preserve">longitudinal template data on fielded modules under real climates — data that</w:t>
      </w:r>
      <w:r>
        <w:t xml:space="preserve"> </w:t>
      </w:r>
      <w:r>
        <w:t xml:space="preserve">can only be produced by starting now.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published false-accept/</w:t>
      </w:r>
      <w:r>
        <w:t xml:space="preserve"> </w:t>
      </w:r>
      <w:r>
        <w:t xml:space="preserve">false-reject curves as a function of fleet age and climate zone, from</w:t>
      </w:r>
      <w:r>
        <w:t xml:space="preserve"> </w:t>
      </w:r>
      <w:r>
        <w:t xml:space="preserve">instrumented cohorts (the pilot’s 6,300-module Tier-2 sample is one such cohort;</w:t>
      </w:r>
      <w:r>
        <w:t xml:space="preserve"> </w:t>
      </w:r>
      <w:r>
        <w:t xml:space="preserve">it needs siblings in other climates). The supersession mechanism (§6.4) hedges</w:t>
      </w:r>
      <w:r>
        <w:t xml:space="preserve"> </w:t>
      </w:r>
      <w:r>
        <w:t xml:space="preserve">the architecture against an unfavorable answer, but the answer determines</w:t>
      </w:r>
      <w:r>
        <w:t xml:space="preserve"> </w:t>
      </w:r>
      <w:r>
        <w:t xml:space="preserve">whether re-enrollment is decadal maintenance or annual burden — an</w:t>
      </w:r>
      <w:r>
        <w:t xml:space="preserve"> </w:t>
      </w:r>
      <w:r>
        <w:t xml:space="preserve">order-of-magnitude economic difference.</w:t>
      </w:r>
    </w:p>
    <w:p>
      <w:pPr>
        <w:pStyle w:val="BodyText"/>
      </w:pPr>
      <w:r>
        <w:t xml:space="preserve">The program design writes itself from the existing infrastructure of</w:t>
      </w:r>
      <w:r>
        <w:t xml:space="preserve"> </w:t>
      </w:r>
      <w:r>
        <w:t xml:space="preserve">outdoor test fields and the IEA-PVPS collaboration culture: five to eight</w:t>
      </w:r>
      <w:r>
        <w:t xml:space="preserve"> </w:t>
      </w:r>
      <w:r>
        <w:t xml:space="preserve">instrumented cohorts of order 10³ modules each, spanning desert,</w:t>
      </w:r>
      <w:r>
        <w:t xml:space="preserve"> </w:t>
      </w:r>
      <w:r>
        <w:t xml:space="preserve">tropical, temperate-coastal, and alpine exposure; enrollment under the</w:t>
      </w:r>
      <w:r>
        <w:t xml:space="preserve"> </w:t>
      </w:r>
      <w:r>
        <w:t xml:space="preserve">open template discipline (S3 below — the study is worthless if its</w:t>
      </w:r>
      <w:r>
        <w:t xml:space="preserve"> </w:t>
      </w:r>
      <w:r>
        <w:t xml:space="preserve">templates cannot outlive its instruments); re-measurement annually for</w:t>
      </w:r>
      <w:r>
        <w:t xml:space="preserve"> </w:t>
      </w:r>
      <w:r>
        <w:t xml:space="preserve">five years, then biennially; and — the design element easily forgotten —</w:t>
      </w:r>
      <w:r>
        <w:t xml:space="preserve"> </w:t>
      </w:r>
      <w:r>
        <w:rPr>
          <w:iCs/>
          <w:i/>
        </w:rPr>
        <w:t xml:space="preserve">deliberate damage subsets</w:t>
      </w:r>
      <w:r>
        <w:t xml:space="preserve">, transport-stressed and hail-exposed</w:t>
      </w:r>
      <w:r>
        <w:t xml:space="preserve"> </w:t>
      </w:r>
      <w:r>
        <w:t xml:space="preserve">sub-cohorts, because the R5 evolution-plausibility machinery needs</w:t>
      </w:r>
      <w:r>
        <w:t xml:space="preserve"> </w:t>
      </w:r>
      <w:r>
        <w:t xml:space="preserve">labeled examples of legal damage trajectories, not only of quiet aging.</w:t>
      </w:r>
      <w:r>
        <w:t xml:space="preserve"> </w:t>
      </w:r>
      <w:r>
        <w:t xml:space="preserve">Funders and venues: the national-lab reliability programs already</w:t>
      </w:r>
      <w:r>
        <w:t xml:space="preserve"> </w:t>
      </w:r>
      <w:r>
        <w:t xml:space="preserve">running outdoor exposure studies (adding template capture to an existing</w:t>
      </w:r>
      <w:r>
        <w:t xml:space="preserve"> </w:t>
      </w:r>
      <w:r>
        <w:t xml:space="preserve">protocol is marginal cost), module OEM warranty departments (whose</w:t>
      </w:r>
      <w:r>
        <w:t xml:space="preserve"> </w:t>
      </w:r>
      <w:r>
        <w:t xml:space="preserve">Table 13.2 interest in degradation priors this data directly serves),</w:t>
      </w:r>
      <w:r>
        <w:t xml:space="preserve"> </w:t>
      </w:r>
      <w:r>
        <w:t xml:space="preserve">and the IEA task structure for cross-site coordination. Cost: single-</w:t>
      </w:r>
      <w:r>
        <w:t xml:space="preserve"> </w:t>
      </w:r>
      <w:r>
        <w:t xml:space="preserve">digit millions across a decade — decimal dust against the rents of</w:t>
      </w:r>
      <w:r>
        <w:t xml:space="preserve"> </w:t>
      </w:r>
      <w:r>
        <w:t xml:space="preserve">Chapter 13, and the cheapest insurance the architecture can buy on its</w:t>
      </w:r>
      <w:r>
        <w:t xml:space="preserve"> </w:t>
      </w:r>
      <w:r>
        <w:t xml:space="preserve">own central assumption.</w:t>
      </w:r>
    </w:p>
    <w:p>
      <w:pPr>
        <w:pStyle w:val="BodyText"/>
      </w:pPr>
      <w:r>
        <w:rPr>
          <w:bCs/>
          <w:b/>
        </w:rPr>
        <w:t xml:space="preserve">M2 — Inversion-robust challenge design</w:t>
      </w:r>
      <w:r>
        <w:t xml:space="preserve"> </w:t>
      </w:r>
      <w:r>
        <w:t xml:space="preserve">(§6.8-2).</w:t>
      </w:r>
      <w:r>
        <w:t xml:space="preserve"> </w:t>
      </w:r>
      <w:r>
        <w:rPr>
          <w:iCs/>
          <w:i/>
        </w:rPr>
        <w:t xml:space="preserve">Known:</w:t>
      </w:r>
      <w:r>
        <w:t xml:space="preserve"> </w:t>
      </w:r>
      <w:r>
        <w:t xml:space="preserve">field-to-current</w:t>
      </w:r>
      <w:r>
        <w:t xml:space="preserve"> </w:t>
      </w:r>
      <w:r>
        <w:t xml:space="preserve">inversion is ill-posed; regularization choices affect template features.</w:t>
      </w:r>
      <w:r>
        <w:t xml:space="preserve"> </w:t>
      </w:r>
      <w:r>
        <w:rPr>
          <w:iCs/>
          <w:i/>
        </w:rPr>
        <w:t xml:space="preserve">Missing:</w:t>
      </w:r>
      <w:r>
        <w:t xml:space="preserve"> </w:t>
      </w:r>
      <w:r>
        <w:t xml:space="preserve">a challenge-space design provably robust to inversion ambiguity — the</w:t>
      </w:r>
      <w:r>
        <w:t xml:space="preserve"> </w:t>
      </w:r>
      <w:r>
        <w:t xml:space="preserve">adversarial formulation (can an attacker exploit the null space?) has not been</w:t>
      </w:r>
      <w:r>
        <w:t xml:space="preserve"> </w:t>
      </w:r>
      <w:r>
        <w:t xml:space="preserve">posed formally.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a published adversarial analysis with bounds, in the</w:t>
      </w:r>
      <w:r>
        <w:t xml:space="preserve"> </w:t>
      </w:r>
      <w:r>
        <w:t xml:space="preserve">style the PUF literature eventually developed for its own modeling attacks.</w:t>
      </w:r>
      <w:r>
        <w:t xml:space="preserve"> </w:t>
      </w:r>
      <w:r>
        <w:t xml:space="preserve">The problem decomposes into three publishable stages: formalize the</w:t>
      </w:r>
      <w:r>
        <w:t xml:space="preserve"> </w:t>
      </w:r>
      <w:r>
        <w:t xml:space="preserve">attacker (given templates, challenge history, and a fabrication</w:t>
      </w:r>
      <w:r>
        <w:t xml:space="preserve"> </w:t>
      </w:r>
      <w:r>
        <w:t xml:space="preserve">capability model, characterize the reachable set of impersonating</w:t>
      </w:r>
      <w:r>
        <w:t xml:space="preserve"> </w:t>
      </w:r>
      <w:r>
        <w:t xml:space="preserve">current distributions); bound the defender (challenge-space designs</w:t>
      </w:r>
      <w:r>
        <w:t xml:space="preserve"> </w:t>
      </w:r>
      <w:r>
        <w:t xml:space="preserve">whose expected discrimination survives the reachable set at stated</w:t>
      </w:r>
      <w:r>
        <w:t xml:space="preserve"> </w:t>
      </w:r>
      <w:r>
        <w:t xml:space="preserve">measurement noise); and close the loop empirically (commission the</w:t>
      </w:r>
      <w:r>
        <w:t xml:space="preserve"> </w:t>
      </w:r>
      <w:r>
        <w:t xml:space="preserve">attack — a funded red-team fabrication attempt against the published</w:t>
      </w:r>
      <w:r>
        <w:t xml:space="preserve"> </w:t>
      </w:r>
      <w:r>
        <w:t xml:space="preserve">bound, because a bound nobody has tried to break is a conjecture in</w:t>
      </w:r>
      <w:r>
        <w:t xml:space="preserve"> </w:t>
      </w:r>
      <w:r>
        <w:t xml:space="preserve">formalwear). The natural home is the hardware-security community, whose</w:t>
      </w:r>
      <w:r>
        <w:t xml:space="preserve"> </w:t>
      </w:r>
      <w:r>
        <w:t xml:space="preserve">CHES-culture instincts fit exactly, in collaboration with the applied-</w:t>
      </w:r>
      <w:r>
        <w:t xml:space="preserve"> </w:t>
      </w:r>
      <w:r>
        <w:t xml:space="preserve">magnetometry groups; the equipment ask is modest and the theoretical</w:t>
      </w:r>
      <w:r>
        <w:t xml:space="preserve"> </w:t>
      </w:r>
      <w:r>
        <w:t xml:space="preserve">content is genuinely novel — a well-shaped dissertation topic, which is</w:t>
      </w:r>
      <w:r>
        <w:t xml:space="preserve"> </w:t>
      </w:r>
      <w:r>
        <w:t xml:space="preserve">this agenda’s way of saying</w:t>
      </w:r>
      <w:r>
        <w:t xml:space="preserve"> </w:t>
      </w:r>
      <w:r>
        <w:rPr>
          <w:iCs/>
          <w:i/>
        </w:rPr>
        <w:t xml:space="preserve">urgent and fundable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M3 — Line-speed wide-field quantum imaging</w:t>
      </w:r>
      <w:r>
        <w:t xml:space="preserve"> </w:t>
      </w:r>
      <w:r>
        <w:t xml:space="preserve">(§6.8-3). An instrument-</w:t>
      </w:r>
      <w:r>
        <w:t xml:space="preserve"> </w:t>
      </w:r>
      <w:r>
        <w:t xml:space="preserve">engineering race with identified paths (wide-field NV arrays, parallel</w:t>
      </w:r>
      <w:r>
        <w:t xml:space="preserve"> </w:t>
      </w:r>
      <w:r>
        <w:t xml:space="preserve">tiles) and no physics obstacles — the rare agenda item whose success is</w:t>
      </w:r>
      <w:r>
        <w:t xml:space="preserve"> </w:t>
      </w:r>
      <w:r>
        <w:t xml:space="preserve">a purchase order away.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seconds-per-module full-area mapping at factory takt, at a station</w:t>
      </w:r>
      <w:r>
        <w:t xml:space="preserve"> </w:t>
      </w:r>
      <w:r>
        <w:t xml:space="preserve">cost commensurate with existing EL cells. Progress here moves Tier 2 from</w:t>
      </w:r>
      <w:r>
        <w:t xml:space="preserve"> </w:t>
      </w:r>
      <w:r>
        <w:t xml:space="preserve">sampled to universal, which restructures §6.7’s economics. The</w:t>
      </w:r>
      <w:r>
        <w:t xml:space="preserve"> </w:t>
      </w:r>
      <w:r>
        <w:t xml:space="preserve">engineering intermediate targets, for the instrument programs that will</w:t>
      </w:r>
      <w:r>
        <w:t xml:space="preserve"> </w:t>
      </w:r>
      <w:r>
        <w:t xml:space="preserve">need them as milestones: single-cell mapping at one second (parallelized</w:t>
      </w:r>
      <w:r>
        <w:t xml:space="preserve"> </w:t>
      </w:r>
      <w:r>
        <w:t xml:space="preserve">sensor tiles at current sensitivities suffice on paper); module-scale</w:t>
      </w:r>
      <w:r>
        <w:t xml:space="preserve"> </w:t>
      </w:r>
      <w:r>
        <w:t xml:space="preserve">tiling with registration at line vibration levels (the mechatronics is</w:t>
      </w:r>
      <w:r>
        <w:t xml:space="preserve"> </w:t>
      </w:r>
      <w:r>
        <w:t xml:space="preserve">the risk, not the physics); and the factory-hardened package — thermal</w:t>
      </w:r>
      <w:r>
        <w:t xml:space="preserve"> </w:t>
      </w:r>
      <w:r>
        <w:t xml:space="preserve">range, diamond-plate lifetime under production cycling, and the</w:t>
      </w:r>
      <w:r>
        <w:t xml:space="preserve"> </w:t>
      </w:r>
      <w:r>
        <w:t xml:space="preserve">attestation electronics of grade I-A. The funding logic differs from</w:t>
      </w:r>
      <w:r>
        <w:t xml:space="preserve"> </w:t>
      </w:r>
      <w:r>
        <w:t xml:space="preserve">M1’s: this is product development awaiting an anchor customer, and the</w:t>
      </w:r>
      <w:r>
        <w:t xml:space="preserve"> </w:t>
      </w:r>
      <w:r>
        <w:t xml:space="preserve">likeliest anchor is a premium module OEM buying differentiation</w:t>
      </w:r>
      <w:r>
        <w:t xml:space="preserve"> </w:t>
      </w:r>
      <w:r>
        <w:t xml:space="preserve">(Section 13.1’s signaling), with public instrumentation programs as</w:t>
      </w:r>
      <w:r>
        <w:t xml:space="preserve"> </w:t>
      </w:r>
      <w:r>
        <w:t xml:space="preserve">de-riskers rather than drivers.</w:t>
      </w:r>
    </w:p>
    <w:p>
      <w:pPr>
        <w:pStyle w:val="BodyText"/>
      </w:pPr>
      <w:r>
        <w:rPr>
          <w:bCs/>
          <w:b/>
        </w:rPr>
        <w:t xml:space="preserve">M4 — Cell-level battery identity</w:t>
      </w:r>
      <w:r>
        <w:t xml:space="preserve"> </w:t>
      </w:r>
      <w:r>
        <w:t xml:space="preserve">(§12.2, the hardest binding problem left).</w:t>
      </w:r>
      <w:r>
        <w:t xml:space="preserve"> </w:t>
      </w:r>
      <w:r>
        <w:rPr>
          <w:iCs/>
          <w:i/>
        </w:rPr>
        <w:t xml:space="preserve">Known:</w:t>
      </w:r>
      <w:r>
        <w:t xml:space="preserve"> </w:t>
      </w:r>
      <w:r>
        <w:t xml:space="preserve">impedance and formation signatures exist but fail stability (R2) or</w:t>
      </w:r>
      <w:r>
        <w:t xml:space="preserve"> </w:t>
      </w:r>
      <w:r>
        <w:t xml:space="preserve">field feasibility (R6) today — the diagnostic sentences of Section 12.2</w:t>
      </w:r>
      <w:r>
        <w:t xml:space="preserve"> </w:t>
      </w:r>
      <w:r>
        <w:t xml:space="preserve">locate each failure precisely.</w:t>
      </w:r>
      <w:r>
        <w:t xml:space="preserve"> </w:t>
      </w:r>
      <w:r>
        <w:rPr>
          <w:iCs/>
          <w:i/>
        </w:rPr>
        <w:t xml:space="preserve">Missing:</w:t>
      </w:r>
      <w:r>
        <w:t xml:space="preserve"> </w:t>
      </w:r>
      <w:r>
        <w:t xml:space="preserve">a passive electrochemical or structural</w:t>
      </w:r>
      <w:r>
        <w:t xml:space="preserve"> </w:t>
      </w:r>
      <w:r>
        <w:t xml:space="preserve">anchor that survives cycling and is measurable through the pack.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a</w:t>
      </w:r>
      <w:r>
        <w:t xml:space="preserve"> </w:t>
      </w:r>
      <w:r>
        <w:t xml:space="preserve">binding modality passing Table 6.2 for cells — which would close the</w:t>
      </w:r>
      <w:r>
        <w:t xml:space="preserve"> </w:t>
      </w:r>
      <w:r>
        <w:t xml:space="preserve">repackaging-fraud channel that pack-level manifests only attribute. Two</w:t>
      </w:r>
      <w:r>
        <w:t xml:space="preserve"> </w:t>
      </w:r>
      <w:r>
        <w:t xml:space="preserve">research directions deserve naming: cycling-invariant subspaces of</w:t>
      </w:r>
      <w:r>
        <w:t xml:space="preserve"> </w:t>
      </w:r>
      <w:r>
        <w:t xml:space="preserve">impedance response (the formation-fixed geometric contributions may</w:t>
      </w:r>
      <w:r>
        <w:t xml:space="preserve"> </w:t>
      </w:r>
      <w:r>
        <w:t xml:space="preserve">separate from the chemistry-driven drift — a signal-processing question</w:t>
      </w:r>
      <w:r>
        <w:t xml:space="preserve"> </w:t>
      </w:r>
      <w:r>
        <w:t xml:space="preserve">sitting on top of an electrochemistry question), and acoustic or</w:t>
      </w:r>
      <w:r>
        <w:t xml:space="preserve"> </w:t>
      </w:r>
      <w:r>
        <w:t xml:space="preserve">ultrasonic structural signatures (electrode stack geometry is</w:t>
      </w:r>
      <w:r>
        <w:t xml:space="preserve"> </w:t>
      </w:r>
      <w:r>
        <w:t xml:space="preserve">manufacture-fixed and mechanically interrogable through pack casings in</w:t>
      </w:r>
      <w:r>
        <w:t xml:space="preserve"> </w:t>
      </w:r>
      <w:r>
        <w:t xml:space="preserve">laboratory demonstrations). The battery-diagnostics community is</w:t>
      </w:r>
      <w:r>
        <w:t xml:space="preserve"> </w:t>
      </w:r>
      <w:r>
        <w:t xml:space="preserve">already instrumenting cells heavily for state-estimation research; M4</w:t>
      </w:r>
      <w:r>
        <w:t xml:space="preserve"> </w:t>
      </w:r>
      <w:r>
        <w:t xml:space="preserve">asks it to add an identity question to apparatus it already owns.</w:t>
      </w:r>
      <w:r>
        <w:t xml:space="preserve"> </w:t>
      </w:r>
      <w:r>
        <w:t xml:space="preserve">Thin-film</w:t>
      </w:r>
      <w:r>
        <w:t xml:space="preserve"> </w:t>
      </w:r>
      <w:r>
        <w:t xml:space="preserve">and perovskite PV (§6.8-5) belong in this cluster too: their defect</w:t>
      </w:r>
      <w:r>
        <w:t xml:space="preserve"> </w:t>
      </w:r>
      <w:r>
        <w:t xml:space="preserve">phenomenology is younger than the assets this framework protects, and</w:t>
      </w:r>
      <w:r>
        <w:t xml:space="preserve"> </w:t>
      </w:r>
      <w:r>
        <w:t xml:space="preserve">Section 12.6’s proposal — enroll the qualification cohorts these</w:t>
      </w:r>
      <w:r>
        <w:t xml:space="preserve"> </w:t>
      </w:r>
      <w:r>
        <w:t xml:space="preserve">technologies must run anyway — is the cheap on-ramp.</w:t>
      </w:r>
    </w:p>
    <w:p>
      <w:pPr>
        <w:pStyle w:val="BodyText"/>
      </w:pPr>
      <w:r>
        <w:t xml:space="preserve">A fifth measurement item closes the section, surfaced by the pilot</w:t>
      </w:r>
      <w:r>
        <w:t xml:space="preserve"> </w:t>
      </w:r>
      <w:r>
        <w:t xml:space="preserve">rather than the theory.</w:t>
      </w:r>
      <w:r>
        <w:t xml:space="preserve"> </w:t>
      </w:r>
      <w:r>
        <w:rPr>
          <w:bCs/>
          <w:b/>
        </w:rPr>
        <w:t xml:space="preserve">M5 — Field reference artifacts.</w:t>
      </w:r>
      <w:r>
        <w:t xml:space="preserve"> </w:t>
      </w:r>
      <w:r>
        <w:t xml:space="preserve">The Tier-3</w:t>
      </w:r>
      <w:r>
        <w:t xml:space="preserve"> </w:t>
      </w:r>
      <w:r>
        <w:t xml:space="preserve">recursion of Section 6.7 terminates in reference modules whose</w:t>
      </w:r>
      <w:r>
        <w:t xml:space="preserve"> </w:t>
      </w:r>
      <w:r>
        <w:t xml:space="preserve">laboratory-grade characterization anchors field instruments’ meaning;</w:t>
      </w:r>
      <w:r>
        <w:t xml:space="preserve"> </w:t>
      </w:r>
      <w:r>
        <w:t xml:space="preserve">nobody has yet designed the</w:t>
      </w:r>
      <w:r>
        <w:t xml:space="preserve"> </w:t>
      </w:r>
      <w:r>
        <w:rPr>
          <w:iCs/>
          <w:i/>
        </w:rPr>
        <w:t xml:space="preserve">traveling standard</w:t>
      </w:r>
      <w:r>
        <w:t xml:space="preserve"> </w:t>
      </w:r>
      <w:r>
        <w:t xml:space="preserve">for this domain, and</w:t>
      </w:r>
      <w:r>
        <w:t xml:space="preserve"> </w:t>
      </w:r>
      <w:r>
        <w:t xml:space="preserve">until one exists every cross-verifier comparison rests on chains of</w:t>
      </w:r>
      <w:r>
        <w:t xml:space="preserve"> </w:t>
      </w:r>
      <w:r>
        <w:t xml:space="preserve">instrument calibration that never close the loop through an actual</w:t>
      </w:r>
      <w:r>
        <w:t xml:space="preserve"> </w:t>
      </w:r>
      <w:r>
        <w:t xml:space="preserve">shared object — an</w:t>
      </w:r>
      <w:r>
        <w:t xml:space="preserve"> </w:t>
      </w:r>
      <w:r>
        <w:t xml:space="preserve">artifact stable enough to circulate among field verifiers, sensitive</w:t>
      </w:r>
      <w:r>
        <w:t xml:space="preserve"> </w:t>
      </w:r>
      <w:r>
        <w:t xml:space="preserve">enough to detect their drift, and cheap enough to exist in numbers.</w:t>
      </w:r>
      <w:r>
        <w:t xml:space="preserve"> </w:t>
      </w:r>
      <w:r>
        <w:t xml:space="preserve">Dimensional and electrical metrology solved the analogous problem with</w:t>
      </w:r>
      <w:r>
        <w:t xml:space="preserve"> </w:t>
      </w:r>
      <w:r>
        <w:t xml:space="preserve">gauge blocks and standard resistors; structural-fingerprint metrology</w:t>
      </w:r>
      <w:r>
        <w:t xml:space="preserve"> </w:t>
      </w:r>
      <w:r>
        <w:t xml:space="preserve">needs its equivalent (a characterized, ruggedized mini-module with</w:t>
      </w:r>
      <w:r>
        <w:t xml:space="preserve"> </w:t>
      </w:r>
      <w:r>
        <w:t xml:space="preserve">known defect population and documented aging, is the obvious candidate),</w:t>
      </w:r>
      <w:r>
        <w:t xml:space="preserve"> </w:t>
      </w:r>
      <w:r>
        <w:t xml:space="preserve">and the proficiency-testing regime of S5 cannot operate without it.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a circulated-artifact study showing inter-verifier agreement</w:t>
      </w:r>
      <w:r>
        <w:t xml:space="preserve"> </w:t>
      </w:r>
      <w:r>
        <w:t xml:space="preserve">within stated bounds — the field’s first round-robin, which is the</w:t>
      </w:r>
      <w:r>
        <w:t xml:space="preserve"> </w:t>
      </w:r>
      <w:r>
        <w:t xml:space="preserve">coming-of-age ceremony of every measurement discipline.</w:t>
      </w:r>
    </w:p>
    <w:p>
      <w:pPr>
        <w:pStyle w:val="BodyText"/>
      </w:pPr>
      <w:r>
        <w:t xml:space="preserve">The measurement section’s collective register, before the systems items:</w:t>
      </w:r>
      <w:r>
        <w:t xml:space="preserve"> </w:t>
      </w:r>
      <w:r>
        <w:t xml:space="preserve">M1 through M5 are, together, the construction of a</w:t>
      </w:r>
      <w:r>
        <w:t xml:space="preserve"> </w:t>
      </w:r>
      <w:r>
        <w:rPr>
          <w:iCs/>
          <w:i/>
        </w:rPr>
        <w:t xml:space="preserve">metrology of</w:t>
      </w:r>
      <w:r>
        <w:rPr>
          <w:iCs/>
          <w:i/>
        </w:rPr>
        <w:t xml:space="preserve"> </w:t>
      </w:r>
      <w:r>
        <w:rPr>
          <w:iCs/>
          <w:i/>
        </w:rPr>
        <w:t xml:space="preserve">identity</w:t>
      </w:r>
      <w:r>
        <w:t xml:space="preserve"> </w:t>
      </w:r>
      <w:r>
        <w:t xml:space="preserve">for manufactured energy assets — stability data, adversarial</w:t>
      </w:r>
      <w:r>
        <w:t xml:space="preserve"> </w:t>
      </w:r>
      <w:r>
        <w:t xml:space="preserve">bounds, instruments, cell-scale anchors, and traveling standards — and</w:t>
      </w:r>
      <w:r>
        <w:t xml:space="preserve"> </w:t>
      </w:r>
      <w:r>
        <w:t xml:space="preserve">the register matters because measurement disciplines succeed as</w:t>
      </w:r>
      <w:r>
        <w:t xml:space="preserve"> </w:t>
      </w:r>
      <w:r>
        <w:t xml:space="preserve">disciplines, not as scattered results: shared artifacts, round-robins,</w:t>
      </w:r>
      <w:r>
        <w:t xml:space="preserve"> </w:t>
      </w:r>
      <w:r>
        <w:t xml:space="preserve">and proficiency culture are what turned length and voltage from craft</w:t>
      </w:r>
      <w:r>
        <w:t xml:space="preserve"> </w:t>
      </w:r>
      <w:r>
        <w:t xml:space="preserve">into infrastructure, and they are the pattern this quintet should be</w:t>
      </w:r>
      <w:r>
        <w:t xml:space="preserve"> </w:t>
      </w:r>
      <w:r>
        <w:t xml:space="preserve">managed against.</w:t>
      </w:r>
    </w:p>
    <w:bookmarkEnd w:id="21"/>
    <w:bookmarkStart w:id="22" w:name="cryptographic-and-systems-research"/>
    <w:p>
      <w:pPr>
        <w:pStyle w:val="Heading2"/>
      </w:pPr>
      <w:r>
        <w:t xml:space="preserve">14.2 Cryptographic and Systems Research</w:t>
      </w:r>
    </w:p>
    <w:p>
      <w:pPr>
        <w:pStyle w:val="FirstParagraph"/>
      </w:pPr>
      <w:r>
        <w:t xml:space="preserve">The systems items differ from the measurement ones in tempo — they are</w:t>
      </w:r>
      <w:r>
        <w:t xml:space="preserve"> </w:t>
      </w:r>
      <w:r>
        <w:t xml:space="preserve">bounded projects rather than longitudinal programs — and in venue: each</w:t>
      </w:r>
      <w:r>
        <w:t xml:space="preserve"> </w:t>
      </w:r>
      <w:r>
        <w:t xml:space="preserve">maps onto an existing research community’s publication culture, and the</w:t>
      </w:r>
      <w:r>
        <w:t xml:space="preserve"> </w:t>
      </w:r>
      <w:r>
        <w:t xml:space="preserve">section’s framing effort has gone into stating each problem in the</w:t>
      </w:r>
      <w:r>
        <w:t xml:space="preserve"> </w:t>
      </w:r>
      <w:r>
        <w:t xml:space="preserve">receiving community’s own terms, because agenda items travel on the</w:t>
      </w:r>
      <w:r>
        <w:t xml:space="preserve"> </w:t>
      </w:r>
      <w:r>
        <w:t xml:space="preserve">strength of their problem statements.</w:t>
      </w:r>
    </w:p>
    <w:p>
      <w:pPr>
        <w:pStyle w:val="BodyText"/>
      </w:pPr>
      <w:r>
        <w:rPr>
          <w:bCs/>
          <w:b/>
        </w:rPr>
        <w:t xml:space="preserve">C1 — Succinct proofs with thirty-year verifiability</w:t>
      </w:r>
      <w:r>
        <w:t xml:space="preserve"> </w:t>
      </w:r>
      <w:r>
        <w:t xml:space="preserve">(§7.4, §9.1). Validity</w:t>
      </w:r>
      <w:r>
        <w:t xml:space="preserve"> </w:t>
      </w:r>
      <w:r>
        <w:t xml:space="preserve">rollups compress consortium load, but proof systems age faster than assets:</w:t>
      </w:r>
      <w:r>
        <w:t xml:space="preserve"> </w:t>
      </w:r>
      <w:r>
        <w:t xml:space="preserve">circuit freezes conflict with schema evolution, and several constructions rest</w:t>
      </w:r>
      <w:r>
        <w:t xml:space="preserve"> </w:t>
      </w:r>
      <w:r>
        <w:t xml:space="preserve">on assumptions Chapter 9 would not certify for three decades.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hash-based (PQ-conservative) proof systems with practical re-proving pipelines —</w:t>
      </w:r>
      <w:r>
        <w:t xml:space="preserve"> </w:t>
      </w:r>
      <w:r>
        <w:t xml:space="preserve">so that P1-style re-anchoring can</w:t>
      </w:r>
      <w:r>
        <w:t xml:space="preserve"> </w:t>
      </w:r>
      <w:r>
        <w:rPr>
          <w:iCs/>
          <w:i/>
        </w:rPr>
        <w:t xml:space="preserve">re-prove</w:t>
      </w:r>
      <w:r>
        <w:t xml:space="preserve"> </w:t>
      </w:r>
      <w:r>
        <w:t xml:space="preserve">old batches under new systems, the</w:t>
      </w:r>
      <w:r>
        <w:t xml:space="preserve"> </w:t>
      </w:r>
      <w:r>
        <w:t xml:space="preserve">rollup analog of Section 9.4, keeping compressed history exactly as</w:t>
      </w:r>
      <w:r>
        <w:t xml:space="preserve"> </w:t>
      </w:r>
      <w:r>
        <w:t xml:space="preserve">durable as the uncompressed history it replaced. The research shape: the proving-systems</w:t>
      </w:r>
      <w:r>
        <w:t xml:space="preserve"> </w:t>
      </w:r>
      <w:r>
        <w:t xml:space="preserve">community optimizes for prover time and proof size against today’s</w:t>
      </w:r>
      <w:r>
        <w:t xml:space="preserve"> </w:t>
      </w:r>
      <w:r>
        <w:t xml:space="preserve">verifier; this application adds a third axis —</w:t>
      </w:r>
      <w:r>
        <w:t xml:space="preserve"> </w:t>
      </w:r>
      <w:r>
        <w:rPr>
          <w:iCs/>
          <w:i/>
        </w:rPr>
        <w:t xml:space="preserve">re-provability</w:t>
      </w:r>
      <w:r>
        <w:t xml:space="preserve">, the</w:t>
      </w:r>
      <w:r>
        <w:t xml:space="preserve"> </w:t>
      </w:r>
      <w:r>
        <w:t xml:space="preserve">cost of re-certifying a historical batch under a successor system from</w:t>
      </w:r>
      <w:r>
        <w:t xml:space="preserve"> </w:t>
      </w:r>
      <w:r>
        <w:t xml:space="preserve">archived witnesses — which no current benchmark measures and which</w:t>
      </w:r>
      <w:r>
        <w:t xml:space="preserve"> </w:t>
      </w:r>
      <w:r>
        <w:t xml:space="preserve">determines whether validity proofs are compatible with evidential</w:t>
      </w:r>
      <w:r>
        <w:t xml:space="preserve"> </w:t>
      </w:r>
      <w:r>
        <w:t xml:space="preserve">lifetimes at all. A workshop paper defining the re-provability metric</w:t>
      </w:r>
      <w:r>
        <w:t xml:space="preserve"> </w:t>
      </w:r>
      <w:r>
        <w:t xml:space="preserve">and benchmarking the hash-based candidates against it would orient the</w:t>
      </w:r>
      <w:r>
        <w:t xml:space="preserve"> </w:t>
      </w:r>
      <w:r>
        <w:t xml:space="preserve">field for a decade; the archived-witness custody question it raises</w:t>
      </w:r>
      <w:r>
        <w:t xml:space="preserve"> </w:t>
      </w:r>
      <w:r>
        <w:t xml:space="preserve">(what must the archive retain to re-prove?) belongs jointly to this item</w:t>
      </w:r>
      <w:r>
        <w:t xml:space="preserve"> </w:t>
      </w:r>
      <w:r>
        <w:t xml:space="preserve">and to Chapter 4’s preservation discipline.</w:t>
      </w:r>
    </w:p>
    <w:p>
      <w:pPr>
        <w:pStyle w:val="BodyText"/>
      </w:pPr>
      <w:r>
        <w:rPr>
          <w:bCs/>
          <w:b/>
        </w:rPr>
        <w:t xml:space="preserve">C2 — Zero-knowledge selective disclosure over evidence DAGs</w:t>
      </w:r>
      <w:r>
        <w:t xml:space="preserve"> </w:t>
      </w:r>
      <w:r>
        <w:t xml:space="preserve">(§10.2-3).</w:t>
      </w:r>
      <w:r>
        <w:t xml:space="preserve"> </w:t>
      </w:r>
      <w:r>
        <w:t xml:space="preserve">Field-level VC disclosure exists; what diligence actually needs is</w:t>
      </w:r>
      <w:r>
        <w:t xml:space="preserve"> </w:t>
      </w:r>
      <w:r>
        <w:rPr>
          <w:iCs/>
          <w:i/>
        </w:rPr>
        <w:t xml:space="preserve">graph-level</w:t>
      </w:r>
      <w:r>
        <w:t xml:space="preserve"> </w:t>
      </w:r>
      <w:r>
        <w:t xml:space="preserve">predicates —</w:t>
      </w:r>
      <w:r>
        <w:t xml:space="preserve"> </w:t>
      </w:r>
      <w:r>
        <w:t xml:space="preserve">“</w:t>
      </w:r>
      <w:r>
        <w:t xml:space="preserve">this asset’s condition chain satisfies the insurer’s policy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proven without revealing the chain.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practical ZK policy evaluation</w:t>
      </w:r>
      <w:r>
        <w:t xml:space="preserve"> </w:t>
      </w:r>
      <w:r>
        <w:t xml:space="preserve">over the §5.4 DAG structure, PQ-migratable per C1. Until then, the pilot’s</w:t>
      </w:r>
      <w:r>
        <w:t xml:space="preserve"> </w:t>
      </w:r>
      <w:r>
        <w:t xml:space="preserve">covenant-plus-access-control posture (§11.2) is the honest state of the art.</w:t>
      </w:r>
      <w:r>
        <w:t xml:space="preserve"> </w:t>
      </w:r>
      <w:r>
        <w:t xml:space="preserve">The application constraint that shapes the research: diligence predicates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negotiated</w:t>
      </w:r>
      <w:r>
        <w:t xml:space="preserve"> </w:t>
      </w:r>
      <w:r>
        <w:t xml:space="preserve">(each insurer’s policy differs), so the construction</w:t>
      </w:r>
      <w:r>
        <w:t xml:space="preserve"> </w:t>
      </w:r>
      <w:r>
        <w:t xml:space="preserve">must support predicate languages, not fixed circuits — which points at</w:t>
      </w:r>
      <w:r>
        <w:t xml:space="preserve"> </w:t>
      </w:r>
      <w:r>
        <w:t xml:space="preserve">the general-purpose proving systems and away from bespoke protocols, and</w:t>
      </w:r>
      <w:r>
        <w:t xml:space="preserve"> </w:t>
      </w:r>
      <w:r>
        <w:t xml:space="preserve">which makes C2 largely a consumer of C1’s progress plus an engineering</w:t>
      </w:r>
      <w:r>
        <w:t xml:space="preserve"> </w:t>
      </w:r>
      <w:r>
        <w:t xml:space="preserve">layer of DAG-to-circuit compilation that a good systems group could own</w:t>
      </w:r>
      <w:r>
        <w:t xml:space="preserve"> </w:t>
      </w:r>
      <w:r>
        <w:t xml:space="preserve">outright. A worked target predicate, to make the benchmark concrete:</w:t>
      </w:r>
      <w:r>
        <w:t xml:space="preserve"> </w:t>
      </w:r>
      <w:r>
        <w:t xml:space="preserve">“</w:t>
      </w:r>
      <w:r>
        <w:t xml:space="preserve">every condition record in this asset’s chain was produced by an</w:t>
      </w:r>
      <w:r>
        <w:t xml:space="preserve"> </w:t>
      </w:r>
      <w:r>
        <w:t xml:space="preserve">in-calibration I-A instrument, and no inter-record degradation delta</w:t>
      </w:r>
      <w:r>
        <w:t xml:space="preserve"> </w:t>
      </w:r>
      <w:r>
        <w:t xml:space="preserve">exceeds the warranted envelope</w:t>
      </w:r>
      <w:r>
        <w:t xml:space="preserve">”</w:t>
      </w:r>
      <w:r>
        <w:t xml:space="preserve"> </w:t>
      </w:r>
      <w:r>
        <w:t xml:space="preserve">— provable today by disclosure,</w:t>
      </w:r>
      <w:r>
        <w:t xml:space="preserve"> </w:t>
      </w:r>
      <w:r>
        <w:t xml:space="preserve">tomorrow, ideally, by proof.</w:t>
      </w:r>
    </w:p>
    <w:p>
      <w:pPr>
        <w:pStyle w:val="BodyText"/>
      </w:pPr>
      <w:r>
        <w:rPr>
          <w:bCs/>
          <w:b/>
        </w:rPr>
        <w:t xml:space="preserve">C3 — Formal verification of lifecycle state machines</w:t>
      </w:r>
      <w:r>
        <w:t xml:space="preserve"> </w:t>
      </w:r>
      <w:r>
        <w:t xml:space="preserve">(§8.5-F8). The</w:t>
      </w:r>
      <w:r>
        <w:t xml:space="preserve"> </w:t>
      </w:r>
      <w:r>
        <w:t xml:space="preserve">contracts are small by design; they should be</w:t>
      </w:r>
      <w:r>
        <w:t xml:space="preserve"> </w:t>
      </w:r>
      <w:r>
        <w:rPr>
          <w:iCs/>
          <w:i/>
        </w:rPr>
        <w:t xml:space="preserve">provably</w:t>
      </w:r>
      <w:r>
        <w:t xml:space="preserve"> </w:t>
      </w:r>
      <w:r>
        <w:t xml:space="preserve">small — machine-checked</w:t>
      </w:r>
      <w:r>
        <w:t xml:space="preserve"> </w:t>
      </w:r>
      <w:r>
        <w:t xml:space="preserve">correspondence between the Chapter 5 schema, the deployed contract, and the</w:t>
      </w:r>
      <w:r>
        <w:t xml:space="preserve"> </w:t>
      </w:r>
      <w:r>
        <w:t xml:space="preserve">time-contextual verification rules of §9.4-P2. The state-machine restriction</w:t>
      </w:r>
      <w:r>
        <w:t xml:space="preserve"> </w:t>
      </w:r>
      <w:r>
        <w:t xml:space="preserve">makes this tractable in a way general contract verification is not; it is</w:t>
      </w:r>
      <w:r>
        <w:t xml:space="preserve"> </w:t>
      </w:r>
      <w:r>
        <w:t xml:space="preserve">low-hanging fruit for the formal-methods community. The concrete work</w:t>
      </w:r>
      <w:r>
        <w:t xml:space="preserve"> </w:t>
      </w:r>
      <w:r>
        <w:t xml:space="preserve">program: mechanize the envelope and state machine in a proof assistant;</w:t>
      </w:r>
      <w:r>
        <w:t xml:space="preserve"> </w:t>
      </w:r>
      <w:r>
        <w:t xml:space="preserve">prove the invariants of Table 5.2 preserved by every event type; prove</w:t>
      </w:r>
      <w:r>
        <w:t xml:space="preserve"> </w:t>
      </w:r>
      <w:r>
        <w:t xml:space="preserve">the P2 verifier’s time-contextual judgment sound against the policy</w:t>
      </w:r>
      <w:r>
        <w:t xml:space="preserve"> </w:t>
      </w:r>
      <w:r>
        <w:t xml:space="preserve">register’s semantics; and — the deliverable with deployment leverage —</w:t>
      </w:r>
      <w:r>
        <w:t xml:space="preserve"> </w:t>
      </w:r>
      <w:r>
        <w:t xml:space="preserve">generate the conformance suites of Section 7.5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the mechanization,</w:t>
      </w:r>
      <w:r>
        <w:t xml:space="preserve"> </w:t>
      </w:r>
      <w:r>
        <w:t xml:space="preserve">so that the two independent implementations are tested against a</w:t>
      </w:r>
      <w:r>
        <w:t xml:space="preserve"> </w:t>
      </w:r>
      <w:r>
        <w:t xml:space="preserve">machine-checked oracle rather than against each other’s assumptions. The</w:t>
      </w:r>
      <w:r>
        <w:t xml:space="preserve"> </w:t>
      </w:r>
      <w:r>
        <w:t xml:space="preserve">pilot’s 1,700 logic lines are a term project’s scale; the value is not</w:t>
      </w:r>
      <w:r>
        <w:t xml:space="preserve"> </w:t>
      </w:r>
      <w:r>
        <w:t xml:space="preserve">the proof but the permanent, executable specification it leaves behind.</w:t>
      </w:r>
    </w:p>
    <w:p>
      <w:pPr>
        <w:pStyle w:val="BodyText"/>
      </w:pPr>
      <w:r>
        <w:rPr>
          <w:bCs/>
          <w:b/>
        </w:rPr>
        <w:t xml:space="preserve">C4 — Succession-complete DID methods</w:t>
      </w:r>
      <w:r>
        <w:t xml:space="preserve"> </w:t>
      </w:r>
      <w:r>
        <w:t xml:space="preserve">(§3.5). Controller succession,</w:t>
      </w:r>
      <w:r>
        <w:t xml:space="preserve"> </w:t>
      </w:r>
      <w:r>
        <w:t xml:space="preserve">supersession chains, and algorithm-policy references exist in this book as</w:t>
      </w:r>
      <w:r>
        <w:t xml:space="preserve"> </w:t>
      </w:r>
      <w:r>
        <w:t xml:space="preserve">schema conventions (the DID-document sketch of §3.5 shows their shape);</w:t>
      </w:r>
      <w:r>
        <w:t xml:space="preserve"> </w:t>
      </w:r>
      <w:r>
        <w:t xml:space="preserve">they should exist as a standardized DID method for</w:t>
      </w:r>
      <w:r>
        <w:t xml:space="preserve"> </w:t>
      </w:r>
      <w:r>
        <w:t xml:space="preserve">non-agentive physical subjects, with a resolution story that survives</w:t>
      </w:r>
      <w:r>
        <w:t xml:space="preserve"> </w:t>
      </w:r>
      <w:r>
        <w:t xml:space="preserve">institutional churn (the §1.3 problem, one level up). This item sits on the</w:t>
      </w:r>
      <w:r>
        <w:t xml:space="preserve"> </w:t>
      </w:r>
      <w:r>
        <w:t xml:space="preserve">boundary with standards work, where it continues as S2 — and its</w:t>
      </w:r>
      <w:r>
        <w:t xml:space="preserve"> </w:t>
      </w:r>
      <w:r>
        <w:t xml:space="preserve">research kernel, distinct from the standards drafting, is the</w:t>
      </w:r>
      <w:r>
        <w:t xml:space="preserve"> </w:t>
      </w:r>
      <w:r>
        <w:rPr>
          <w:iCs/>
          <w:i/>
        </w:rPr>
        <w:t xml:space="preserve">resolution-independence</w:t>
      </w:r>
      <w:r>
        <w:t xml:space="preserve"> </w:t>
      </w:r>
      <w:r>
        <w:t xml:space="preserve">formalization of Section 3.5: a precise</w:t>
      </w:r>
      <w:r>
        <w:t xml:space="preserve"> </w:t>
      </w:r>
      <w:r>
        <w:t xml:space="preserve">statement of what a record bundle must contain for verification to</w:t>
      </w:r>
      <w:r>
        <w:t xml:space="preserve"> </w:t>
      </w:r>
      <w:r>
        <w:t xml:space="preserve">proceed with zero live infrastructure, proven sufficient against the</w:t>
      </w:r>
      <w:r>
        <w:t xml:space="preserve"> </w:t>
      </w:r>
      <w:r>
        <w:t xml:space="preserve">verifier of Appendix A. That statement, once made, becomes the</w:t>
      </w:r>
      <w:r>
        <w:t xml:space="preserve"> </w:t>
      </w:r>
      <w:r>
        <w:t xml:space="preserve">portability conformance test every implementation needs and none can</w:t>
      </w:r>
      <w:r>
        <w:t xml:space="preserve"> </w:t>
      </w:r>
      <w:r>
        <w:t xml:space="preserve">currently cite.</w:t>
      </w:r>
    </w:p>
    <w:p>
      <w:pPr>
        <w:pStyle w:val="BodyText"/>
      </w:pPr>
      <w:r>
        <w:t xml:space="preserve">A fifth cryptographic item earns its place from Part III’s margins:</w:t>
      </w:r>
      <w:r>
        <w:t xml:space="preserve"> </w:t>
      </w:r>
      <w:r>
        <w:rPr>
          <w:bCs/>
          <w:b/>
        </w:rPr>
        <w:t xml:space="preserve">C5 — privacy-preserving cohort analytics.</w:t>
      </w:r>
      <w:r>
        <w:t xml:space="preserve"> </w:t>
      </w:r>
      <w:r>
        <w:t xml:space="preserve">The D4 defenses and the</w:t>
      </w:r>
      <w:r>
        <w:t xml:space="preserve"> </w:t>
      </w:r>
      <w:r>
        <w:t xml:space="preserve">Chapter 13 data products both want statistics over populations whose</w:t>
      </w:r>
      <w:r>
        <w:t xml:space="preserve"> </w:t>
      </w:r>
      <w:r>
        <w:t xml:space="preserve">members are commercially sensitive; differential-privacy and secure-</w:t>
      </w:r>
      <w:r>
        <w:t xml:space="preserve"> </w:t>
      </w:r>
      <w:r>
        <w:t xml:space="preserve">aggregation techniques are mature in adjacent industries and unadapted</w:t>
      </w:r>
      <w:r>
        <w:t xml:space="preserve"> </w:t>
      </w:r>
      <w:r>
        <w:t xml:space="preserve">to this one’s peculiar shape (small consortium populations, adversarial</w:t>
      </w:r>
      <w:r>
        <w:t xml:space="preserve"> </w:t>
      </w:r>
      <w:r>
        <w:t xml:space="preserve">members, anchored outputs).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a cohort-monitor design whose</w:t>
      </w:r>
      <w:r>
        <w:t xml:space="preserve"> </w:t>
      </w:r>
      <w:r>
        <w:t xml:space="preserve">published aggregates carry formal leakage bounds, which would convert</w:t>
      </w:r>
      <w:r>
        <w:t xml:space="preserve"> </w:t>
      </w:r>
      <w:r>
        <w:t xml:space="preserve">Section 10.2’s aggregation thresholds from craft into contract. The</w:t>
      </w:r>
      <w:r>
        <w:t xml:space="preserve"> </w:t>
      </w:r>
      <w:r>
        <w:t xml:space="preserve">adaptation work is genuine rather than transplantational: differential</w:t>
      </w:r>
      <w:r>
        <w:t xml:space="preserve"> </w:t>
      </w:r>
      <w:r>
        <w:t xml:space="preserve">privacy’s guarantees weaken exactly where this domain lives (small</w:t>
      </w:r>
      <w:r>
        <w:t xml:space="preserve"> </w:t>
      </w:r>
      <w:r>
        <w:t xml:space="preserve">populations, repeated releases, auxiliary information held by the very</w:t>
      </w:r>
      <w:r>
        <w:t xml:space="preserve"> </w:t>
      </w:r>
      <w:r>
        <w:t xml:space="preserve">members the aggregates describe), so the item is a research problem in</w:t>
      </w:r>
      <w:r>
        <w:t xml:space="preserve"> </w:t>
      </w:r>
      <w:r>
        <w:t xml:space="preserve">the privacy community’s own terms, not an application note.</w:t>
      </w:r>
    </w:p>
    <w:p>
      <w:pPr>
        <w:pStyle w:val="BodyText"/>
      </w:pPr>
      <w:r>
        <w:t xml:space="preserve">The systems section’s register, symmetrical to measurement’s: C1 through</w:t>
      </w:r>
      <w:r>
        <w:t xml:space="preserve"> </w:t>
      </w:r>
      <w:r>
        <w:t xml:space="preserve">C5 are the</w:t>
      </w:r>
      <w:r>
        <w:t xml:space="preserve"> </w:t>
      </w:r>
      <w:r>
        <w:rPr>
          <w:iCs/>
          <w:i/>
        </w:rPr>
        <w:t xml:space="preserve">durability engineering</w:t>
      </w:r>
      <w:r>
        <w:t xml:space="preserve"> </w:t>
      </w:r>
      <w:r>
        <w:t xml:space="preserve">of the record layer — proofs that</w:t>
      </w:r>
      <w:r>
        <w:t xml:space="preserve"> </w:t>
      </w:r>
      <w:r>
        <w:t xml:space="preserve">can be re-proved, disclosures that reveal exactly enough, contracts that</w:t>
      </w:r>
      <w:r>
        <w:t xml:space="preserve"> </w:t>
      </w:r>
      <w:r>
        <w:t xml:space="preserve">are their own specifications, names that outlive their resolvers, and</w:t>
      </w:r>
      <w:r>
        <w:t xml:space="preserve"> </w:t>
      </w:r>
      <w:r>
        <w:t xml:space="preserve">statistics that respect their subjects — and their common discipline is</w:t>
      </w:r>
      <w:r>
        <w:t xml:space="preserve"> </w:t>
      </w:r>
      <w:r>
        <w:t xml:space="preserve">the thirty-year clock this book has held every design to. The</w:t>
      </w:r>
      <w:r>
        <w:t xml:space="preserve"> </w:t>
      </w:r>
      <w:r>
        <w:t xml:space="preserve">communities they address optimize, by publication culture, for the</w:t>
      </w:r>
      <w:r>
        <w:t xml:space="preserve"> </w:t>
      </w:r>
      <w:r>
        <w:t xml:space="preserve">adversary of the next conference cycle; this application’s contribution</w:t>
      </w:r>
      <w:r>
        <w:t xml:space="preserve"> </w:t>
      </w:r>
      <w:r>
        <w:t xml:space="preserve">back to them is a genuinely different objective function, and objective</w:t>
      </w:r>
      <w:r>
        <w:t xml:space="preserve"> </w:t>
      </w:r>
      <w:r>
        <w:t xml:space="preserve">functions are where research fields find their next decade.</w:t>
      </w:r>
    </w:p>
    <w:bookmarkEnd w:id="22"/>
    <w:bookmarkStart w:id="23" w:name="standardization-gaps"/>
    <w:p>
      <w:pPr>
        <w:pStyle w:val="Heading2"/>
      </w:pPr>
      <w:r>
        <w:t xml:space="preserve">14.3 Standardization Gaps</w:t>
      </w:r>
    </w:p>
    <w:p>
      <w:pPr>
        <w:pStyle w:val="FirstParagraph"/>
      </w:pPr>
      <w:r>
        <w:t xml:space="preserve">The book’s repeated finding (§11.7-2, §12.5) is that the architecture’s</w:t>
      </w:r>
      <w:r>
        <w:t xml:space="preserve"> </w:t>
      </w:r>
      <w:r>
        <w:t xml:space="preserve">components standardize bottom-up except one layer, and Table 14.1 puts the</w:t>
      </w:r>
      <w:r>
        <w:t xml:space="preserve"> </w:t>
      </w:r>
      <w:r>
        <w:t xml:space="preserve">whole landscape in one view. Standards items are listed apart from</w:t>
      </w:r>
      <w:r>
        <w:t xml:space="preserve"> </w:t>
      </w:r>
      <w:r>
        <w:t xml:space="preserve">research because their success criteria differ in kind: a research item</w:t>
      </w:r>
      <w:r>
        <w:t xml:space="preserve"> </w:t>
      </w:r>
      <w:r>
        <w:t xml:space="preserve">succeeds when something becomes</w:t>
      </w:r>
      <w:r>
        <w:t xml:space="preserve"> </w:t>
      </w:r>
      <w:r>
        <w:rPr>
          <w:iCs/>
          <w:i/>
        </w:rPr>
        <w:t xml:space="preserve">known</w:t>
      </w:r>
      <w:r>
        <w:t xml:space="preserve">; a standards item succeeds when</w:t>
      </w:r>
      <w:r>
        <w:t xml:space="preserve"> </w:t>
      </w:r>
      <w:r>
        <w:t xml:space="preserve">something becomes</w:t>
      </w:r>
      <w:r>
        <w:t xml:space="preserve"> </w:t>
      </w:r>
      <w:r>
        <w:rPr>
          <w:iCs/>
          <w:i/>
        </w:rPr>
        <w:t xml:space="preserve">citable</w:t>
      </w:r>
      <w:r>
        <w:t xml:space="preserve"> </w:t>
      </w:r>
      <w:r>
        <w:t xml:space="preserve">— by a delegated act, a procurement clause,</w:t>
      </w:r>
      <w:r>
        <w:t xml:space="preserve"> </w:t>
      </w:r>
      <w:r>
        <w:t xml:space="preserve">an accreditation scheme — and the gap between known and citable is</w:t>
      </w:r>
      <w:r>
        <w:t xml:space="preserve"> </w:t>
      </w:r>
      <w:r>
        <w:t xml:space="preserve">measured in committee-years that start only when a community shows up</w:t>
      </w:r>
      <w:r>
        <w:t xml:space="preserve"> </w:t>
      </w:r>
      <w:r>
        <w:t xml:space="preserve">with a draft.</w:t>
      </w:r>
    </w:p>
    <w:p>
      <w:pPr>
        <w:pStyle w:val="BodyText"/>
      </w:pPr>
      <w:r>
        <w:rPr>
          <w:bCs/>
          <w:b/>
        </w:rPr>
        <w:t xml:space="preserve">Table 14.1</w:t>
      </w:r>
      <w:r>
        <w:t xml:space="preserve"> </w:t>
      </w:r>
      <w:r>
        <w:t xml:space="preserve">Standardization state of the architecture’s layers, from</w:t>
      </w:r>
      <w:r>
        <w:t xml:space="preserve"> </w:t>
      </w:r>
      <w:r>
        <w:t xml:space="preserve">the working delegate’s point of view: base to build on, gap to close,</w:t>
      </w:r>
      <w:r>
        <w:t xml:space="preserve"> </w:t>
      </w:r>
      <w:r>
        <w:t xml:space="preserve">room to close it 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Event envelope &amp; lifecycle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book’s schema; event-sourcing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sector standard; passport acts define</w:t>
            </w:r>
            <w:r>
              <w:t xml:space="preserve"> </w:t>
            </w:r>
            <w:r>
              <w:rPr>
                <w:iCs/>
                <w:i/>
              </w:rPr>
              <w:t xml:space="preserve">data</w:t>
            </w:r>
            <w:r>
              <w:t xml:space="preserve">, not</w:t>
            </w:r>
            <w:r>
              <w:t xml:space="preserve"> </w:t>
            </w:r>
            <w:r>
              <w:rPr>
                <w:iCs/>
                <w:i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TC82/TC120 with ISO TC307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Asset DID method &amp; succession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DID/VC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Non-agentive subjects, succession, longevity (C4)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+ ISO TC307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  <w:r>
              <w:t xml:space="preserve"> </w:t>
            </w:r>
            <w:r>
              <w:rPr>
                <w:bCs/>
                <w:b/>
              </w:rPr>
              <w:t xml:space="preserve">Binding templates &amp;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Cross-vendor template formats, similarity metrics, FA/FR reporting, challenge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TC82 (PV), TC21 (batteries); metrology institutes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Passport projections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Reg. Annex XIII; ESPR acts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delegated act not yet fixed; event-to-passport mappings 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Commission + CEN/CENELEC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 Verification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 workflow; ISO 17025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scheme for verifiers; sampling-design norms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ILAC/national accreditation bodies</w:t>
            </w:r>
          </w:p>
        </w:tc>
      </w:tr>
    </w:tbl>
    <w:p>
      <w:pPr>
        <w:pStyle w:val="BodyText"/>
      </w:pPr>
      <w:r>
        <w:t xml:space="preserve">The rows deserve their working notes, since Table 14.1 will be some</w:t>
      </w:r>
      <w:r>
        <w:t xml:space="preserve"> </w:t>
      </w:r>
      <w:r>
        <w:t xml:space="preserve">committee delegate’s briefing document.</w:t>
      </w:r>
      <w:r>
        <w:t xml:space="preserve"> </w:t>
      </w:r>
      <w:r>
        <w:rPr>
          <w:bCs/>
          <w:b/>
        </w:rPr>
        <w:t xml:space="preserve">S1</w:t>
      </w:r>
      <w:r>
        <w:t xml:space="preserve"> </w:t>
      </w:r>
      <w:r>
        <w:t xml:space="preserve">(envelope and vocabulary)</w:t>
      </w:r>
      <w:r>
        <w:t xml:space="preserve"> </w:t>
      </w:r>
      <w:r>
        <w:t xml:space="preserve">has the easiest technical path and the hardest politics: the content is</w:t>
      </w:r>
      <w:r>
        <w:t xml:space="preserve"> </w:t>
      </w:r>
      <w:r>
        <w:t xml:space="preserve">small (Chapter 5’s envelope fits on two pages), the precedent is strong</w:t>
      </w:r>
      <w:r>
        <w:t xml:space="preserve"> </w:t>
      </w:r>
      <w:r>
        <w:t xml:space="preserve">(EPCIS shows sectoral event vocabularies can standardize), and the risk</w:t>
      </w:r>
      <w:r>
        <w:t xml:space="preserve"> </w:t>
      </w:r>
      <w:r>
        <w:t xml:space="preserve">is committee inflation — every stakeholder’s payload wish attaching to</w:t>
      </w:r>
      <w:r>
        <w:t xml:space="preserve"> </w:t>
      </w:r>
      <w:r>
        <w:t xml:space="preserve">the envelope until it is neither small nor stable; the delegates’ brief</w:t>
      </w:r>
      <w:r>
        <w:t xml:space="preserve"> </w:t>
      </w:r>
      <w:r>
        <w:t xml:space="preserve">is Chapter 5’s constitution/payload split, defended verbatim.</w:t>
      </w:r>
      <w:r>
        <w:t xml:space="preserve"> </w:t>
      </w:r>
      <w:r>
        <w:rPr>
          <w:bCs/>
          <w:b/>
        </w:rPr>
        <w:t xml:space="preserve">S2</w:t>
      </w:r>
      <w:r>
        <w:t xml:space="preserve"> </w:t>
      </w:r>
      <w:r>
        <w:t xml:space="preserve">(DID method and succession) should ride W3C process for the method</w:t>
      </w:r>
      <w:r>
        <w:t xml:space="preserve"> </w:t>
      </w:r>
      <w:r>
        <w:t xml:space="preserve">syntax and ISO for the longevity requirements, with C4’s</w:t>
      </w:r>
      <w:r>
        <w:t xml:space="preserve"> </w:t>
      </w:r>
      <w:r>
        <w:t xml:space="preserve">resolution-independence formalization as the technical contribution</w:t>
      </w:r>
      <w:r>
        <w:t xml:space="preserve"> </w:t>
      </w:r>
      <w:r>
        <w:t xml:space="preserve">that distinguishes it from the person-centric methods already</w:t>
      </w:r>
      <w:r>
        <w:t xml:space="preserve"> </w:t>
      </w:r>
      <w:r>
        <w:t xml:space="preserve">registered.</w:t>
      </w:r>
      <w:r>
        <w:t xml:space="preserve"> </w:t>
      </w:r>
      <w:r>
        <w:rPr>
          <w:bCs/>
          <w:b/>
        </w:rPr>
        <w:t xml:space="preserve">S4</w:t>
      </w:r>
      <w:r>
        <w:t xml:space="preserve"> </w:t>
      </w:r>
      <w:r>
        <w:t xml:space="preserve">(passport projections) is on the fastest external</w:t>
      </w:r>
      <w:r>
        <w:t xml:space="preserve"> </w:t>
      </w:r>
      <w:r>
        <w:t xml:space="preserve">clock: the delegated acts will cite data models on regulatory</w:t>
      </w:r>
      <w:r>
        <w:t xml:space="preserve"> </w:t>
      </w:r>
      <w:r>
        <w:t xml:space="preserve">timetables regardless of this community’s readiness, so the pragmatic</w:t>
      </w:r>
      <w:r>
        <w:t xml:space="preserve"> </w:t>
      </w:r>
      <w:r>
        <w:t xml:space="preserve">play is contributed mappings — Table 12.3’s shape, generalized — into</w:t>
      </w:r>
      <w:r>
        <w:t xml:space="preserve"> </w:t>
      </w:r>
      <w:r>
        <w:t xml:space="preserve">the CEN/CENELEC drafting now, accepting imperfection in exchange for</w:t>
      </w:r>
      <w:r>
        <w:t xml:space="preserve"> </w:t>
      </w:r>
      <w:r>
        <w:t xml:space="preserve">presence.</w:t>
      </w:r>
      <w:r>
        <w:t xml:space="preserve"> </w:t>
      </w:r>
      <w:r>
        <w:rPr>
          <w:bCs/>
          <w:b/>
        </w:rPr>
        <w:t xml:space="preserve">S5</w:t>
      </w:r>
      <w:r>
        <w:t xml:space="preserve"> </w:t>
      </w:r>
      <w:r>
        <w:t xml:space="preserve">(verification practice) is institutionally the most</w:t>
      </w:r>
      <w:r>
        <w:t xml:space="preserve"> </w:t>
      </w:r>
      <w:r>
        <w:t xml:space="preserve">natural: accreditation bodies already run proficiency regimes for test</w:t>
      </w:r>
      <w:r>
        <w:t xml:space="preserve"> </w:t>
      </w:r>
      <w:r>
        <w:t xml:space="preserve">laboratories, and extending them to verification services needs a</w:t>
      </w:r>
      <w:r>
        <w:t xml:space="preserve"> </w:t>
      </w:r>
      <w:r>
        <w:t xml:space="preserve">scheme document more than a standard — the ILAC-style mutual</w:t>
      </w:r>
      <w:r>
        <w:t xml:space="preserve"> </w:t>
      </w:r>
      <w:r>
        <w:t xml:space="preserve">recognition arrangements then give cross-border verification its legal</w:t>
      </w:r>
      <w:r>
        <w:t xml:space="preserve"> </w:t>
      </w:r>
      <w:r>
        <w:t xml:space="preserve">footing, which the cross-federation traversals of Section 7.4 will</w:t>
      </w:r>
      <w:r>
        <w:t xml:space="preserve"> </w:t>
      </w:r>
      <w:r>
        <w:t xml:space="preserve">eventually demand.</w:t>
      </w:r>
    </w:p>
    <w:p>
      <w:pPr>
        <w:pStyle w:val="BodyText"/>
      </w:pPr>
      <w:r>
        <w:t xml:space="preserve">One reading note on the table: the</w:t>
      </w:r>
      <w:r>
        <w:t xml:space="preserve"> </w:t>
      </w:r>
      <w:r>
        <w:t xml:space="preserve">“</w:t>
      </w:r>
      <w:r>
        <w:t xml:space="preserve">existing base</w:t>
      </w:r>
      <w:r>
        <w:t xml:space="preserve">”</w:t>
      </w:r>
      <w:r>
        <w:t xml:space="preserve"> </w:t>
      </w:r>
      <w:r>
        <w:t xml:space="preserve">column is deliberately</w:t>
      </w:r>
      <w:r>
        <w:t xml:space="preserve"> </w:t>
      </w:r>
      <w:r>
        <w:t xml:space="preserve">generous — it credits partial precedents wherever they exist — so the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 </w:t>
      </w:r>
      <w:r>
        <w:t xml:space="preserve">column can be read strictly: every entry there is something no</w:t>
      </w:r>
      <w:r>
        <w:t xml:space="preserve"> </w:t>
      </w:r>
      <w:r>
        <w:t xml:space="preserve">standard, anywhere, currently provides, verified against the registries</w:t>
      </w:r>
      <w:r>
        <w:t xml:space="preserve"> </w:t>
      </w:r>
      <w:r>
        <w:t xml:space="preserve">at time of writing. Committee-shopping readers should also note the</w:t>
      </w:r>
      <w:r>
        <w:t xml:space="preserve"> </w:t>
      </w:r>
      <w:r>
        <w:t xml:space="preserve">venue column’s redundancy by design: standards efforts die of single-</w:t>
      </w:r>
      <w:r>
        <w:t xml:space="preserve"> </w:t>
      </w:r>
      <w:r>
        <w:t xml:space="preserve">venue capture as often as of neglect, and each row lists the pairing</w:t>
      </w:r>
      <w:r>
        <w:t xml:space="preserve"> </w:t>
      </w:r>
      <w:r>
        <w:t xml:space="preserve">that balances sectoral knowledge against horizontal reach.</w:t>
      </w:r>
    </w:p>
    <w:p>
      <w:pPr>
        <w:pStyle w:val="BodyText"/>
      </w:pPr>
      <w:r>
        <w:t xml:space="preserve">S3 is the entry this chapter exists to underline. Binding verification is where</w:t>
      </w:r>
      <w:r>
        <w:t xml:space="preserve"> </w:t>
      </w:r>
      <w:r>
        <w:t xml:space="preserve">the whole construction touches physical truth, and it has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standards</w:t>
      </w:r>
      <w:r>
        <w:t xml:space="preserve"> </w:t>
      </w:r>
      <w:r>
        <w:t xml:space="preserve">activity: no common template format, no agreed similarity metrics, no</w:t>
      </w:r>
      <w:r>
        <w:t xml:space="preserve"> </w:t>
      </w:r>
      <w:r>
        <w:t xml:space="preserve">false-accept reporting convention, no interoperable challenge protocol. The</w:t>
      </w:r>
      <w:r>
        <w:t xml:space="preserve"> </w:t>
      </w:r>
      <w:r>
        <w:t xml:space="preserve">window matters (§12.5): fleets enrolling now under proprietary formats create</w:t>
      </w:r>
      <w:r>
        <w:t xml:space="preserve"> </w:t>
      </w:r>
      <w:r>
        <w:t xml:space="preserve">switching costs that will entrench whatever ships first, and the difference</w:t>
      </w:r>
      <w:r>
        <w:t xml:space="preserve"> </w:t>
      </w:r>
      <w:r>
        <w:t xml:space="preserve">between an open metrological standard and a de facto vendor format at this layer</w:t>
      </w:r>
      <w:r>
        <w:t xml:space="preserve"> </w:t>
      </w:r>
      <w:r>
        <w:t xml:space="preserve">is the difference between an evidence infrastructure and a franchise. The</w:t>
      </w:r>
      <w:r>
        <w:t xml:space="preserve"> </w:t>
      </w:r>
      <w:r>
        <w:t xml:space="preserve">constructive proposal: treat binding templates as</w:t>
      </w:r>
      <w:r>
        <w:t xml:space="preserve"> </w:t>
      </w:r>
      <w:r>
        <w:rPr>
          <w:iCs/>
          <w:i/>
        </w:rPr>
        <w:t xml:space="preserve">metrology</w:t>
      </w:r>
      <w:r>
        <w:t xml:space="preserve">, not software —</w:t>
      </w:r>
      <w:r>
        <w:t xml:space="preserve"> </w:t>
      </w:r>
      <w:r>
        <w:t xml:space="preserve">the accredited-calibration machinery of §4.5 Rule 3 already imports the right</w:t>
      </w:r>
      <w:r>
        <w:t xml:space="preserve"> </w:t>
      </w:r>
      <w:r>
        <w:t xml:space="preserve">institutions, and national metrology institutes have exactly the standing to</w:t>
      </w:r>
      <w:r>
        <w:t xml:space="preserve"> </w:t>
      </w:r>
      <w:r>
        <w:t xml:space="preserve">host reference template formats and proficiency testing. That is a campaign a</w:t>
      </w:r>
      <w:r>
        <w:t xml:space="preserve"> </w:t>
      </w:r>
      <w:r>
        <w:t xml:space="preserve">research community can start; this book is, in part, its opening brief.</w:t>
      </w:r>
    </w:p>
    <w:p>
      <w:pPr>
        <w:pStyle w:val="BodyText"/>
      </w:pPr>
      <w:r>
        <w:t xml:space="preserve">The section’s closing perspective, because standardization chapters read</w:t>
      </w:r>
      <w:r>
        <w:t xml:space="preserve"> </w:t>
      </w:r>
      <w:r>
        <w:t xml:space="preserve">gloomier than their subject warrants: every layer of Table 14.1 except</w:t>
      </w:r>
      <w:r>
        <w:t xml:space="preserve"> </w:t>
      </w:r>
      <w:r>
        <w:t xml:space="preserve">S3 has either a base to build on or a venue in motion, which by the</w:t>
      </w:r>
      <w:r>
        <w:t xml:space="preserve"> </w:t>
      </w:r>
      <w:r>
        <w:t xml:space="preserve">standards of young fields is wealth. The sector standardized module</w:t>
      </w:r>
      <w:r>
        <w:t xml:space="preserve"> </w:t>
      </w:r>
      <w:r>
        <w:t xml:space="preserve">qualification, grid interconnection, and commissioning documentation</w:t>
      </w:r>
      <w:r>
        <w:t xml:space="preserve"> </w:t>
      </w:r>
      <w:r>
        <w:t xml:space="preserve">within living memory, against the same committee physics; the identity</w:t>
      </w:r>
      <w:r>
        <w:t xml:space="preserve"> </w:t>
      </w:r>
      <w:r>
        <w:t xml:space="preserve">layer’s standards problem is not harder than those were — it is merely</w:t>
      </w:r>
      <w:r>
        <w:t xml:space="preserve"> </w:t>
      </w:r>
      <w:r>
        <w:t xml:space="preserve">earlier, and earliness is the one deficiency that time cures without</w:t>
      </w:r>
      <w:r>
        <w:t xml:space="preserve"> </w:t>
      </w:r>
      <w:r>
        <w:t xml:space="preserve">being asked.</w:t>
      </w:r>
    </w:p>
    <w:p>
      <w:pPr>
        <w:pStyle w:val="BodyText"/>
      </w:pPr>
      <w:r>
        <w:t xml:space="preserve">The S3 campaign’s first three deliverables, specified so someone can</w:t>
      </w:r>
      <w:r>
        <w:t xml:space="preserve"> </w:t>
      </w:r>
      <w:r>
        <w:t xml:space="preserve">start Monday: a</w:t>
      </w:r>
      <w:r>
        <w:t xml:space="preserve"> </w:t>
      </w:r>
      <w:r>
        <w:rPr>
          <w:iCs/>
          <w:i/>
        </w:rPr>
        <w:t xml:space="preserve">reference dataset</w:t>
      </w:r>
      <w:r>
        <w:t xml:space="preserve"> </w:t>
      </w:r>
      <w:r>
        <w:t xml:space="preserve">— enrolled templates and repeat</w:t>
      </w:r>
      <w:r>
        <w:t xml:space="preserve"> </w:t>
      </w:r>
      <w:r>
        <w:t xml:space="preserve">measurements across instruments and time, from the M1 cohorts, published</w:t>
      </w:r>
      <w:r>
        <w:t xml:space="preserve"> </w:t>
      </w:r>
      <w:r>
        <w:t xml:space="preserve">under terms that let any vendor test comparability; a</w:t>
      </w:r>
      <w:r>
        <w:t xml:space="preserve"> </w:t>
      </w:r>
      <w:r>
        <w:rPr>
          <w:iCs/>
          <w:i/>
        </w:rPr>
        <w:t xml:space="preserve">comparison</w:t>
      </w:r>
      <w:r>
        <w:rPr>
          <w:iCs/>
          <w:i/>
        </w:rPr>
        <w:t xml:space="preserve"> </w:t>
      </w:r>
      <w:r>
        <w:rPr>
          <w:iCs/>
          <w:i/>
        </w:rPr>
        <w:t xml:space="preserve">protocol</w:t>
      </w:r>
      <w:r>
        <w:t xml:space="preserve"> </w:t>
      </w:r>
      <w:r>
        <w:t xml:space="preserve">— the FA/FR reporting convention and cross-instrument</w:t>
      </w:r>
      <w:r>
        <w:t xml:space="preserve"> </w:t>
      </w:r>
      <w:r>
        <w:t xml:space="preserve">proficiency test, drafted as a metrology-institute technical report</w:t>
      </w:r>
      <w:r>
        <w:t xml:space="preserve"> </w:t>
      </w:r>
      <w:r>
        <w:t xml:space="preserve">before it is anybody’s standard; and a</w:t>
      </w:r>
      <w:r>
        <w:t xml:space="preserve"> </w:t>
      </w:r>
      <w:r>
        <w:rPr>
          <w:iCs/>
          <w:i/>
        </w:rPr>
        <w:t xml:space="preserve">challenge-protocol register</w:t>
      </w:r>
      <w:r>
        <w:t xml:space="preserve"> </w:t>
      </w:r>
      <w:r>
        <w:t xml:space="preserve">—</w:t>
      </w:r>
      <w:r>
        <w:t xml:space="preserve"> </w:t>
      </w:r>
      <w:r>
        <w:t xml:space="preserve">the challenge-space descriptions of Section 6.4 in an open format, so</w:t>
      </w:r>
      <w:r>
        <w:t xml:space="preserve"> </w:t>
      </w:r>
      <w:r>
        <w:t xml:space="preserve">that verification is portable even where template internals remain</w:t>
      </w:r>
      <w:r>
        <w:t xml:space="preserve"> </w:t>
      </w:r>
      <w:r>
        <w:t xml:space="preserve">proprietary for a transition period. None of the three requires</w:t>
      </w:r>
      <w:r>
        <w:t xml:space="preserve"> </w:t>
      </w:r>
      <w:r>
        <w:t xml:space="preserve">consensus among vendors to begin; each raises the cost of proprietary</w:t>
      </w:r>
      <w:r>
        <w:t xml:space="preserve"> </w:t>
      </w:r>
      <w:r>
        <w:t xml:space="preserve">entrenchment the day it exists; and together they are the difference</w:t>
      </w:r>
      <w:r>
        <w:t xml:space="preserve"> </w:t>
      </w:r>
      <w:r>
        <w:t xml:space="preserve">between this layer standardizing the way units of measurement did and</w:t>
      </w:r>
      <w:r>
        <w:t xml:space="preserve"> </w:t>
      </w:r>
      <w:r>
        <w:t xml:space="preserve">the way word-processor formats did.</w:t>
      </w:r>
    </w:p>
    <w:p>
      <w:pPr>
        <w:pStyle w:val="BodyText"/>
      </w:pPr>
      <w:r>
        <w:t xml:space="preserve">One further standardization observation spans the table and belongs to</w:t>
      </w:r>
      <w:r>
        <w:t xml:space="preserve"> </w:t>
      </w:r>
      <w:r>
        <w:t xml:space="preserve">no single row: the delegates this agenda needs are largely the same</w:t>
      </w:r>
      <w:r>
        <w:t xml:space="preserve"> </w:t>
      </w:r>
      <w:r>
        <w:t xml:space="preserve">several dozen people across all five rows — the sector’s standing</w:t>
      </w:r>
      <w:r>
        <w:t xml:space="preserve"> </w:t>
      </w:r>
      <w:r>
        <w:t xml:space="preserve">standards community is small, and the practical constraint on the whole</w:t>
      </w:r>
      <w:r>
        <w:t xml:space="preserve"> </w:t>
      </w:r>
      <w:r>
        <w:t xml:space="preserve">section is delegate-hours, not technical difficulty. Organizations</w:t>
      </w:r>
      <w:r>
        <w:t xml:space="preserve"> </w:t>
      </w:r>
      <w:r>
        <w:t xml:space="preserve">deciding whether to fund a delegate seat should read Table 14.1 as a</w:t>
      </w:r>
      <w:r>
        <w:t xml:space="preserve"> </w:t>
      </w:r>
      <w:r>
        <w:t xml:space="preserve">single position’s job description, which at current committee cadences</w:t>
      </w:r>
      <w:r>
        <w:t xml:space="preserve"> </w:t>
      </w:r>
      <w:r>
        <w:t xml:space="preserve">is perhaps a third of one senior engineer — the cheapest full-time-</w:t>
      </w:r>
      <w:r>
        <w:t xml:space="preserve"> </w:t>
      </w:r>
      <w:r>
        <w:t xml:space="preserve">equivalent in this entire chapter, and the one with the longest lever.</w:t>
      </w:r>
    </w:p>
    <w:bookmarkEnd w:id="23"/>
    <w:bookmarkStart w:id="24" w:name="Xd317d98ea84899ffa9991e768919ef8a805cc3e"/>
    <w:p>
      <w:pPr>
        <w:pStyle w:val="Heading2"/>
      </w:pPr>
      <w:r>
        <w:t xml:space="preserve">14.4 The Passport Convergence, and the Integration Outlook</w:t>
      </w:r>
    </w:p>
    <w:p>
      <w:pPr>
        <w:pStyle w:val="FirstParagraph"/>
      </w:pPr>
      <w:r>
        <w:t xml:space="preserve">Every thread of Part IV pulls toward the same near-term configuration, worth</w:t>
      </w:r>
      <w:r>
        <w:t xml:space="preserve"> </w:t>
      </w:r>
      <w:r>
        <w:t xml:space="preserve">stating as a forecast with its assumptions visible — and worth situating</w:t>
      </w:r>
      <w:r>
        <w:t xml:space="preserve"> </w:t>
      </w:r>
      <w:r>
        <w:t xml:space="preserve">in this chapter rather than Chapter 10’s regulatory survey, because the</w:t>
      </w:r>
      <w:r>
        <w:t xml:space="preserve"> </w:t>
      </w:r>
      <w:r>
        <w:t xml:space="preserve">convergence is not an interface to be complied with but the field’s</w:t>
      </w:r>
      <w:r>
        <w:t xml:space="preserve"> </w:t>
      </w:r>
      <w:r>
        <w:t xml:space="preserve">principal integration event, whose handling in the next few drafting</w:t>
      </w:r>
      <w:r>
        <w:t xml:space="preserve"> </w:t>
      </w:r>
      <w:r>
        <w:t xml:space="preserve">years will set the boundary conditions on every research item above. The EU battery passport</w:t>
      </w:r>
      <w:r>
        <w:t xml:space="preserve"> </w:t>
      </w:r>
      <w:r>
        <w:t xml:space="preserve">(live obligations from 2027) and the ESPR delegated acts (PV modules a named</w:t>
      </w:r>
      <w:r>
        <w:t xml:space="preserve"> </w:t>
      </w:r>
      <w:r>
        <w:t xml:space="preserve">candidate) are creating, by law, per-unit lifecycle records with tiered access —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demand side</w:t>
      </w:r>
      <w:r>
        <w:t xml:space="preserve"> </w:t>
      </w:r>
      <w:r>
        <w:t xml:space="preserve">of this book’s architecture, minus verification. The</w:t>
      </w:r>
      <w:r>
        <w:t xml:space="preserve"> </w:t>
      </w:r>
      <w:r>
        <w:t xml:space="preserve">architecture’s</w:t>
      </w:r>
      <w:r>
        <w:t xml:space="preserve"> </w:t>
      </w:r>
      <w:r>
        <w:rPr>
          <w:iCs/>
          <w:i/>
        </w:rPr>
        <w:t xml:space="preserve">supply side</w:t>
      </w:r>
      <w:r>
        <w:t xml:space="preserve"> </w:t>
      </w:r>
      <w:r>
        <w:t xml:space="preserve">— anchored events, instrument attestation,</w:t>
      </w:r>
      <w:r>
        <w:t xml:space="preserve"> </w:t>
      </w:r>
      <w:r>
        <w:t xml:space="preserve">binding — is the difference between passports as self-declared paperwork and</w:t>
      </w:r>
      <w:r>
        <w:t xml:space="preserve"> </w:t>
      </w:r>
      <w:r>
        <w:t xml:space="preserve">passports as evidence (§12.2). The integration outlook, then:</w:t>
      </w:r>
      <w:r>
        <w:t xml:space="preserve"> </w:t>
      </w:r>
      <w:r>
        <w:rPr>
          <w:bCs/>
          <w:b/>
        </w:rPr>
        <w:t xml:space="preserve">passport</w:t>
      </w:r>
      <w:r>
        <w:rPr>
          <w:bCs/>
          <w:b/>
        </w:rPr>
        <w:t xml:space="preserve"> </w:t>
      </w:r>
      <w:r>
        <w:rPr>
          <w:bCs/>
          <w:b/>
        </w:rPr>
        <w:t xml:space="preserve">regimes adopt verifiability incrementally, field by field</w:t>
      </w:r>
      <w:r>
        <w:t xml:space="preserve">, beginning where</w:t>
      </w:r>
      <w:r>
        <w:t xml:space="preserve"> </w:t>
      </w:r>
      <w:r>
        <w:t xml:space="preserve">fraud is expensive and attestation is cheap (SoH declarations, recycled-content</w:t>
      </w:r>
      <w:r>
        <w:t xml:space="preserve"> </w:t>
      </w:r>
      <w:r>
        <w:t xml:space="preserve">mass balances, commissioning dates), with the three-zone topology (§10.1) as</w:t>
      </w:r>
      <w:r>
        <w:t xml:space="preserve"> </w:t>
      </w:r>
      <w:r>
        <w:t xml:space="preserve">the natural implementation of the regulations’ access tiers and the federated</w:t>
      </w:r>
      <w:r>
        <w:t xml:space="preserve"> </w:t>
      </w:r>
      <w:r>
        <w:t xml:space="preserve">consortium pattern (§7.4, §10.4, §12.5) as the deployment shape across</w:t>
      </w:r>
      <w:r>
        <w:t xml:space="preserve"> </w:t>
      </w:r>
      <w:r>
        <w:t xml:space="preserve">jurisdictions. The field-by-field mechanics deserve one concrete</w:t>
      </w:r>
      <w:r>
        <w:t xml:space="preserve"> </w:t>
      </w:r>
      <w:r>
        <w:t xml:space="preserve">rendering: the SoH field upgrades first because a single fraud instance</w:t>
      </w:r>
      <w:r>
        <w:t xml:space="preserve"> </w:t>
      </w:r>
      <w:r>
        <w:t xml:space="preserve">is expensive and a method-graded attestation slots into the existing</w:t>
      </w:r>
      <w:r>
        <w:t xml:space="preserve"> </w:t>
      </w:r>
      <w:r>
        <w:t xml:space="preserve">field without regulatory amendment (an implementing FAQ suffices);</w:t>
      </w:r>
      <w:r>
        <w:t xml:space="preserve"> </w:t>
      </w:r>
      <w:r>
        <w:t xml:space="preserve">recycled-content mass balances upgrade when the first EPR audit</w:t>
      </w:r>
      <w:r>
        <w:t xml:space="preserve"> </w:t>
      </w:r>
      <w:r>
        <w:t xml:space="preserve">discrepancy makes headlines; commissioning dates upgrade when a</w:t>
      </w:r>
      <w:r>
        <w:t xml:space="preserve"> </w:t>
      </w:r>
      <w:r>
        <w:t xml:space="preserve">certificate-eligibility dispute turns on one; and the long tail of</w:t>
      </w:r>
      <w:r>
        <w:t xml:space="preserve"> </w:t>
      </w:r>
      <w:r>
        <w:t xml:space="preserve">descriptive fields may honestly never upgrade, because nothing prices</w:t>
      </w:r>
      <w:r>
        <w:t xml:space="preserve"> </w:t>
      </w:r>
      <w:r>
        <w:t xml:space="preserve">their falsification. Incremental adoption is not a compromise of the</w:t>
      </w:r>
      <w:r>
        <w:t xml:space="preserve"> </w:t>
      </w:r>
      <w:r>
        <w:t xml:space="preserve">architecture — it is the architecture’s tiering principle (§6.7)</w:t>
      </w:r>
      <w:r>
        <w:t xml:space="preserve"> </w:t>
      </w:r>
      <w:r>
        <w:t xml:space="preserve">operating at regulatory scale, and a passport whose high-stakes fields</w:t>
      </w:r>
      <w:r>
        <w:t xml:space="preserve"> </w:t>
      </w:r>
      <w:r>
        <w:t xml:space="preserve">are anchored while its brochure fields are self-declared is a correctly</w:t>
      </w:r>
      <w:r>
        <w:t xml:space="preserve"> </w:t>
      </w:r>
      <w:r>
        <w:t xml:space="preserve">engineered artifact. The assumptions: that delegated acts specify data models open</w:t>
      </w:r>
      <w:r>
        <w:t xml:space="preserve"> </w:t>
      </w:r>
      <w:r>
        <w:t xml:space="preserve">enough to project onto (S4), and that at least one significant market’s</w:t>
      </w:r>
      <w:r>
        <w:t xml:space="preserve"> </w:t>
      </w:r>
      <w:r>
        <w:t xml:space="preserve">regulator accepts anchored attestation as satisfying documentary requirements —</w:t>
      </w:r>
      <w:r>
        <w:t xml:space="preserve"> </w:t>
      </w:r>
      <w:r>
        <w:t xml:space="preserve">the S4 rehearsal’s uncontested ledger extracts (§11.3) are the first, small</w:t>
      </w:r>
      <w:r>
        <w:t xml:space="preserve"> </w:t>
      </w:r>
      <w:r>
        <w:t xml:space="preserve">evidence on that question. Both assumptions are actionable rather than</w:t>
      </w:r>
      <w:r>
        <w:t xml:space="preserve"> </w:t>
      </w:r>
      <w:r>
        <w:t xml:space="preserve">merely watchable, which is why they appear here instead of in a risk</w:t>
      </w:r>
      <w:r>
        <w:t xml:space="preserve"> </w:t>
      </w:r>
      <w:r>
        <w:t xml:space="preserve">register: the first is influenced by every contributed mapping and</w:t>
      </w:r>
      <w:r>
        <w:t xml:space="preserve"> </w:t>
      </w:r>
      <w:r>
        <w:t xml:space="preserve">every delegate-hour spent in the drafting rooms, and the second by</w:t>
      </w:r>
      <w:r>
        <w:t xml:space="preserve"> </w:t>
      </w:r>
      <w:r>
        <w:t xml:space="preserve">every transparency report a regulator’s staff receives and every</w:t>
      </w:r>
      <w:r>
        <w:t xml:space="preserve"> </w:t>
      </w:r>
      <w:r>
        <w:t xml:space="preserve">observer seat left standing open — the convergence is, unusually for a</w:t>
      </w:r>
      <w:r>
        <w:t xml:space="preserve"> </w:t>
      </w:r>
      <w:r>
        <w:t xml:space="preserve">forecast, partly in its forecasters’ hands.</w:t>
      </w:r>
    </w:p>
    <w:p>
      <w:pPr>
        <w:pStyle w:val="BodyText"/>
      </w:pPr>
      <w:r>
        <w:t xml:space="preserve">The convergence has failure modes worth naming while they are still</w:t>
      </w:r>
      <w:r>
        <w:t xml:space="preserve"> </w:t>
      </w:r>
      <w:r>
        <w:t xml:space="preserve">avoidable, because the passport programs could entrench the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equilibrium as easily as the right one — and because each failure mode</w:t>
      </w:r>
      <w:r>
        <w:t xml:space="preserve"> </w:t>
      </w:r>
      <w:r>
        <w:t xml:space="preserve">has a countermeasure already specified somewhere in this book, so the</w:t>
      </w:r>
      <w:r>
        <w:t xml:space="preserve"> </w:t>
      </w:r>
      <w:r>
        <w:t xml:space="preserve">naming doubles as an index.</w:t>
      </w:r>
      <w:r>
        <w:t xml:space="preserve"> </w:t>
      </w:r>
      <w:r>
        <w:rPr>
          <w:bCs/>
          <w:b/>
        </w:rPr>
        <w:t xml:space="preserve">Passport-as-PDF</w:t>
      </w:r>
      <w:r>
        <w:t xml:space="preserve">: delegated</w:t>
      </w:r>
      <w:r>
        <w:t xml:space="preserve"> </w:t>
      </w:r>
      <w:r>
        <w:t xml:space="preserve">acts that specify data fields without machine verifiability produce a</w:t>
      </w:r>
      <w:r>
        <w:t xml:space="preserve"> </w:t>
      </w:r>
      <w:r>
        <w:t xml:space="preserve">compliance industry of formatted self-declarations — Chapter 1’s problem</w:t>
      </w:r>
      <w:r>
        <w:t xml:space="preserve"> </w:t>
      </w:r>
      <w:r>
        <w:t xml:space="preserve">with a QR code — and the window for preventing this is the drafting</w:t>
      </w:r>
      <w:r>
        <w:t xml:space="preserve"> </w:t>
      </w:r>
      <w:r>
        <w:t xml:space="preserve">window, which is why S4’s contributed mappings outrank almost everything</w:t>
      </w:r>
      <w:r>
        <w:t xml:space="preserve"> </w:t>
      </w:r>
      <w:r>
        <w:t xml:space="preserve">else on the near horizon.</w:t>
      </w:r>
      <w:r>
        <w:t xml:space="preserve"> </w:t>
      </w:r>
      <w:r>
        <w:rPr>
          <w:bCs/>
          <w:b/>
        </w:rPr>
        <w:t xml:space="preserve">Registry capture</w:t>
      </w:r>
      <w:r>
        <w:t xml:space="preserve">: passport hosting</w:t>
      </w:r>
      <w:r>
        <w:t xml:space="preserve"> </w:t>
      </w:r>
      <w:r>
        <w:t xml:space="preserve">obligations that default to manufacturer platforms rebuild the</w:t>
      </w:r>
      <w:r>
        <w:t xml:space="preserve"> </w:t>
      </w:r>
      <w:r>
        <w:t xml:space="preserve">vendor-cloud dependency (§1.5) at regulatory scale; the countermeasure</w:t>
      </w:r>
      <w:r>
        <w:t xml:space="preserve"> </w:t>
      </w:r>
      <w:r>
        <w:t xml:space="preserve">is the anchoring-and-portability language this book has specified,</w:t>
      </w:r>
      <w:r>
        <w:t xml:space="preserve"> </w:t>
      </w:r>
      <w:r>
        <w:t xml:space="preserve">inserted as hosting requirements.</w:t>
      </w:r>
      <w:r>
        <w:t xml:space="preserve"> </w:t>
      </w:r>
      <w:r>
        <w:rPr>
          <w:bCs/>
          <w:b/>
        </w:rPr>
        <w:t xml:space="preserve">Fragmentation by jurisdiction</w:t>
      </w:r>
      <w:r>
        <w:t xml:space="preserve">:</w:t>
      </w:r>
      <w:r>
        <w:t xml:space="preserve"> </w:t>
      </w:r>
      <w:r>
        <w:t xml:space="preserve">passport regimes multiplying without mutual recognition would tax</w:t>
      </w:r>
      <w:r>
        <w:t xml:space="preserve"> </w:t>
      </w:r>
      <w:r>
        <w:t xml:space="preserve">global products with per-market record systems; the federation</w:t>
      </w:r>
      <w:r>
        <w:t xml:space="preserve"> </w:t>
      </w:r>
      <w:r>
        <w:t xml:space="preserve">machinery (§7.4) is the technical answer, but the mutual-recognition</w:t>
      </w:r>
      <w:r>
        <w:t xml:space="preserve"> </w:t>
      </w:r>
      <w:r>
        <w:t xml:space="preserve">diplomacy (S5’s ILAC-style arrangements) has to carry it</w:t>
      </w:r>
      <w:r>
        <w:t xml:space="preserve"> </w:t>
      </w:r>
      <w:r>
        <w:t xml:space="preserve">institutionally.</w:t>
      </w:r>
      <w:r>
        <w:t xml:space="preserve"> </w:t>
      </w:r>
      <w:r>
        <w:rPr>
          <w:bCs/>
          <w:b/>
        </w:rPr>
        <w:t xml:space="preserve">Verification theater</w:t>
      </w:r>
      <w:r>
        <w:t xml:space="preserve">: the subtlest failure — audit</w:t>
      </w:r>
      <w:r>
        <w:t xml:space="preserve"> </w:t>
      </w:r>
      <w:r>
        <w:t xml:space="preserve">regimes that check passports against passports, records against</w:t>
      </w:r>
      <w:r>
        <w:t xml:space="preserve"> </w:t>
      </w:r>
      <w:r>
        <w:t xml:space="preserve">records, without ever reaching matter; the binding layer is the</w:t>
      </w:r>
      <w:r>
        <w:t xml:space="preserve"> </w:t>
      </w:r>
      <w:r>
        <w:t xml:space="preserve">antidote, and the M-series is what keeps the antidote honest. Against</w:t>
      </w:r>
      <w:r>
        <w:t xml:space="preserve"> </w:t>
      </w:r>
      <w:r>
        <w:t xml:space="preserve">these four stand the convergence’s tailwinds: the fraud scandal that</w:t>
      </w:r>
      <w:r>
        <w:t xml:space="preserve"> </w:t>
      </w:r>
      <w:r>
        <w:t xml:space="preserve">will eventually make verifiability politically urgent (§14.7’s last</w:t>
      </w:r>
      <w:r>
        <w:t xml:space="preserve"> </w:t>
      </w:r>
      <w:r>
        <w:t xml:space="preserve">forecast), the fiscal logic of regulators-as-verifiers (§13.5), and the</w:t>
      </w:r>
      <w:r>
        <w:t xml:space="preserve"> </w:t>
      </w:r>
      <w:r>
        <w:t xml:space="preserve">plain fact that the marginal cost of doing passports right is</w:t>
      </w:r>
      <w:r>
        <w:t xml:space="preserve"> </w:t>
      </w:r>
      <w:r>
        <w:t xml:space="preserve">Section 13.5’s rounding error. The outcome is genuinely undetermined,</w:t>
      </w:r>
      <w:r>
        <w:t xml:space="preserve"> </w:t>
      </w:r>
      <w:r>
        <w:t xml:space="preserve">which is what makes the drafting years that this book lands in matter.</w:t>
      </w:r>
    </w:p>
    <w:p>
      <w:pPr>
        <w:pStyle w:val="BodyText"/>
      </w:pPr>
      <w:r>
        <w:rPr>
          <w:bCs/>
          <w:b/>
        </w:rPr>
        <w:t xml:space="preserve">Figure 14.1</w:t>
      </w:r>
      <w:r>
        <w:t xml:space="preserve"> </w:t>
      </w:r>
      <w:r>
        <w:t xml:space="preserve">The research agenda mapped onto the architecture stack, with the</w:t>
      </w:r>
      <w:r>
        <w:t xml:space="preserve"> </w:t>
      </w:r>
      <w:r>
        <w:t xml:space="preserve">passport regimes as the external force. Bold border marks S3, the gap with a</w:t>
      </w:r>
      <w:r>
        <w:t xml:space="preserve"> </w:t>
      </w:r>
      <w:r>
        <w:t xml:space="preserve">closing window. Read bottom-up, the figure is the book’s argument in</w:t>
      </w:r>
      <w:r>
        <w:t xml:space="preserve"> </w:t>
      </w:r>
      <w:r>
        <w:t xml:space="preserve">miniature: the M-series keeps the binding layer honest, the C-series and</w:t>
      </w:r>
      <w:r>
        <w:t xml:space="preserve"> </w:t>
      </w:r>
      <w:r>
        <w:t xml:space="preserve">S1 keep the record layer durable and interoperable, the naming and</w:t>
      </w:r>
      <w:r>
        <w:t xml:space="preserve"> </w:t>
      </w:r>
      <w:r>
        <w:t xml:space="preserve">claims layers ride mostly-solved standards with succession amendments,</w:t>
      </w:r>
      <w:r>
        <w:t xml:space="preserve"> </w:t>
      </w:r>
      <w:r>
        <w:t xml:space="preserve">and the external demand arrives at the top — so the stack’s health</w:t>
      </w:r>
      <w:r>
        <w:t xml:space="preserve"> </w:t>
      </w:r>
      <w:r>
        <w:t xml:space="preserve">depends most on the layers furthest from where the regulatory attention</w:t>
      </w:r>
      <w:r>
        <w:t xml:space="preserve"> </w:t>
      </w:r>
      <w:r>
        <w:t xml:space="preserve">lands, which is the asymmetry this chapter exists to correct.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EXT [External force]</w:t>
      </w:r>
      <w:r>
        <w:br/>
      </w:r>
      <w:r>
        <w:rPr>
          <w:rStyle w:val="VerbatimChar"/>
        </w:rPr>
        <w:t xml:space="preserve">        DPP[Passport regimes:&lt;br&gt;Battery Reg. live 2027,&lt;br&gt;ESPR acts pending]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STACK [Architecture stack — Fig. 3.2]</w:t>
      </w:r>
      <w:r>
        <w:br/>
      </w:r>
      <w:r>
        <w:rPr>
          <w:rStyle w:val="VerbatimChar"/>
        </w:rPr>
        <w:t xml:space="preserve">        CL[Claims layer] --- NM[Naming layer] --- RC[Record layer] --- BD[Binding layer]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DPP --&gt;|demand for verifiable&lt;br&gt;per-unit records| CL</w:t>
      </w:r>
      <w:r>
        <w:br/>
      </w:r>
      <w:r>
        <w:rPr>
          <w:rStyle w:val="VerbatimChar"/>
        </w:rPr>
        <w:t xml:space="preserve">    C2K[C2 ZK disclosure] -.-&gt; CL</w:t>
      </w:r>
      <w:r>
        <w:br/>
      </w:r>
      <w:r>
        <w:rPr>
          <w:rStyle w:val="VerbatimChar"/>
        </w:rPr>
        <w:t xml:space="preserve">    C4K[C4 / S2 DID method] -.-&gt; NM</w:t>
      </w:r>
      <w:r>
        <w:br/>
      </w:r>
      <w:r>
        <w:rPr>
          <w:rStyle w:val="VerbatimChar"/>
        </w:rPr>
        <w:t xml:space="preserve">    C1K[C1 PQ-durable proofs&lt;br&gt;C3 formal SM verification&lt;br&gt;S1 event standard] -.-&gt; RC</w:t>
      </w:r>
      <w:r>
        <w:br/>
      </w:r>
      <w:r>
        <w:rPr>
          <w:rStyle w:val="VerbatimChar"/>
        </w:rPr>
        <w:t xml:space="preserve">    M1K[M1 stability data&lt;br&gt;M2 challenge design&lt;br&gt;M3 line-speed imaging&lt;br&gt;M4 cell identity] -.-&gt; BD</w:t>
      </w:r>
      <w:r>
        <w:br/>
      </w:r>
      <w:r>
        <w:rPr>
          <w:rStyle w:val="VerbatimChar"/>
        </w:rPr>
        <w:t xml:space="preserve">    S3K[S3 binding template&lt;br&gt;standards — closing window] ==&gt; BD</w:t>
      </w:r>
      <w:r>
        <w:br/>
      </w:r>
      <w:r>
        <w:rPr>
          <w:rStyle w:val="VerbatimChar"/>
        </w:rPr>
        <w:t xml:space="preserve">    style S3K stroke-width:3px</w:t>
      </w:r>
    </w:p>
    <w:bookmarkEnd w:id="24"/>
    <w:bookmarkStart w:id="25" w:name="X94163a9592b13684ad7dde216c7dbe330ebaae9"/>
    <w:p>
      <w:pPr>
        <w:pStyle w:val="Heading2"/>
      </w:pPr>
      <w:r>
        <w:t xml:space="preserve">14.5 The Invitations: Adjacent Fields This Agenda Needs</w:t>
      </w:r>
    </w:p>
    <w:p>
      <w:pPr>
        <w:pStyle w:val="FirstParagraph"/>
      </w:pPr>
      <w:r>
        <w:t xml:space="preserve">Five communities that do not think of themselves as this field’s</w:t>
      </w:r>
      <w:r>
        <w:t xml:space="preserve"> </w:t>
      </w:r>
      <w:r>
        <w:t xml:space="preserve">residents have standing invitations, each with a concrete first problem.</w:t>
      </w:r>
      <w:r>
        <w:t xml:space="preserve"> </w:t>
      </w:r>
      <w:r>
        <w:rPr>
          <w:bCs/>
          <w:b/>
        </w:rPr>
        <w:t xml:space="preserve">Materials informatics</w:t>
      </w:r>
      <w:r>
        <w:t xml:space="preserve">: the two-layer decomposition (§6.3) is, from</w:t>
      </w:r>
      <w:r>
        <w:t xml:space="preserve"> </w:t>
      </w:r>
      <w:r>
        <w:t xml:space="preserve">your side, a representation-learning problem over defect populations</w:t>
      </w:r>
      <w:r>
        <w:t xml:space="preserve"> </w:t>
      </w:r>
      <w:r>
        <w:t xml:space="preserve">with physics constraints — the M1 cohorts will be labeled datasets of a</w:t>
      </w:r>
      <w:r>
        <w:t xml:space="preserve"> </w:t>
      </w:r>
      <w:r>
        <w:t xml:space="preserve">kind your methods were built for, and the stability question (which</w:t>
      </w:r>
      <w:r>
        <w:t xml:space="preserve"> </w:t>
      </w:r>
      <w:r>
        <w:t xml:space="preserve">learned features are age-invariant?) is publishable in your venues</w:t>
      </w:r>
      <w:r>
        <w:t xml:space="preserve"> </w:t>
      </w:r>
      <w:r>
        <w:t xml:space="preserve">before it is deployable in ours.</w:t>
      </w:r>
      <w:r>
        <w:t xml:space="preserve"> </w:t>
      </w:r>
      <w:r>
        <w:rPr>
          <w:bCs/>
          <w:b/>
        </w:rPr>
        <w:t xml:space="preserve">Empirical economics</w:t>
      </w:r>
      <w:r>
        <w:t xml:space="preserve">: Chapter 13</w:t>
      </w:r>
      <w:r>
        <w:t xml:space="preserve"> </w:t>
      </w:r>
      <w:r>
        <w:t xml:space="preserve">left its identification strategies on the table deliberately — the</w:t>
      </w:r>
      <w:r>
        <w:t xml:space="preserve"> </w:t>
      </w:r>
      <w:r>
        <w:t xml:space="preserve">battery passport natural experiment, the verified-refinancing</w:t>
      </w:r>
      <w:r>
        <w:t xml:space="preserve"> </w:t>
      </w:r>
      <w:r>
        <w:t xml:space="preserve">difference-in-differences, the secondary-market spread decomposition —</w:t>
      </w:r>
      <w:r>
        <w:t xml:space="preserve"> </w:t>
      </w:r>
      <w:r>
        <w:t xml:space="preserve">and the data infrastructure this book specifies is, incidentally, the</w:t>
      </w:r>
      <w:r>
        <w:t xml:space="preserve"> </w:t>
      </w:r>
      <w:r>
        <w:t xml:space="preserve">instrument-grade panel data your field rarely gets about physical</w:t>
      </w:r>
      <w:r>
        <w:t xml:space="preserve"> </w:t>
      </w:r>
      <w:r>
        <w:t xml:space="preserve">capital: unit-level, tamper-evident, spanning ownership changes, with</w:t>
      </w:r>
      <w:r>
        <w:t xml:space="preserve"> </w:t>
      </w:r>
      <w:r>
        <w:t xml:space="preserve">the treatment (verifiability itself) rolling out in observable waves.</w:t>
      </w:r>
      <w:r>
        <w:t xml:space="preserve"> </w:t>
      </w:r>
      <w:r>
        <w:rPr>
          <w:bCs/>
          <w:b/>
        </w:rPr>
        <w:t xml:space="preserve">Law and evidence scholarship</w:t>
      </w:r>
      <w:r>
        <w:t xml:space="preserve">: the S4 rehearsal’s</w:t>
      </w:r>
      <w:r>
        <w:t xml:space="preserve"> </w:t>
      </w:r>
      <w:r>
        <w:t xml:space="preserve">uncontested extracts and the P2 time-contextual doctrine (§9.4) are the</w:t>
      </w:r>
      <w:r>
        <w:t xml:space="preserve"> </w:t>
      </w:r>
      <w:r>
        <w:t xml:space="preserve">opening facts of a doctrinal literature that does not exist yet — how</w:t>
      </w:r>
      <w:r>
        <w:t xml:space="preserve"> </w:t>
      </w:r>
      <w:r>
        <w:t xml:space="preserve">anchored records meet the hearsay, authentication, and best-evidence</w:t>
      </w:r>
      <w:r>
        <w:t xml:space="preserve"> </w:t>
      </w:r>
      <w:r>
        <w:t xml:space="preserve">frameworks across jurisdictions, and how the consortium agreement’s</w:t>
      </w:r>
      <w:r>
        <w:t xml:space="preserve"> </w:t>
      </w:r>
      <w:r>
        <w:t xml:space="preserve">evidence stipulations (§10.3) fare when a non-signatory contests them —</w:t>
      </w:r>
      <w:r>
        <w:t xml:space="preserve"> </w:t>
      </w:r>
      <w:r>
        <w:t xml:space="preserve">and practitioners will need that</w:t>
      </w:r>
      <w:r>
        <w:t xml:space="preserve"> </w:t>
      </w:r>
      <w:r>
        <w:t xml:space="preserve">literature years before appellate courts write it for them.</w:t>
      </w:r>
      <w:r>
        <w:t xml:space="preserve"> </w:t>
      </w:r>
      <w:r>
        <w:rPr>
          <w:bCs/>
          <w:b/>
        </w:rPr>
        <w:t xml:space="preserve">Actuarial science</w:t>
      </w:r>
      <w:r>
        <w:t xml:space="preserve">: Chapter 13 argued that anchored condition</w:t>
      </w:r>
      <w:r>
        <w:t xml:space="preserve"> </w:t>
      </w:r>
      <w:r>
        <w:t xml:space="preserve">histories narrow loss-distribution uncertainty; the profession that</w:t>
      </w:r>
      <w:r>
        <w:t xml:space="preserve"> </w:t>
      </w:r>
      <w:r>
        <w:t xml:space="preserve">prices that narrowing has not yet built the credibility-theory</w:t>
      </w:r>
      <w:r>
        <w:t xml:space="preserve"> </w:t>
      </w:r>
      <w:r>
        <w:t xml:space="preserve">treatment of instrument-attested exposure data — how much weight a</w:t>
      </w:r>
      <w:r>
        <w:t xml:space="preserve"> </w:t>
      </w:r>
      <w:r>
        <w:t xml:space="preserve">fleet’s own anchored record earns against industry tables, as a</w:t>
      </w:r>
      <w:r>
        <w:t xml:space="preserve"> </w:t>
      </w:r>
      <w:r>
        <w:t xml:space="preserve">function of its evidence grades — and the first casualty-actuarial</w:t>
      </w:r>
      <w:r>
        <w:t xml:space="preserve"> </w:t>
      </w:r>
      <w:r>
        <w:t xml:space="preserve">paper on that question will be cited by every underwriter this</w:t>
      </w:r>
      <w:r>
        <w:t xml:space="preserve"> </w:t>
      </w:r>
      <w:r>
        <w:t xml:space="preserve">architecture ever serves.</w:t>
      </w:r>
      <w:r>
        <w:t xml:space="preserve"> </w:t>
      </w:r>
      <w:r>
        <w:rPr>
          <w:bCs/>
          <w:b/>
        </w:rPr>
        <w:t xml:space="preserve">Human factors and field HCI</w:t>
      </w:r>
      <w:r>
        <w:t xml:space="preserve">: the pilot’s</w:t>
      </w:r>
      <w:r>
        <w:t xml:space="preserve"> </w:t>
      </w:r>
      <w:r>
        <w:t xml:space="preserve">lessons (§11.5) locate</w:t>
      </w:r>
      <w:r>
        <w:t xml:space="preserve"> </w:t>
      </w:r>
      <w:r>
        <w:t xml:space="preserve">more system risk in fixture ergonomics, work-order flows, and metric</w:t>
      </w:r>
      <w:r>
        <w:t xml:space="preserve"> </w:t>
      </w:r>
      <w:r>
        <w:t xml:space="preserve">kindness than in any protocol; the discipline that studies how</w:t>
      </w:r>
      <w:r>
        <w:t xml:space="preserve"> </w:t>
      </w:r>
      <w:r>
        <w:t xml:space="preserve">technicians actually work owns problems 1 and 4 of Section 11.7</w:t>
      </w:r>
      <w:r>
        <w:t xml:space="preserve"> </w:t>
      </w:r>
      <w:r>
        <w:t xml:space="preserve">outright, and this book’s data on the failed-training episode is</w:t>
      </w:r>
      <w:r>
        <w:t xml:space="preserve"> </w:t>
      </w:r>
      <w:r>
        <w:t xml:space="preserve">offered as a starting dataset. The common shape of all five</w:t>
      </w:r>
      <w:r>
        <w:t xml:space="preserve"> </w:t>
      </w:r>
      <w:r>
        <w:t xml:space="preserve">invitations: this field’s artifacts are your field’s instruments, and</w:t>
      </w:r>
      <w:r>
        <w:t xml:space="preserve"> </w:t>
      </w:r>
      <w:r>
        <w:t xml:space="preserve">the collaboration price of admission is one workshop paper each. The</w:t>
      </w:r>
      <w:r>
        <w:t xml:space="preserve"> </w:t>
      </w:r>
      <w:r>
        <w:t xml:space="preserve">invitations also carry this chapter’s quiet defense against its own</w:t>
      </w:r>
      <w:r>
        <w:t xml:space="preserve"> </w:t>
      </w:r>
      <w:r>
        <w:t xml:space="preserve">insularity: a research agenda drafted by one author from one</w:t>
      </w:r>
      <w:r>
        <w:t xml:space="preserve"> </w:t>
      </w:r>
      <w:r>
        <w:t xml:space="preserve">architecture will have blind spots exactly where other disciplines’</w:t>
      </w:r>
      <w:r>
        <w:t xml:space="preserve"> </w:t>
      </w:r>
      <w:r>
        <w:t xml:space="preserve">instincts differ, and the fields invited here are chosen partly because</w:t>
      </w:r>
      <w:r>
        <w:t xml:space="preserve"> </w:t>
      </w:r>
      <w:r>
        <w:t xml:space="preserve">each is constitutionally inclined to find a different one.</w:t>
      </w:r>
    </w:p>
    <w:bookmarkEnd w:id="25"/>
    <w:bookmarkStart w:id="26" w:name="the-decade-map"/>
    <w:p>
      <w:pPr>
        <w:pStyle w:val="Heading2"/>
      </w:pPr>
      <w:r>
        <w:t xml:space="preserve">14.6 The Decade Map</w:t>
      </w:r>
    </w:p>
    <w:p>
      <w:pPr>
        <w:pStyle w:val="FirstParagraph"/>
      </w:pPr>
      <w:r>
        <w:t xml:space="preserve">The items above assemble into a program whose dependencies are worth one</w:t>
      </w:r>
      <w:r>
        <w:t xml:space="preserve"> </w:t>
      </w:r>
      <w:r>
        <w:t xml:space="preserve">table, because agendas without sequencing invite everyone to wait for</w:t>
      </w:r>
      <w:r>
        <w:t xml:space="preserve"> </w:t>
      </w:r>
      <w:r>
        <w:t xml:space="preserve">everyone.</w:t>
      </w:r>
    </w:p>
    <w:p>
      <w:pPr>
        <w:pStyle w:val="BodyText"/>
      </w:pPr>
      <w:r>
        <w:rPr>
          <w:bCs/>
          <w:b/>
        </w:rPr>
        <w:t xml:space="preserve">Table 14.2</w:t>
      </w:r>
      <w:r>
        <w:t xml:space="preserve"> </w:t>
      </w:r>
      <w:r>
        <w:t xml:space="preserve">The decade map: milestones, owners, and what each unlocks.</w:t>
      </w:r>
      <w:r>
        <w:t xml:space="preserve"> </w:t>
      </w:r>
      <w:r>
        <w:t xml:space="preserve">Horizons are dependency-ordered, not calendar promises — the book’s</w:t>
      </w:r>
      <w:r>
        <w:t xml:space="preserve"> </w:t>
      </w:r>
      <w:r>
        <w:t xml:space="preserve">standing refusal to convert engineering dependencies into schedule</w:t>
      </w:r>
      <w:r>
        <w:t xml:space="preserve"> </w:t>
      </w:r>
      <w:r>
        <w:t xml:space="preserve">theater applies to its own agenda most of 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cohorts enrolled across climates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labs + OEMs + IEA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R2-dependent; the S3 reference dataset; the field’s teaching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deliverable set (dataset, protocol, register)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Metrology institutes + PVPS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Cross-vendor verification; honest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contributed mappings into delegated 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Consortia + CEN/CENELEC delegates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Passport-verifiability path; §14.4’s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mechanized schema + generated conformance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Formal-methods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diversity with a machine-checked 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adversarial bound published and attacked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Hardware-security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claims graduate from asymmetry argument to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re-provability metric and hash-based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Proof-systems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Continental-tier write compression compatible with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S1/S2 profiles through ISO/IEC ballot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delegations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 without translation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verified-fleet refinancing and resale price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participants + academics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§13.8’s falsification tests acquire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line-speed quantum imaging at an anchor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vendors + premium 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universal; §6.7 re-priced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cell-level binding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diagnostics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Repackaging fraud closed at the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graph-predicate disclosure in production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Proving-systems + platform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verification at market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traveling standards circulating in round-robins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Metrology institutes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Inter-verifier agreement with closed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mutual-recognition arrangements operating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bodies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verification with legal footing</w:t>
            </w:r>
          </w:p>
        </w:tc>
      </w:tr>
    </w:tbl>
    <w:p>
      <w:pPr>
        <w:pStyle w:val="BodyText"/>
      </w:pPr>
      <w:r>
        <w:t xml:space="preserve">The map’s caveats, stated once: owner communities are nominations, not</w:t>
      </w:r>
      <w:r>
        <w:t xml:space="preserve"> </w:t>
      </w:r>
      <w:r>
        <w:t xml:space="preserve">assignments — the table records who is</w:t>
      </w:r>
      <w:r>
        <w:t xml:space="preserve"> </w:t>
      </w:r>
      <w:r>
        <w:rPr>
          <w:iCs/>
          <w:i/>
        </w:rPr>
        <w:t xml:space="preserve">equipped</w:t>
      </w:r>
      <w:r>
        <w:t xml:space="preserve">, and history will</w:t>
      </w:r>
      <w:r>
        <w:t xml:space="preserve"> </w:t>
      </w:r>
      <w:r>
        <w:t xml:space="preserve">substitute freely; the unlocks column understates cross-couplings (M1’s</w:t>
      </w:r>
      <w:r>
        <w:t xml:space="preserve"> </w:t>
      </w:r>
      <w:r>
        <w:t xml:space="preserve">dataset feeds M2’s bounds and S3’s protocol simultaneously); and the map</w:t>
      </w:r>
      <w:r>
        <w:t xml:space="preserve"> </w:t>
      </w:r>
      <w:r>
        <w:t xml:space="preserve">omits the market milestones’ dependence on deployments this chapter</w:t>
      </w:r>
      <w:r>
        <w:t xml:space="preserve"> </w:t>
      </w:r>
      <w:r>
        <w:t xml:space="preserve">cannot schedule, which is why Chapter 13’s sequencing forecast and this</w:t>
      </w:r>
      <w:r>
        <w:t xml:space="preserve"> </w:t>
      </w:r>
      <w:r>
        <w:t xml:space="preserve">map should be read as each other’s error bars.</w:t>
      </w:r>
    </w:p>
    <w:p>
      <w:pPr>
        <w:pStyle w:val="BodyText"/>
      </w:pPr>
      <w:r>
        <w:t xml:space="preserve">Reading the map’s structure: the near horizon is dominated by</w:t>
      </w:r>
      <w:r>
        <w:t xml:space="preserve"> </w:t>
      </w:r>
      <w:r>
        <w:rPr>
          <w:iCs/>
          <w:i/>
        </w:rPr>
        <w:t xml:space="preserve">data and</w:t>
      </w:r>
      <w:r>
        <w:rPr>
          <w:iCs/>
          <w:i/>
        </w:rPr>
        <w:t xml:space="preserve"> </w:t>
      </w:r>
      <w:r>
        <w:rPr>
          <w:iCs/>
          <w:i/>
        </w:rPr>
        <w:t xml:space="preserve">drafting</w:t>
      </w:r>
      <w:r>
        <w:t xml:space="preserve"> </w:t>
      </w:r>
      <w:r>
        <w:t xml:space="preserve">— cheap, parallelizable, and blocking everything behind it —</w:t>
      </w:r>
      <w:r>
        <w:t xml:space="preserve"> </w:t>
      </w:r>
      <w:r>
        <w:t xml:space="preserve">which is the practical answer to</w:t>
      </w:r>
      <w:r>
        <w:t xml:space="preserve"> </w:t>
      </w:r>
      <w:r>
        <w:t xml:space="preserve">“</w:t>
      </w:r>
      <w:r>
        <w:t xml:space="preserve">where should effort go first.</w:t>
      </w:r>
      <w:r>
        <w:t xml:space="preserve">”</w:t>
      </w:r>
      <w:r>
        <w:t xml:space="preserve"> </w:t>
      </w:r>
      <w:r>
        <w:t xml:space="preserve">The mid</w:t>
      </w:r>
      <w:r>
        <w:t xml:space="preserve"> </w:t>
      </w:r>
      <w:r>
        <w:t xml:space="preserve">horizon is where the security and scaling claims harden from arguments</w:t>
      </w:r>
      <w:r>
        <w:t xml:space="preserve"> </w:t>
      </w:r>
      <w:r>
        <w:t xml:space="preserve">into artifacts. The far horizon holds the items that reshape economics</w:t>
      </w:r>
      <w:r>
        <w:t xml:space="preserve"> </w:t>
      </w:r>
      <w:r>
        <w:t xml:space="preserve">rather than enable function; the architecture deploys without them and</w:t>
      </w:r>
      <w:r>
        <w:t xml:space="preserve"> </w:t>
      </w:r>
      <w:r>
        <w:t xml:space="preserve">improves with them. Nothing on the map waits on a breakthrough; every</w:t>
      </w:r>
      <w:r>
        <w:t xml:space="preserve"> </w:t>
      </w:r>
      <w:r>
        <w:t xml:space="preserve">row is engineering, measurement, or institution-building of a kind its</w:t>
      </w:r>
      <w:r>
        <w:t xml:space="preserve"> </w:t>
      </w:r>
      <w:r>
        <w:t xml:space="preserve">owner community has done before.</w:t>
      </w:r>
    </w:p>
    <w:p>
      <w:pPr>
        <w:pStyle w:val="BodyText"/>
      </w:pPr>
      <w:r>
        <w:t xml:space="preserve">Who pays deserves the same candor the rest of the book has practiced.</w:t>
      </w:r>
      <w:r>
        <w:t xml:space="preserve"> </w:t>
      </w:r>
      <w:r>
        <w:t xml:space="preserve">The map’s total is modest by energy-research standards — the near</w:t>
      </w:r>
      <w:r>
        <w:t xml:space="preserve"> </w:t>
      </w:r>
      <w:r>
        <w:t xml:space="preserve">horizon’s entirety costs less than a single mid-size demonstration</w:t>
      </w:r>
      <w:r>
        <w:t xml:space="preserve"> </w:t>
      </w:r>
      <w:r>
        <w:t xml:space="preserve">plant — but its funding does not map onto any single instrument:</w:t>
      </w:r>
      <w:r>
        <w:t xml:space="preserve"> </w:t>
      </w:r>
      <w:r>
        <w:t xml:space="preserve">reliability programs fund M1 naturally; security research councils fund</w:t>
      </w:r>
      <w:r>
        <w:t xml:space="preserve"> </w:t>
      </w:r>
      <w:r>
        <w:t xml:space="preserve">M2 and the C-series; standards work runs on the delegate-hours of</w:t>
      </w:r>
      <w:r>
        <w:t xml:space="preserve"> </w:t>
      </w:r>
      <w:r>
        <w:t xml:space="preserve">interested firms and the secretariats of the bodies; and the market</w:t>
      </w:r>
      <w:r>
        <w:t xml:space="preserve"> </w:t>
      </w:r>
      <w:r>
        <w:t xml:space="preserve">milestones fund themselves when Chapter 13’s incidence math closes. The</w:t>
      </w:r>
      <w:r>
        <w:t xml:space="preserve"> </w:t>
      </w:r>
      <w:r>
        <w:t xml:space="preserve">gap in the landscape is the</w:t>
      </w:r>
      <w:r>
        <w:t xml:space="preserve"> </w:t>
      </w:r>
      <w:r>
        <w:rPr>
          <w:iCs/>
          <w:i/>
        </w:rPr>
        <w:t xml:space="preserve">integrating</w:t>
      </w:r>
      <w:r>
        <w:t xml:space="preserve"> </w:t>
      </w:r>
      <w:r>
        <w:t xml:space="preserve">instrument — something shaped</w:t>
      </w:r>
      <w:r>
        <w:t xml:space="preserve"> </w:t>
      </w:r>
      <w:r>
        <w:t xml:space="preserve">like the IEA implementing agreements or the pre-competitive research</w:t>
      </w:r>
      <w:r>
        <w:t xml:space="preserve"> </w:t>
      </w:r>
      <w:r>
        <w:t xml:space="preserve">consortia of the semiconductor industry, holding the cross-community</w:t>
      </w:r>
      <w:r>
        <w:t xml:space="preserve"> </w:t>
      </w:r>
      <w:r>
        <w:t xml:space="preserve">program view this chapter has sketched — and constituting one is itself</w:t>
      </w:r>
      <w:r>
        <w:t xml:space="preserve"> </w:t>
      </w:r>
      <w:r>
        <w:t xml:space="preserve">an agenda item, unnumbered because its owner is whoever reads this</w:t>
      </w:r>
      <w:r>
        <w:t xml:space="preserve"> </w:t>
      </w:r>
      <w:r>
        <w:t xml:space="preserve">paragraph with budget authority.</w:t>
      </w:r>
    </w:p>
    <w:p>
      <w:pPr>
        <w:pStyle w:val="BodyText"/>
      </w:pPr>
      <w:r>
        <w:t xml:space="preserve">The map, finally, is written to be maintained rather than admired: its</w:t>
      </w:r>
      <w:r>
        <w:t xml:space="preserve"> </w:t>
      </w:r>
      <w:r>
        <w:t xml:space="preserve">natural custodian is whichever integrating instrument emerges from the</w:t>
      </w:r>
      <w:r>
        <w:t xml:space="preserve"> </w:t>
      </w:r>
      <w:r>
        <w:t xml:space="preserve">previous paragraph, its natural cadence is the biennial review the</w:t>
      </w:r>
      <w:r>
        <w:t xml:space="preserve"> </w:t>
      </w:r>
      <w:r>
        <w:t xml:space="preserve">IEA-task culture already practices, and its natural format is exactly</w:t>
      </w:r>
      <w:r>
        <w:t xml:space="preserve"> </w:t>
      </w:r>
      <w:r>
        <w:t xml:space="preserve">the versioned, anchored, publicly gradable register this book has spent</w:t>
      </w:r>
      <w:r>
        <w:t xml:space="preserve"> </w:t>
      </w:r>
      <w:r>
        <w:t xml:space="preserve">four parts teaching the sector to keep — the research agenda as the</w:t>
      </w:r>
      <w:r>
        <w:t xml:space="preserve"> </w:t>
      </w:r>
      <w:r>
        <w:t xml:space="preserve">architecture’s first non-asset workload, which would be a fitting piece</w:t>
      </w:r>
      <w:r>
        <w:t xml:space="preserve"> </w:t>
      </w:r>
      <w:r>
        <w:t xml:space="preserve">of self-application.</w:t>
      </w:r>
    </w:p>
    <w:bookmarkEnd w:id="26"/>
    <w:bookmarkStart w:id="27" w:name="Xbdc2333df70d6f7ceaac6a2a2b0c91f28d4e74e"/>
    <w:p>
      <w:pPr>
        <w:pStyle w:val="Heading2"/>
      </w:pPr>
      <w:r>
        <w:t xml:space="preserve">14.7 Grading This Book: The Collected Forecasts</w:t>
      </w:r>
    </w:p>
    <w:p>
      <w:pPr>
        <w:pStyle w:val="FirstParagraph"/>
      </w:pPr>
      <w:r>
        <w:t xml:space="preserve">A book that demanded falsifiability of its own economics chapter owes the</w:t>
      </w:r>
      <w:r>
        <w:t xml:space="preserve"> </w:t>
      </w:r>
      <w:r>
        <w:t xml:space="preserve">reader its forecasts in one auditable list — and the list serves a second</w:t>
      </w:r>
      <w:r>
        <w:t xml:space="preserve"> </w:t>
      </w:r>
      <w:r>
        <w:t xml:space="preserve">purpose besides accountability: collected, the forecasts express the</w:t>
      </w:r>
      <w:r>
        <w:t xml:space="preserve"> </w:t>
      </w:r>
      <w:r>
        <w:t xml:space="preserve">book’s implicit model of how this field moves (regulation pulls,</w:t>
      </w:r>
      <w:r>
        <w:t xml:space="preserve"> </w:t>
      </w:r>
      <w:r>
        <w:t xml:space="preserve">insurance transmits, measurement gates, standards race entrenchment),</w:t>
      </w:r>
      <w:r>
        <w:t xml:space="preserve"> </w:t>
      </w:r>
      <w:r>
        <w:t xml:space="preserve">and a reader who disagrees with the model can now locate the</w:t>
      </w:r>
      <w:r>
        <w:t xml:space="preserve"> </w:t>
      </w:r>
      <w:r>
        <w:t xml:space="preserve">disagreement in a specific, dated, gradable claim. For the record, this book has</w:t>
      </w:r>
      <w:r>
        <w:t xml:space="preserve"> </w:t>
      </w:r>
      <w:r>
        <w:t xml:space="preserve">predicted: that batteries deploy the full architecture first, around an</w:t>
      </w:r>
      <w:r>
        <w:t xml:space="preserve"> </w:t>
      </w:r>
      <w:r>
        <w:t xml:space="preserve">automotive OEM’s passport compliance program, with verification</w:t>
      </w:r>
      <w:r>
        <w:t xml:space="preserve"> </w:t>
      </w:r>
      <w:r>
        <w:t xml:space="preserve">retrofitted onto regulation-minimum records via the projection layer</w:t>
      </w:r>
      <w:r>
        <w:t xml:space="preserve"> </w:t>
      </w:r>
      <w:r>
        <w:t xml:space="preserve">(§12.2); that insurers and lenders, not regulators or manufacturers, are</w:t>
      </w:r>
      <w:r>
        <w:t xml:space="preserve"> </w:t>
      </w:r>
      <w:r>
        <w:t xml:space="preserve">the adoption engine, transmitting through premium credits and covenant</w:t>
      </w:r>
      <w:r>
        <w:t xml:space="preserve"> </w:t>
      </w:r>
      <w:r>
        <w:t xml:space="preserve">terms (§13.6); that documented fleets recover a third to a half of the</w:t>
      </w:r>
      <w:r>
        <w:t xml:space="preserve"> </w:t>
      </w:r>
      <w:r>
        <w:t xml:space="preserve">secondary-market provenance spread once verification is routine</w:t>
      </w:r>
      <w:r>
        <w:t xml:space="preserve"> </w:t>
      </w:r>
      <w:r>
        <w:t xml:space="preserve">(§13.2); that the passport-verifiability spread — attested versus</w:t>
      </w:r>
      <w:r>
        <w:t xml:space="preserve"> </w:t>
      </w:r>
      <w:r>
        <w:t xml:space="preserve">self-declared passports trading side by side — will be measurable within</w:t>
      </w:r>
      <w:r>
        <w:t xml:space="preserve"> </w:t>
      </w:r>
      <w:r>
        <w:t xml:space="preserve">the battery phase-in period, and that someone will measure it (§13.2);</w:t>
      </w:r>
      <w:r>
        <w:t xml:space="preserve"> </w:t>
      </w:r>
      <w:r>
        <w:t xml:space="preserve">that the S3 window closes by entrenchment if the metrology campaign has</w:t>
      </w:r>
      <w:r>
        <w:t xml:space="preserve"> </w:t>
      </w:r>
      <w:r>
        <w:t xml:space="preserve">not begun before large-fleet enrollment industrializes (§12.5, §14.3);</w:t>
      </w:r>
      <w:r>
        <w:t xml:space="preserve"> </w:t>
      </w:r>
      <w:r>
        <w:t xml:space="preserve">that grain-texture stability survives the M1 cohorts at field</w:t>
      </w:r>
      <w:r>
        <w:t xml:space="preserve"> </w:t>
      </w:r>
      <w:r>
        <w:t xml:space="preserve">measurement precision (§6.8 — the author’s own scientific stake, stated</w:t>
      </w:r>
      <w:r>
        <w:t xml:space="preserve"> </w:t>
      </w:r>
      <w:r>
        <w:t xml:space="preserve">as such); that no production deployment of this architecture will fail</w:t>
      </w:r>
      <w:r>
        <w:t xml:space="preserve"> </w:t>
      </w:r>
      <w:r>
        <w:t xml:space="preserve">at the consensus layer, and at least one will suffer a serious incident</w:t>
      </w:r>
      <w:r>
        <w:t xml:space="preserve"> </w:t>
      </w:r>
      <w:r>
        <w:t xml:space="preserve">at the enrollment or accreditation layer (Chapter 8’s weakest-link</w:t>
      </w:r>
      <w:r>
        <w:t xml:space="preserve"> </w:t>
      </w:r>
      <w:r>
        <w:t xml:space="preserve">claim, made checkable); that the federated topology outcompetes both</w:t>
      </w:r>
      <w:r>
        <w:t xml:space="preserve"> </w:t>
      </w:r>
      <w:r>
        <w:t xml:space="preserve">single-global-ledger and pure-vendor-platform deployments wherever the</w:t>
      </w:r>
      <w:r>
        <w:t xml:space="preserve"> </w:t>
      </w:r>
      <w:r>
        <w:t xml:space="preserve">three coexist (§7.4, §10.4, §12.5 — the thrice-derived pattern staked as</w:t>
      </w:r>
      <w:r>
        <w:t xml:space="preserve"> </w:t>
      </w:r>
      <w:r>
        <w:t xml:space="preserve">a prediction); and that the sector’s first passport-fraud scandal moves</w:t>
      </w:r>
      <w:r>
        <w:t xml:space="preserve"> </w:t>
      </w:r>
      <w:r>
        <w:t xml:space="preserve">verifiability from proposal to procurement faster than any standard</w:t>
      </w:r>
      <w:r>
        <w:t xml:space="preserve"> </w:t>
      </w:r>
      <w:r>
        <w:t xml:space="preserve">(§10.4). Each is dated by this edition; each has a metric; and the</w:t>
      </w:r>
      <w:r>
        <w:t xml:space="preserve"> </w:t>
      </w:r>
      <w:r>
        <w:t xml:space="preserve">author expects to be wrong about at least one in an instructive way,</w:t>
      </w:r>
      <w:r>
        <w:t xml:space="preserve"> </w:t>
      </w:r>
      <w:r>
        <w:t xml:space="preserve">which is what forecasts are for. A future edition — or a reviewer with</w:t>
      </w:r>
      <w:r>
        <w:t xml:space="preserve"> </w:t>
      </w:r>
      <w:r>
        <w:t xml:space="preserve">this page and a few years of hindsight — is invited to keep score.</w:t>
      </w:r>
    </w:p>
    <w:p>
      <w:pPr>
        <w:pStyle w:val="BodyText"/>
      </w:pPr>
      <w:r>
        <w:t xml:space="preserve">The forecasts also fail jointly in one identifiable way worth</w:t>
      </w:r>
      <w:r>
        <w:t xml:space="preserve"> </w:t>
      </w:r>
      <w:r>
        <w:t xml:space="preserve">pre-registering: nearly all of them assume the sector’s decarbonization</w:t>
      </w:r>
      <w:r>
        <w:t xml:space="preserve"> </w:t>
      </w:r>
      <w:r>
        <w:t xml:space="preserve">build-out continues at something like its current pace, funding the</w:t>
      </w:r>
      <w:r>
        <w:t xml:space="preserve"> </w:t>
      </w:r>
      <w:r>
        <w:t xml:space="preserve">transactions, the regulation, and the fraud that make identity worth</w:t>
      </w:r>
      <w:r>
        <w:t xml:space="preserve"> </w:t>
      </w:r>
      <w:r>
        <w:t xml:space="preserve">engineering. A prolonged sectoral contraction would slow every forecast</w:t>
      </w:r>
      <w:r>
        <w:t xml:space="preserve"> </w:t>
      </w:r>
      <w:r>
        <w:t xml:space="preserve">without falsifying the mechanisms — a distinction future graders should</w:t>
      </w:r>
      <w:r>
        <w:t xml:space="preserve"> </w:t>
      </w:r>
      <w:r>
        <w:t xml:space="preserve">honor, since a theory of markets should not be scored on the weather</w:t>
      </w:r>
      <w:r>
        <w:t xml:space="preserve"> </w:t>
      </w:r>
      <w:r>
        <w:t xml:space="preserve">that markets sailed in.</w:t>
      </w:r>
    </w:p>
    <w:bookmarkEnd w:id="27"/>
    <w:bookmarkStart w:id="30" w:name="the-education-and-workforce-agenda"/>
    <w:p>
      <w:pPr>
        <w:pStyle w:val="Heading2"/>
      </w:pPr>
      <w:r>
        <w:t xml:space="preserve">14.8 The Education and Workforce Agenda</w:t>
      </w:r>
    </w:p>
    <w:p>
      <w:pPr>
        <w:pStyle w:val="FirstParagraph"/>
      </w:pPr>
      <w:r>
        <w:t xml:space="preserve">Every item above presumes people who do not yet exist in the needed</w:t>
      </w:r>
      <w:r>
        <w:t xml:space="preserve"> </w:t>
      </w:r>
      <w:r>
        <w:t xml:space="preserve">numbers: engineers fluent across measurement physics, distributed</w:t>
      </w:r>
      <w:r>
        <w:t xml:space="preserve"> </w:t>
      </w:r>
      <w:r>
        <w:t xml:space="preserve">systems, and institutional design — the tripod this book has balanced</w:t>
      </w:r>
      <w:r>
        <w:t xml:space="preserve"> </w:t>
      </w:r>
      <w:r>
        <w:t xml:space="preserve">on since Chapter 1. The gaps are specific. Power-systems and PV</w:t>
      </w:r>
      <w:r>
        <w:t xml:space="preserve"> </w:t>
      </w:r>
      <w:r>
        <w:t xml:space="preserve">curricula teach neither applied cryptography nor evidence-grade data</w:t>
      </w:r>
      <w:r>
        <w:t xml:space="preserve"> </w:t>
      </w:r>
      <w:r>
        <w:t xml:space="preserve">practice; security curricula treat physical sensing as an exotic</w:t>
      </w:r>
      <w:r>
        <w:t xml:space="preserve"> </w:t>
      </w:r>
      <w:r>
        <w:t xml:space="preserve">periphery; and nobody’s curriculum teaches consortium governance as</w:t>
      </w:r>
      <w:r>
        <w:t xml:space="preserve"> </w:t>
      </w:r>
      <w:r>
        <w:t xml:space="preserve">engineering, though this book has argued for four hundred pages that it</w:t>
      </w:r>
      <w:r>
        <w:t xml:space="preserve"> </w:t>
      </w:r>
      <w:r>
        <w:t xml:space="preserve">is. The near-term instruments are modest: the graduate module this</w:t>
      </w:r>
      <w:r>
        <w:t xml:space="preserve"> </w:t>
      </w:r>
      <w:r>
        <w:t xml:space="preserve">book’s Section 1.7 sketched (Chapters 1–8 as lectures, the pilot as</w:t>
      </w:r>
      <w:r>
        <w:t xml:space="preserve"> </w:t>
      </w:r>
      <w:r>
        <w:t xml:space="preserve">project template); short courses for the verification-services</w:t>
      </w:r>
      <w:r>
        <w:t xml:space="preserve"> </w:t>
      </w:r>
      <w:r>
        <w:t xml:space="preserve">workforce Chapter 13 priced (an inspection technician upgrades to</w:t>
      </w:r>
      <w:r>
        <w:t xml:space="preserve"> </w:t>
      </w:r>
      <w:r>
        <w:t xml:space="preserve">V2-competence in days, not degrees — the pilot’s field experience says</w:t>
      </w:r>
      <w:r>
        <w:t xml:space="preserve"> </w:t>
      </w:r>
      <w:r>
        <w:t xml:space="preserve">the constraint is fixtures and protocol, not aptitude); continuing-</w:t>
      </w:r>
      <w:r>
        <w:t xml:space="preserve"> </w:t>
      </w:r>
      <w:r>
        <w:t xml:space="preserve">education units for the professions the interfaces touch (underwriters,</w:t>
      </w:r>
      <w:r>
        <w:t xml:space="preserve"> </w:t>
      </w:r>
      <w:r>
        <w:t xml:space="preserve">technical advisors, counsel — each needs a day’s literacy, not a</w:t>
      </w:r>
      <w:r>
        <w:t xml:space="preserve"> </w:t>
      </w:r>
      <w:r>
        <w:t xml:space="preserve">curriculum); and the</w:t>
      </w:r>
      <w:r>
        <w:t xml:space="preserve"> </w:t>
      </w:r>
      <w:r>
        <w:t xml:space="preserve">accreditation curricula that S5’s scheme documents will drag into</w:t>
      </w:r>
      <w:r>
        <w:t xml:space="preserve"> </w:t>
      </w:r>
      <w:r>
        <w:t xml:space="preserve">existence. The longer-term instrument is the one research agendas</w:t>
      </w:r>
      <w:r>
        <w:t xml:space="preserve"> </w:t>
      </w:r>
      <w:r>
        <w:t xml:space="preserve">always underwrite last and need first: the M1 cohorts, the S3 datasets,</w:t>
      </w:r>
      <w:r>
        <w:t xml:space="preserve"> </w:t>
      </w:r>
      <w:r>
        <w:t xml:space="preserve">and the pilot replication kits are</w:t>
      </w:r>
      <w:r>
        <w:t xml:space="preserve"> </w:t>
      </w:r>
      <w:r>
        <w:rPr>
          <w:iCs/>
          <w:i/>
        </w:rPr>
        <w:t xml:space="preserve">teaching infrastructure</w:t>
      </w:r>
      <w:r>
        <w:t xml:space="preserve"> </w:t>
      </w:r>
      <w:r>
        <w:t xml:space="preserve">as much as</w:t>
      </w:r>
      <w:r>
        <w:t xml:space="preserve"> </w:t>
      </w:r>
      <w:r>
        <w:t xml:space="preserve">research infrastructure, and every program that opens its artifacts</w:t>
      </w:r>
      <w:r>
        <w:t xml:space="preserve"> </w:t>
      </w:r>
      <w:r>
        <w:t xml:space="preserve">recruits its own successors. The field’s growth rate will be set less</w:t>
      </w:r>
      <w:r>
        <w:t xml:space="preserve"> </w:t>
      </w:r>
      <w:r>
        <w:t xml:space="preserve">by any technical milestone than by how quickly it can mint people who</w:t>
      </w:r>
      <w:r>
        <w:t xml:space="preserve"> </w:t>
      </w:r>
      <w:r>
        <w:t xml:space="preserve">read Figure 3.2 top to bottom without changing glasses.</w:t>
      </w:r>
    </w:p>
    <w:p>
      <w:pPr>
        <w:pStyle w:val="BodyText"/>
      </w:pPr>
      <w:r>
        <w:t xml:space="preserve">The credential ladder sketches itself from the roles the deployments</w:t>
      </w:r>
      <w:r>
        <w:t xml:space="preserve"> </w:t>
      </w:r>
      <w:r>
        <w:t xml:space="preserve">already staff. At the field tier, a</w:t>
      </w:r>
      <w:r>
        <w:t xml:space="preserve"> </w:t>
      </w:r>
      <w:r>
        <w:rPr>
          <w:iCs/>
          <w:i/>
        </w:rPr>
        <w:t xml:space="preserve">verification technician</w:t>
      </w:r>
      <w:r>
        <w:t xml:space="preserve"> </w:t>
      </w:r>
      <w:r>
        <w:t xml:space="preserve">endorsement on existing inspection certifications — protocol</w:t>
      </w:r>
      <w:r>
        <w:t xml:space="preserve"> </w:t>
      </w:r>
      <w:r>
        <w:t xml:space="preserve">conformance, instrument handling, the anti-ringer disciplines of</w:t>
      </w:r>
      <w:r>
        <w:t xml:space="preserve"> </w:t>
      </w:r>
      <w:r>
        <w:t xml:space="preserve">Section 8.3 — teachable in a week against S5’s scheme documents. At the</w:t>
      </w:r>
      <w:r>
        <w:t xml:space="preserve"> </w:t>
      </w:r>
      <w:r>
        <w:t xml:space="preserve">engineering tier, the</w:t>
      </w:r>
      <w:r>
        <w:t xml:space="preserve"> </w:t>
      </w:r>
      <w:r>
        <w:rPr>
          <w:iCs/>
          <w:i/>
        </w:rPr>
        <w:t xml:space="preserve">verification engineer</w:t>
      </w:r>
      <w:r>
        <w:t xml:space="preserve"> </w:t>
      </w:r>
      <w:r>
        <w:t xml:space="preserve">profile: sampling design,</w:t>
      </w:r>
      <w:r>
        <w:t xml:space="preserve"> </w:t>
      </w:r>
      <w:r>
        <w:t xml:space="preserve">evidence-graph policy authoring, instrument-grade assessment — the</w:t>
      </w:r>
      <w:r>
        <w:t xml:space="preserve"> </w:t>
      </w:r>
      <w:r>
        <w:t xml:space="preserve">independent-engineering firms’ professional development departments will</w:t>
      </w:r>
      <w:r>
        <w:t xml:space="preserve"> </w:t>
      </w:r>
      <w:r>
        <w:t xml:space="preserve">build this the quarter their clients first demand it. At the governance</w:t>
      </w:r>
      <w:r>
        <w:t xml:space="preserve"> </w:t>
      </w:r>
      <w:r>
        <w:t xml:space="preserve">tier, the scarcest profile: the</w:t>
      </w:r>
      <w:r>
        <w:t xml:space="preserve"> </w:t>
      </w:r>
      <w:r>
        <w:rPr>
          <w:iCs/>
          <w:i/>
        </w:rPr>
        <w:t xml:space="preserve">consortium secretary</w:t>
      </w:r>
      <w:r>
        <w:t xml:space="preserve"> </w:t>
      </w:r>
      <w:r>
        <w:t xml:space="preserve">class of</w:t>
      </w:r>
      <w:r>
        <w:t xml:space="preserve"> </w:t>
      </w:r>
      <w:r>
        <w:t xml:space="preserve">professional who can read Table 10.2, run a sanctions ladder, and keep</w:t>
      </w:r>
      <w:r>
        <w:t xml:space="preserve"> </w:t>
      </w:r>
      <w:r>
        <w:t xml:space="preserve">an accreditation committee’s clock — a role the standards and</w:t>
      </w:r>
      <w:r>
        <w:t xml:space="preserve"> </w:t>
      </w:r>
      <w:r>
        <w:t xml:space="preserve">accreditation world already trains for adjacent institutions, needing</w:t>
      </w:r>
      <w:r>
        <w:t xml:space="preserve"> </w:t>
      </w:r>
      <w:r>
        <w:t xml:space="preserve">only the domain module. None of these requires new institutions; all</w:t>
      </w:r>
      <w:r>
        <w:t xml:space="preserve"> </w:t>
      </w:r>
      <w:r>
        <w:t xml:space="preserve">require someone to write the first syllabus, and the replication kit of</w:t>
      </w:r>
      <w:r>
        <w:t xml:space="preserve"> </w:t>
      </w:r>
      <w:r>
        <w:t xml:space="preserve">Section 11.8.1 was assembled with exactly that writer in mind.</w:t>
      </w:r>
    </w:p>
    <w:p>
      <w:pPr>
        <w:pStyle w:val="BodyText"/>
      </w:pPr>
      <w:r>
        <w:t xml:space="preserve">Course materials, concretely, since syllabus-writers work from</w:t>
      </w:r>
      <w:r>
        <w:t xml:space="preserve"> </w:t>
      </w:r>
      <w:r>
        <w:t xml:space="preserve">inventories: the book’s chapter summaries were written to double as</w:t>
      </w:r>
      <w:r>
        <w:t xml:space="preserve"> </w:t>
      </w:r>
      <w:r>
        <w:t xml:space="preserve">lecture outlines (§1.7); the worked traces (§2.8, §9.6) and scenarios</w:t>
      </w:r>
      <w:r>
        <w:t xml:space="preserve"> </w:t>
      </w:r>
      <w:r>
        <w:t xml:space="preserve">(§11.3) are case-study sessions as they stand; Appendix A is a</w:t>
      </w:r>
      <w:r>
        <w:t xml:space="preserve"> </w:t>
      </w:r>
      <w:r>
        <w:t xml:space="preserve">laboratory course’s starting codebase; the sampling designs (§6.6.1,</w:t>
      </w:r>
      <w:r>
        <w:t xml:space="preserve"> </w:t>
      </w:r>
      <w:r>
        <w:t xml:space="preserve">§11.3-S3) are problem sets with real parameters; and the governance</w:t>
      </w:r>
      <w:r>
        <w:t xml:space="preserve"> </w:t>
      </w:r>
      <w:r>
        <w:t xml:space="preserve">episodes (§11.5–11.6) are role-play seminars that teach more about</w:t>
      </w:r>
      <w:r>
        <w:t xml:space="preserve"> </w:t>
      </w:r>
      <w:r>
        <w:t xml:space="preserve">consortium dynamics in an afternoon than any lecture — assign the</w:t>
      </w:r>
      <w:r>
        <w:t xml:space="preserve"> </w:t>
      </w:r>
      <w:r>
        <w:t xml:space="preserve">students the S2 fight with the roles dealt randomly, and watch the</w:t>
      </w:r>
      <w:r>
        <w:t xml:space="preserve"> </w:t>
      </w:r>
      <w:r>
        <w:t xml:space="preserve">EPC’s schedule pressure become viscerally comprehensible. What the</w:t>
      </w:r>
      <w:r>
        <w:t xml:space="preserve"> </w:t>
      </w:r>
      <w:r>
        <w:t xml:space="preserve">materials lack is what only teaching generates: exercises calibrated by</w:t>
      </w:r>
      <w:r>
        <w:t xml:space="preserve"> </w:t>
      </w:r>
      <w:r>
        <w:t xml:space="preserve">failure, which is a request to instructors to send back what breaks.</w:t>
      </w:r>
    </w:p>
    <w:bookmarkStart w:id="28" w:name="open-artifacts-as-field-policy"/>
    <w:p>
      <w:pPr>
        <w:pStyle w:val="Heading3"/>
      </w:pPr>
      <w:r>
        <w:t xml:space="preserve">14.8.1 Open Artifacts as Field Policy</w:t>
      </w:r>
    </w:p>
    <w:p>
      <w:pPr>
        <w:pStyle w:val="FirstParagraph"/>
      </w:pPr>
      <w:r>
        <w:t xml:space="preserve">A policy recommendation the education agenda forces into the open: this</w:t>
      </w:r>
      <w:r>
        <w:t xml:space="preserve"> </w:t>
      </w:r>
      <w:r>
        <w:t xml:space="preserve">field should adopt, as community norm, the artifact-openness its own</w:t>
      </w:r>
      <w:r>
        <w:t xml:space="preserve"> </w:t>
      </w:r>
      <w:r>
        <w:t xml:space="preserve">architecture preaches. Reference datasets (M1, S3), mechanized</w:t>
      </w:r>
      <w:r>
        <w:t xml:space="preserve"> </w:t>
      </w:r>
      <w:r>
        <w:t xml:space="preserve">specifications and conformance suites (C3), template formats and</w:t>
      </w:r>
      <w:r>
        <w:t xml:space="preserve"> </w:t>
      </w:r>
      <w:r>
        <w:t xml:space="preserve">challenge registers, replication kits and metrics definitions — every</w:t>
      </w:r>
      <w:r>
        <w:t xml:space="preserve"> </w:t>
      </w:r>
      <w:r>
        <w:t xml:space="preserve">one is worth more open than proprietary, by the same network arithmetic</w:t>
      </w:r>
      <w:r>
        <w:t xml:space="preserve"> </w:t>
      </w:r>
      <w:r>
        <w:t xml:space="preserve">that makes the verification layer worth more public than gated; and the</w:t>
      </w:r>
      <w:r>
        <w:t xml:space="preserve"> </w:t>
      </w:r>
      <w:r>
        <w:t xml:space="preserve">field is young enough that its norms are still being set by whoever</w:t>
      </w:r>
      <w:r>
        <w:t xml:space="preserve"> </w:t>
      </w:r>
      <w:r>
        <w:t xml:space="preserve">acts first. The author’s own position, consistent with Section 6.9’s</w:t>
      </w:r>
      <w:r>
        <w:t xml:space="preserve"> </w:t>
      </w:r>
      <w:r>
        <w:t xml:space="preserve">disclosure: the patent-pending mechanism and the open-metrology campaign</w:t>
      </w:r>
      <w:r>
        <w:t xml:space="preserve"> </w:t>
      </w:r>
      <w:r>
        <w:t xml:space="preserve">are compatible precisely because the</w:t>
      </w:r>
      <w:r>
        <w:t xml:space="preserve"> </w:t>
      </w:r>
      <w:r>
        <w:rPr>
          <w:iCs/>
          <w:i/>
        </w:rPr>
        <w:t xml:space="preserve">formats, protocols, and datasets</w:t>
      </w:r>
      <w:r>
        <w:t xml:space="preserve"> </w:t>
      </w:r>
      <w:r>
        <w:t xml:space="preserve">are the layer that must be commons for any implementation — including</w:t>
      </w:r>
      <w:r>
        <w:t xml:space="preserve"> </w:t>
      </w:r>
      <w:r>
        <w:t xml:space="preserve">the claimed one — to be worth anything. Fields that opened their</w:t>
      </w:r>
      <w:r>
        <w:t xml:space="preserve"> </w:t>
      </w:r>
      <w:r>
        <w:t xml:space="preserve">infrastructure layers (crystallography’s databases, genomics’</w:t>
      </w:r>
      <w:r>
        <w:t xml:space="preserve"> </w:t>
      </w:r>
      <w:r>
        <w:t xml:space="preserve">accords, machine learning’s benchmark culture) compounded; fields that</w:t>
      </w:r>
      <w:r>
        <w:t xml:space="preserve"> </w:t>
      </w:r>
      <w:r>
        <w:t xml:space="preserve">enclosed them stagnated into vendor archipelagos. The choice is</w:t>
      </w:r>
      <w:r>
        <w:t xml:space="preserve"> </w:t>
      </w:r>
      <w:r>
        <w:t xml:space="preserve">available exactly once, at the beginning, which is where this field</w:t>
      </w:r>
      <w:r>
        <w:t xml:space="preserve"> </w:t>
      </w:r>
      <w:r>
        <w:t xml:space="preserve">still stands.</w:t>
      </w:r>
    </w:p>
    <w:p>
      <w:pPr>
        <w:pStyle w:val="BodyText"/>
      </w:pPr>
      <w:r>
        <w:t xml:space="preserve">The agenda’s ethics deserve their explicit paragraph before the Monday</w:t>
      </w:r>
      <w:r>
        <w:t xml:space="preserve"> </w:t>
      </w:r>
      <w:r>
        <w:t xml:space="preserve">list, because a field should choose its conscience before its habits.</w:t>
      </w:r>
      <w:r>
        <w:t xml:space="preserve"> </w:t>
      </w:r>
      <w:r>
        <w:t xml:space="preserve">This book’s machinery makes physical assets legible to institutions at</w:t>
      </w:r>
      <w:r>
        <w:t xml:space="preserve"> </w:t>
      </w:r>
      <w:r>
        <w:t xml:space="preserve">unprecedented granularity, and legibility is a dual-use property: the</w:t>
      </w:r>
      <w:r>
        <w:t xml:space="preserve"> </w:t>
      </w:r>
      <w:r>
        <w:t xml:space="preserve">same records that defeat warranty fraud can, carelessly deployed,</w:t>
      </w:r>
      <w:r>
        <w:t xml:space="preserve"> </w:t>
      </w:r>
      <w:r>
        <w:t xml:space="preserve">surveil households (Chapter 10’s guarded boundary), concentrate market</w:t>
      </w:r>
      <w:r>
        <w:t xml:space="preserve"> </w:t>
      </w:r>
      <w:r>
        <w:t xml:space="preserve">power in whoever governs the baselines (Section 11.7’s monitor problem,</w:t>
      </w:r>
      <w:r>
        <w:t xml:space="preserve"> </w:t>
      </w:r>
      <w:r>
        <w:t xml:space="preserve">Section 13.7’s benchmark warning), and export verification burdens onto</w:t>
      </w:r>
      <w:r>
        <w:t xml:space="preserve"> </w:t>
      </w:r>
      <w:r>
        <w:t xml:space="preserve">the price-sensitive markets least equipped to bear them (Section 13.2’s</w:t>
      </w:r>
      <w:r>
        <w:t xml:space="preserve"> </w:t>
      </w:r>
      <w:r>
        <w:t xml:space="preserve">welfare geography, if the handheld-capacity gap is neglected). None of</w:t>
      </w:r>
      <w:r>
        <w:t xml:space="preserve"> </w:t>
      </w:r>
      <w:r>
        <w:t xml:space="preserve">these is hypothetical; each has a named countermeasure in this book;</w:t>
      </w:r>
      <w:r>
        <w:t xml:space="preserve"> </w:t>
      </w:r>
      <w:r>
        <w:t xml:space="preserve">and the research community’s obligation is to treat the countermeasures</w:t>
      </w:r>
      <w:r>
        <w:t xml:space="preserve"> </w:t>
      </w:r>
      <w:r>
        <w:t xml:space="preserve">as constraints, not features — to build the leakage bounds (C5), the</w:t>
      </w:r>
      <w:r>
        <w:t xml:space="preserve"> </w:t>
      </w:r>
      <w:r>
        <w:t xml:space="preserve">interface austerity, the open formats, and the accessible verification</w:t>
      </w:r>
      <w:r>
        <w:t xml:space="preserve"> </w:t>
      </w:r>
      <w:r>
        <w:t xml:space="preserve">tooling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the reference implementations, because defaults, not</w:t>
      </w:r>
      <w:r>
        <w:t xml:space="preserve"> </w:t>
      </w:r>
      <w:r>
        <w:t xml:space="preserve">principles, are what deployments inherit.</w:t>
      </w:r>
    </w:p>
    <w:bookmarkEnd w:id="28"/>
    <w:bookmarkStart w:id="29" w:name="the-monday-list"/>
    <w:p>
      <w:pPr>
        <w:pStyle w:val="Heading3"/>
      </w:pPr>
      <w:r>
        <w:t xml:space="preserve">14.8.2 The Monday List</w:t>
      </w:r>
    </w:p>
    <w:p>
      <w:pPr>
        <w:pStyle w:val="FirstParagraph"/>
      </w:pPr>
      <w:r>
        <w:t xml:space="preserve">Agendas end abstract unless someone’s next action is on the page, so:</w:t>
      </w:r>
      <w:r>
        <w:t xml:space="preserve"> </w:t>
      </w:r>
      <w:r>
        <w:t xml:space="preserve">per role, the step available now, requiring nobody’s permission.</w:t>
      </w:r>
      <w:r>
        <w:t xml:space="preserve"> </w:t>
      </w:r>
      <w:r>
        <w:rPr>
          <w:iCs/>
          <w:i/>
        </w:rPr>
        <w:t xml:space="preserve">Manufacturers</w:t>
      </w:r>
      <w:r>
        <w:t xml:space="preserve">: put the procurement clauses of Section 9.7 into the</w:t>
      </w:r>
      <w:r>
        <w:t xml:space="preserve"> </w:t>
      </w:r>
      <w:r>
        <w:t xml:space="preserve">next instrument and component orders, and capture enrollment templates</w:t>
      </w:r>
      <w:r>
        <w:t xml:space="preserve"> </w:t>
      </w:r>
      <w:r>
        <w:t xml:space="preserve">from the QA imaging already running — even unanchored, the archive</w:t>
      </w:r>
      <w:r>
        <w:t xml:space="preserve"> </w:t>
      </w:r>
      <w:r>
        <w:t xml:space="preserve">starts the M1 clock on your own fleet.</w:t>
      </w:r>
      <w:r>
        <w:t xml:space="preserve"> </w:t>
      </w:r>
      <w:r>
        <w:rPr>
          <w:iCs/>
          <w:i/>
        </w:rPr>
        <w:t xml:space="preserve">Owners and funds</w:t>
      </w:r>
      <w:r>
        <w:t xml:space="preserve">: write</w:t>
      </w:r>
      <w:r>
        <w:t xml:space="preserve"> </w:t>
      </w:r>
      <w:r>
        <w:t xml:space="preserve">event-emission and record-portability terms into the next O&amp;M and EPC</w:t>
      </w:r>
      <w:r>
        <w:t xml:space="preserve"> </w:t>
      </w:r>
      <w:r>
        <w:t xml:space="preserve">tenders (Table 5.5 is the annex), and ask the next diligence provider</w:t>
      </w:r>
      <w:r>
        <w:t xml:space="preserve"> </w:t>
      </w:r>
      <w:r>
        <w:t xml:space="preserve">for pre-committed sampling — both cost nothing and reprice your next</w:t>
      </w:r>
      <w:r>
        <w:t xml:space="preserve"> </w:t>
      </w:r>
      <w:r>
        <w:t xml:space="preserve">exit.</w:t>
      </w:r>
      <w:r>
        <w:t xml:space="preserve"> </w:t>
      </w:r>
      <w:r>
        <w:rPr>
          <w:iCs/>
          <w:i/>
        </w:rPr>
        <w:t xml:space="preserve">Insurers and lenders</w:t>
      </w:r>
      <w:r>
        <w:t xml:space="preserve">: pilot a verification client against any</w:t>
      </w:r>
      <w:r>
        <w:t xml:space="preserve"> </w:t>
      </w:r>
      <w:r>
        <w:t xml:space="preserve">willing insured’s records; the S3 economics need five more data points</w:t>
      </w:r>
      <w:r>
        <w:t xml:space="preserve"> </w:t>
      </w:r>
      <w:r>
        <w:t xml:space="preserve">more than they need another whitepaper.</w:t>
      </w:r>
      <w:r>
        <w:t xml:space="preserve"> </w:t>
      </w:r>
      <w:r>
        <w:rPr>
          <w:iCs/>
          <w:i/>
        </w:rPr>
        <w:t xml:space="preserve">Regulators and their staffs</w:t>
      </w:r>
      <w:r>
        <w:t xml:space="preserve">:</w:t>
      </w:r>
      <w:r>
        <w:t xml:space="preserve"> </w:t>
      </w:r>
      <w:r>
        <w:t xml:space="preserve">send the observer, request the transparency reports, and put</w:t>
      </w:r>
      <w:r>
        <w:t xml:space="preserve"> </w:t>
      </w:r>
      <w:r>
        <w:t xml:space="preserve">“</w:t>
      </w:r>
      <w:r>
        <w:t xml:space="preserve">machine-verifiable</w:t>
      </w:r>
      <w:r>
        <w:t xml:space="preserve">”</w:t>
      </w:r>
      <w:r>
        <w:t xml:space="preserve"> </w:t>
      </w:r>
      <w:r>
        <w:t xml:space="preserve">into one consultation response — the drafting</w:t>
      </w:r>
      <w:r>
        <w:t xml:space="preserve"> </w:t>
      </w:r>
      <w:r>
        <w:t xml:space="preserve">windows of Section 14.4 are open now.</w:t>
      </w:r>
      <w:r>
        <w:t xml:space="preserve"> </w:t>
      </w:r>
      <w:r>
        <w:rPr>
          <w:iCs/>
          <w:i/>
        </w:rPr>
        <w:t xml:space="preserve">Instrument vendors</w:t>
      </w:r>
      <w:r>
        <w:t xml:space="preserve">: open or</w:t>
      </w:r>
      <w:r>
        <w:t xml:space="preserve"> </w:t>
      </w:r>
      <w:r>
        <w:t xml:space="preserve">escrow the template format; Section 14.3’s S3 campaign will either</w:t>
      </w:r>
      <w:r>
        <w:t xml:space="preserve"> </w:t>
      </w:r>
      <w:r>
        <w:t xml:space="preserve">happen with your formats or around them.</w:t>
      </w:r>
      <w:r>
        <w:t xml:space="preserve"> </w:t>
      </w:r>
      <w:r>
        <w:rPr>
          <w:iCs/>
          <w:i/>
        </w:rPr>
        <w:t xml:space="preserve">Researchers</w:t>
      </w:r>
      <w:r>
        <w:t xml:space="preserve">: pick the item</w:t>
      </w:r>
      <w:r>
        <w:t xml:space="preserve"> </w:t>
      </w:r>
      <w:r>
        <w:t xml:space="preserve">above whose success criterion you can move this year — M2 and C3 are</w:t>
      </w:r>
      <w:r>
        <w:t xml:space="preserve"> </w:t>
      </w:r>
      <w:r>
        <w:t xml:space="preserve">sized for a thesis, M1’s next cohort for a proposal.</w:t>
      </w:r>
      <w:r>
        <w:t xml:space="preserve"> </w:t>
      </w:r>
      <w:r>
        <w:rPr>
          <w:iCs/>
          <w:i/>
        </w:rPr>
        <w:t xml:space="preserve">Students</w:t>
      </w:r>
      <w:r>
        <w:t xml:space="preserve">: read</w:t>
      </w:r>
      <w:r>
        <w:t xml:space="preserve"> </w:t>
      </w:r>
      <w:r>
        <w:t xml:space="preserve">Chapters 1, 3, 6, and 8; find the seam between two of this book’s three</w:t>
      </w:r>
      <w:r>
        <w:t xml:space="preserve"> </w:t>
      </w:r>
      <w:r>
        <w:t xml:space="preserve">disciplines that fits your temperament; the field’s shortage is you.</w:t>
      </w:r>
    </w:p>
    <w:bookmarkEnd w:id="29"/>
    <w:bookmarkEnd w:id="30"/>
    <w:bookmarkStart w:id="31" w:name="closing"/>
    <w:p>
      <w:pPr>
        <w:pStyle w:val="Heading2"/>
      </w:pPr>
      <w:r>
        <w:t xml:space="preserve">14.9 Closing</w:t>
      </w:r>
    </w:p>
    <w:p>
      <w:pPr>
        <w:pStyle w:val="FirstParagraph"/>
      </w:pPr>
      <w:r>
        <w:t xml:space="preserve">This book opened with an engineer unable to answer a simple question —</w:t>
      </w:r>
      <w:r>
        <w:t xml:space="preserve"> </w:t>
      </w:r>
      <w:r>
        <w:rPr>
          <w:iCs/>
          <w:i/>
        </w:rPr>
        <w:t xml:space="preserve">is this</w:t>
      </w:r>
      <w:r>
        <w:rPr>
          <w:iCs/>
          <w:i/>
        </w:rPr>
        <w:t xml:space="preserve"> </w:t>
      </w:r>
      <w:r>
        <w:rPr>
          <w:iCs/>
          <w:i/>
        </w:rPr>
        <w:t xml:space="preserve">the module the paperwork describes?</w:t>
      </w:r>
      <w:r>
        <w:t xml:space="preserve"> </w:t>
      </w:r>
      <w:r>
        <w:t xml:space="preserve">— and has spent fourteen chapters, two</w:t>
      </w:r>
      <w:r>
        <w:t xml:space="preserve"> </w:t>
      </w:r>
      <w:r>
        <w:t xml:space="preserve">appendices, and the composite design walkthrough of Chapter 11 building</w:t>
      </w:r>
      <w:r>
        <w:t xml:space="preserve"> </w:t>
      </w:r>
      <w:r>
        <w:t xml:space="preserve">the machinery for a better answer: identity anchored in the physics</w:t>
      </w:r>
      <w:r>
        <w:t xml:space="preserve"> </w:t>
      </w:r>
      <w:r>
        <w:t xml:space="preserve">manufacturing cannot control, records ordered and frozen by consensus among</w:t>
      </w:r>
      <w:r>
        <w:t xml:space="preserve"> </w:t>
      </w:r>
      <w:r>
        <w:t xml:space="preserve">parties who distrust one another, verification decomposed into steps whose</w:t>
      </w:r>
      <w:r>
        <w:t xml:space="preserve"> </w:t>
      </w:r>
      <w:r>
        <w:t xml:space="preserve">residual risks are named and priced, and the whole construction designed to</w:t>
      </w:r>
      <w:r>
        <w:t xml:space="preserve"> </w:t>
      </w:r>
      <w:r>
        <w:t xml:space="preserve">outlive its own algorithms, vendors, and authors. None of it is finished. The</w:t>
      </w:r>
      <w:r>
        <w:t xml:space="preserve"> </w:t>
      </w:r>
      <w:r>
        <w:t xml:space="preserve">stability data does not yet span a service life; the binding standards do not</w:t>
      </w:r>
      <w:r>
        <w:t xml:space="preserve"> </w:t>
      </w:r>
      <w:r>
        <w:t xml:space="preserve">exist; the cell-level problem is open; the governance patterns have one pilot’s</w:t>
      </w:r>
      <w:r>
        <w:t xml:space="preserve"> </w:t>
      </w:r>
      <w:r>
        <w:t xml:space="preserve">worth of contact with reality.</w:t>
      </w:r>
    </w:p>
    <w:p>
      <w:pPr>
        <w:pStyle w:val="BodyText"/>
      </w:pPr>
      <w:r>
        <w:t xml:space="preserve">Nor is the unfinishedness incidental — it is the book’s structure showing</w:t>
      </w:r>
      <w:r>
        <w:t xml:space="preserve"> </w:t>
      </w:r>
      <w:r>
        <w:t xml:space="preserve">honestly. The chapters that could be engineering are engineering</w:t>
      </w:r>
      <w:r>
        <w:t xml:space="preserve"> </w:t>
      </w:r>
      <w:r>
        <w:t xml:space="preserve">(Parts II and III stand on mechanisms a reader can implement); the</w:t>
      </w:r>
      <w:r>
        <w:t xml:space="preserve"> </w:t>
      </w:r>
      <w:r>
        <w:t xml:space="preserve">chapters that must be measurement wait on measurement (the M-series);</w:t>
      </w:r>
      <w:r>
        <w:t xml:space="preserve"> </w:t>
      </w:r>
      <w:r>
        <w:t xml:space="preserve">and the chapters that are institutions all the way down (governance,</w:t>
      </w:r>
      <w:r>
        <w:t xml:space="preserve"> </w:t>
      </w:r>
      <w:r>
        <w:t xml:space="preserve">standards, markets) are offered as tested patterns rather than finished</w:t>
      </w:r>
      <w:r>
        <w:t xml:space="preserve"> </w:t>
      </w:r>
      <w:r>
        <w:t xml:space="preserve">answers, because institutions finish only in operation. A reader who</w:t>
      </w:r>
      <w:r>
        <w:t xml:space="preserve"> </w:t>
      </w:r>
      <w:r>
        <w:t xml:space="preserve">closes this volume believing the problem solved has read it worse than</w:t>
      </w:r>
      <w:r>
        <w:t xml:space="preserve"> </w:t>
      </w:r>
      <w:r>
        <w:t xml:space="preserve">one who closes it holding a specific open problem with their own name</w:t>
      </w:r>
      <w:r>
        <w:t xml:space="preserve"> </w:t>
      </w:r>
      <w:r>
        <w:t xml:space="preserve">mentally pencilled beside it — and the Monday list two sections back was</w:t>
      </w:r>
      <w:r>
        <w:t xml:space="preserve"> </w:t>
      </w:r>
      <w:r>
        <w:t xml:space="preserve">written so that the pencilling has somewhere to land before the volume</w:t>
      </w:r>
      <w:r>
        <w:t xml:space="preserve"> </w:t>
      </w:r>
      <w:r>
        <w:t xml:space="preserve">returns to its shelf.</w:t>
      </w:r>
    </w:p>
    <w:p>
      <w:pPr>
        <w:pStyle w:val="BodyText"/>
      </w:pPr>
      <w:r>
        <w:t xml:space="preserve">But the direction of travel is set by forces</w:t>
      </w:r>
      <w:r>
        <w:t xml:space="preserve"> </w:t>
      </w:r>
      <w:r>
        <w:t xml:space="preserve">larger than this book — regulation demanding per-unit truth, markets pricing</w:t>
      </w:r>
      <w:r>
        <w:t xml:space="preserve"> </w:t>
      </w:r>
      <w:r>
        <w:t xml:space="preserve">the absence of it, and instruments steadily closing the gap between what matter</w:t>
      </w:r>
      <w:r>
        <w:t xml:space="preserve"> </w:t>
      </w:r>
      <w:r>
        <w:t xml:space="preserve">is and what records claim. The convergence of those three forces in this</w:t>
      </w:r>
      <w:r>
        <w:t xml:space="preserve"> </w:t>
      </w:r>
      <w:r>
        <w:t xml:space="preserve">decade is, as nearly as such things can be judged from inside them, the</w:t>
      </w:r>
      <w:r>
        <w:t xml:space="preserve"> </w:t>
      </w:r>
      <w:r>
        <w:t xml:space="preserve">field’s founding moment: the years in which its data programs start or</w:t>
      </w:r>
      <w:r>
        <w:t xml:space="preserve"> </w:t>
      </w:r>
      <w:r>
        <w:t xml:space="preserve">don’t, its formats open or enclose, and its first production systems set</w:t>
      </w:r>
      <w:r>
        <w:t xml:space="preserve"> </w:t>
      </w:r>
      <w:r>
        <w:t xml:space="preserve">the precedents that everything after inherits. The engineer on that</w:t>
      </w:r>
      <w:r>
        <w:t xml:space="preserve"> </w:t>
      </w:r>
      <w:r>
        <w:t xml:space="preserve">warehouse floor deserves a</w:t>
      </w:r>
      <w:r>
        <w:t xml:space="preserve"> </w:t>
      </w:r>
      <w:r>
        <w:t xml:space="preserve">better answer than trust. The work assembled here is offered as a start on one,</w:t>
      </w:r>
      <w:r>
        <w:t xml:space="preserve"> </w:t>
      </w:r>
      <w:r>
        <w:t xml:space="preserve">and the problems of this chapter are offered to the readers who will finish it —</w:t>
      </w:r>
      <w:r>
        <w:t xml:space="preserve"> </w:t>
      </w:r>
      <w:r>
        <w:t xml:space="preserve">with the author’s single request, earned by four hundred pages of</w:t>
      </w:r>
      <w:r>
        <w:t xml:space="preserve"> </w:t>
      </w:r>
      <w:r>
        <w:t xml:space="preserve">falsification criteria: when you build it better, publish what broke.</w:t>
      </w:r>
    </w:p>
    <w:bookmarkEnd w:id="31"/>
    <w:bookmarkStart w:id="32" w:name="chapter-summary"/>
    <w:p>
      <w:pPr>
        <w:pStyle w:val="Heading2"/>
      </w:pPr>
      <w:r>
        <w:t xml:space="preserve">14.10 Chapter Summary</w:t>
      </w:r>
    </w:p>
    <w:p>
      <w:pPr>
        <w:pStyle w:val="FirstParagraph"/>
      </w:pPr>
      <w:r>
        <w:t xml:space="preserve">This closing chapter mapped the research agenda onto the architecture stack</w:t>
      </w:r>
      <w:r>
        <w:t xml:space="preserve"> </w:t>
      </w:r>
      <w:r>
        <w:t xml:space="preserve">(Figure 14.1), organized open problems by measurement (M-series), cryptography</w:t>
      </w:r>
      <w:r>
        <w:t xml:space="preserve"> </w:t>
      </w:r>
      <w:r>
        <w:t xml:space="preserve">(C-series), and standardization (S-series), and tied each to the decade’s</w:t>
      </w:r>
      <w:r>
        <w:t xml:space="preserve"> </w:t>
      </w:r>
      <w:r>
        <w:t xml:space="preserve">regulatory windows — battery and product passports, passport consultations for</w:t>
      </w:r>
      <w:r>
        <w:t xml:space="preserve"> </w:t>
      </w:r>
      <w:r>
        <w:t xml:space="preserve">PV, and cross-sector DPP infrastructure. It argued for artifact openness as field</w:t>
      </w:r>
      <w:r>
        <w:t xml:space="preserve"> </w:t>
      </w:r>
      <w:r>
        <w:t xml:space="preserve">policy, named the dual-use risks of asset legibility and their countermeasures in</w:t>
      </w:r>
      <w:r>
        <w:t xml:space="preserve"> </w:t>
      </w:r>
      <w:r>
        <w:t xml:space="preserve">earlier chapters, and closed with a role-specific</w:t>
      </w:r>
      <w:r>
        <w:t xml:space="preserve"> </w:t>
      </w:r>
      <w:r>
        <w:t xml:space="preserve">“</w:t>
      </w:r>
      <w:r>
        <w:t xml:space="preserve">Monday list</w:t>
      </w:r>
      <w:r>
        <w:t xml:space="preserve">”</w:t>
      </w:r>
      <w:r>
        <w:t xml:space="preserve"> </w:t>
      </w:r>
      <w:r>
        <w:t xml:space="preserve">of actions</w:t>
      </w:r>
      <w:r>
        <w:t xml:space="preserve"> </w:t>
      </w:r>
      <w:r>
        <w:t xml:space="preserve">requiring no one’s permission. The book’s unfinished state is structural, not</w:t>
      </w:r>
      <w:r>
        <w:t xml:space="preserve"> </w:t>
      </w:r>
      <w:r>
        <w:t xml:space="preserve">accidental: engineering chapters are implementable now; measurement and</w:t>
      </w:r>
      <w:r>
        <w:t xml:space="preserve"> </w:t>
      </w:r>
      <w:r>
        <w:t xml:space="preserve">institutional chapters depend on cohort data and governance contact this decade</w:t>
      </w:r>
      <w:r>
        <w:t xml:space="preserve"> </w:t>
      </w:r>
      <w:r>
        <w:t xml:space="preserve">will supply. The field’s founding moment — regulation demanding per-unit truth,</w:t>
      </w:r>
      <w:r>
        <w:t xml:space="preserve"> </w:t>
      </w:r>
      <w:r>
        <w:t xml:space="preserve">markets pricing opacity, instruments closing the measurement gap — is the</w:t>
      </w:r>
      <w:r>
        <w:t xml:space="preserve"> </w:t>
      </w:r>
      <w:r>
        <w:t xml:space="preserve">external force that makes the agenda urgent whether or not this manuscript’s</w:t>
      </w:r>
      <w:r>
        <w:t xml:space="preserve"> </w:t>
      </w:r>
      <w:r>
        <w:t xml:space="preserve">specific mechanisms prevail.</w:t>
      </w:r>
    </w:p>
    <w:bookmarkEnd w:id="32"/>
    <w:bookmarkStart w:id="33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1"/>
        </w:numPr>
        <w:pStyle w:val="Compact"/>
      </w:pPr>
      <w:r>
        <w:t xml:space="preserve">Regulation (EU) 2023/1542 (Battery Regulation) and Regulation (EU) 2024/1781</w:t>
      </w:r>
      <w:r>
        <w:t xml:space="preserve"> </w:t>
      </w:r>
      <w:r>
        <w:t xml:space="preserve">(ESPR) — the passport instruments of §14.4.</w:t>
      </w:r>
    </w:p>
    <w:p>
      <w:pPr>
        <w:numPr>
          <w:ilvl w:val="0"/>
          <w:numId w:val="1001"/>
        </w:numPr>
        <w:pStyle w:val="Compact"/>
      </w:pPr>
      <w:r>
        <w:t xml:space="preserve">Rührmair, U., et al. </w:t>
      </w:r>
      <w:r>
        <w:t xml:space="preserve">“</w:t>
      </w:r>
      <w:r>
        <w:t xml:space="preserve">Modeling Attacks on Physical Unclonable 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17th ACM Conference on Computer and Communications</w:t>
      </w:r>
      <w:r>
        <w:rPr>
          <w:iCs/>
          <w:i/>
        </w:rPr>
        <w:t xml:space="preserve"> </w:t>
      </w:r>
      <w:r>
        <w:rPr>
          <w:iCs/>
          <w:i/>
        </w:rPr>
        <w:t xml:space="preserve">Security (CCS ’10)</w:t>
      </w:r>
      <w:r>
        <w:t xml:space="preserve">, 237–249 (the adversarial-analysis template for M2).</w:t>
      </w:r>
    </w:p>
    <w:p>
      <w:pPr>
        <w:numPr>
          <w:ilvl w:val="0"/>
          <w:numId w:val="1001"/>
        </w:numPr>
        <w:pStyle w:val="Compact"/>
      </w:pPr>
      <w:r>
        <w:t xml:space="preserve">Ben-Sasson, E., et al. </w:t>
      </w:r>
      <w:r>
        <w:t xml:space="preserve">“</w:t>
      </w:r>
      <w:r>
        <w:t xml:space="preserve">Scalable, Transparent, and Post-Quantum Secure</w:t>
      </w:r>
      <w:r>
        <w:t xml:space="preserve"> </w:t>
      </w:r>
      <w:r>
        <w:t xml:space="preserve">Computational Integrity.</w:t>
      </w:r>
      <w:r>
        <w:t xml:space="preserve">”</w:t>
      </w:r>
      <w:r>
        <w:t xml:space="preserve"> </w:t>
      </w:r>
      <w:r>
        <w:t xml:space="preserve">IACR ePrint 2018/046 (C1’s starting point).</w:t>
      </w:r>
    </w:p>
    <w:p>
      <w:pPr>
        <w:numPr>
          <w:ilvl w:val="0"/>
          <w:numId w:val="1001"/>
        </w:numPr>
        <w:pStyle w:val="Compact"/>
      </w:pPr>
      <w:r>
        <w:t xml:space="preserve">World Wide Web Consortium.</w:t>
      </w:r>
      <w:r>
        <w:t xml:space="preserve"> </w:t>
      </w:r>
      <w:r>
        <w:rPr>
          <w:iCs/>
          <w:i/>
        </w:rPr>
        <w:t xml:space="preserve">Decentralized Identifiers (DIDs) v1.0</w:t>
      </w:r>
      <w:r>
        <w:t xml:space="preserve"> </w:t>
      </w:r>
      <w:r>
        <w:t xml:space="preserve">(C4/S2</w:t>
      </w:r>
      <w:r>
        <w:t xml:space="preserve"> </w:t>
      </w:r>
      <w:r>
        <w:t xml:space="preserve">base). W3C, 2022.</w:t>
      </w:r>
    </w:p>
    <w:p>
      <w:pPr>
        <w:numPr>
          <w:ilvl w:val="0"/>
          <w:numId w:val="1001"/>
        </w:numPr>
        <w:pStyle w:val="Compact"/>
      </w:pPr>
      <w:r>
        <w:t xml:space="preserve">International Organization for Standardization.</w:t>
      </w:r>
      <w:r>
        <w:t xml:space="preserve"> </w:t>
      </w:r>
      <w:r>
        <w:rPr>
          <w:iCs/>
          <w:i/>
        </w:rPr>
        <w:t xml:space="preserve">ISO/TC 307: Blockchain and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Distributed Ledger Technologies</w:t>
      </w:r>
      <w:r>
        <w:t xml:space="preserve"> </w:t>
      </w:r>
      <w:r>
        <w:t xml:space="preserve">— published and in-progress work programme</w:t>
      </w:r>
      <w:r>
        <w:t xml:space="preserve"> </w:t>
      </w:r>
      <w:r>
        <w:t xml:space="preserve">(S1/S2 venue).</w:t>
      </w:r>
    </w:p>
    <w:p>
      <w:pPr>
        <w:numPr>
          <w:ilvl w:val="0"/>
          <w:numId w:val="1001"/>
        </w:numPr>
        <w:pStyle w:val="Compact"/>
      </w:pPr>
      <w:r>
        <w:t xml:space="preserve">CEN-CENELEC Joint Technical Committee 24,</w:t>
      </w:r>
      <w:r>
        <w:t xml:space="preserve"> </w:t>
      </w:r>
      <w:r>
        <w:rPr>
          <w:iCs/>
          <w:i/>
        </w:rPr>
        <w:t xml:space="preserve">Digital Product Passport —</w:t>
      </w:r>
      <w:r>
        <w:rPr>
          <w:iCs/>
          <w:i/>
        </w:rPr>
        <w:t xml:space="preserve"> </w:t>
      </w:r>
      <w:r>
        <w:rPr>
          <w:iCs/>
          <w:i/>
        </w:rPr>
        <w:t xml:space="preserve">Framework and System</w:t>
      </w:r>
      <w:r>
        <w:t xml:space="preserve"> </w:t>
      </w:r>
      <w:r>
        <w:t xml:space="preserve">(standardization venue for S4; work programme in</w:t>
      </w:r>
      <w:r>
        <w:t xml:space="preserve"> </w:t>
      </w:r>
      <w:r>
        <w:t xml:space="preserve">progress at time of writing).</w:t>
      </w:r>
    </w:p>
    <w:p>
      <w:pPr>
        <w:numPr>
          <w:ilvl w:val="0"/>
          <w:numId w:val="1001"/>
        </w:numPr>
        <w:pStyle w:val="Compact"/>
      </w:pPr>
      <w:r>
        <w:t xml:space="preserve">Bureau International des Poids et Mesures.</w:t>
      </w:r>
      <w:r>
        <w:t xml:space="preserve"> </w:t>
      </w:r>
      <w:r>
        <w:rPr>
          <w:iCs/>
          <w:i/>
        </w:rPr>
        <w:t xml:space="preserve">Mutual Recognition of</w:t>
      </w:r>
      <w:r>
        <w:rPr>
          <w:iCs/>
          <w:i/>
        </w:rPr>
        <w:t xml:space="preserve"> </w:t>
      </w:r>
      <w:r>
        <w:rPr>
          <w:iCs/>
          <w:i/>
        </w:rPr>
        <w:t xml:space="preserve">National Measurement Standards (CIPM MRA).</w:t>
      </w:r>
      <w:r>
        <w:t xml:space="preserve"> </w:t>
      </w:r>
      <w:r>
        <w:t xml:space="preserve">The institutional pattern</w:t>
      </w:r>
      <w:r>
        <w:t xml:space="preserve"> </w:t>
      </w:r>
      <w:r>
        <w:t xml:space="preserve">behind the S3/S5 metrology campaign and M5’s traveling standards.</w:t>
      </w:r>
    </w:p>
    <w:p>
      <w:pPr>
        <w:numPr>
          <w:ilvl w:val="0"/>
          <w:numId w:val="1001"/>
        </w:numPr>
        <w:pStyle w:val="Compact"/>
      </w:pPr>
      <w:r>
        <w:t xml:space="preserve">Jordan, D. C., et al. </w:t>
      </w:r>
      <w:r>
        <w:t xml:space="preserve">“</w:t>
      </w:r>
      <w:r>
        <w:t xml:space="preserve">Robust PV Degradation Methodology and</w:t>
      </w:r>
      <w:r>
        <w:t xml:space="preserve"> </w:t>
      </w:r>
      <w:r>
        <w:t xml:space="preserve">Application.</w:t>
      </w:r>
      <w:r>
        <w:t xml:space="preserve">”</w:t>
      </w:r>
      <w:r>
        <w:t xml:space="preserve"> </w:t>
      </w:r>
      <w:r>
        <w:rPr>
          <w:iCs/>
          <w:i/>
        </w:rPr>
        <w:t xml:space="preserve">IEEE Journal of Photovoltaics</w:t>
      </w:r>
      <w:r>
        <w:t xml:space="preserve"> </w:t>
      </w:r>
      <w:r>
        <w:t xml:space="preserve">8, no. 2 (2018): 525–531.</w:t>
      </w:r>
      <w:r>
        <w:t xml:space="preserve"> </w:t>
      </w:r>
      <w:r>
        <w:t xml:space="preserve">The longitudinal-analysis methodology the M1 cohorts should inherit.</w:t>
      </w:r>
    </w:p>
    <w:p>
      <w:pPr>
        <w:numPr>
          <w:ilvl w:val="0"/>
          <w:numId w:val="1001"/>
        </w:numPr>
        <w:pStyle w:val="Compact"/>
      </w:pPr>
      <w:r>
        <w:t xml:space="preserve">GS1.</w:t>
      </w:r>
      <w:r>
        <w:t xml:space="preserve"> </w:t>
      </w:r>
      <w:r>
        <w:rPr>
          <w:iCs/>
          <w:i/>
        </w:rPr>
        <w:t xml:space="preserve">EPC Information Services (EPCIS) Standard.</w:t>
      </w:r>
      <w:r>
        <w:t xml:space="preserve"> </w:t>
      </w:r>
      <w:r>
        <w:t xml:space="preserve">The precedent</w:t>
      </w:r>
      <w:r>
        <w:t xml:space="preserve"> </w:t>
      </w:r>
      <w:r>
        <w:t xml:space="preserve">Section 14.3 cites for sectoral event-vocabulary standardization (S1).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