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foreword"/>
    <w:p>
      <w:pPr>
        <w:pStyle w:val="Heading1"/>
      </w:pPr>
      <w:r>
        <w:t xml:space="preserve">Foreword</w:t>
      </w:r>
    </w:p>
    <w:p>
      <w:pPr>
        <w:pStyle w:val="FirstParagraph"/>
      </w:pPr>
      <w:r>
        <w:t xml:space="preserve">[FOREWORD TEXT — TO BE SUPPLIED BY INVITED CONTRIBUTOR.]</w:t>
      </w:r>
    </w:p>
    <w:p>
      <w:pPr>
        <w:pStyle w:val="BodyText"/>
      </w:pPr>
      <w:r>
        <w:rPr>
          <w:iCs/>
          <w:i/>
        </w:rPr>
        <w:t xml:space="preserve">The foreword will be contributed by a senior figure in renewable energy asset</w:t>
      </w:r>
      <w:r>
        <w:rPr>
          <w:iCs/>
          <w:i/>
        </w:rPr>
        <w:t xml:space="preserve"> </w:t>
      </w:r>
      <w:r>
        <w:rPr>
          <w:iCs/>
          <w:i/>
        </w:rPr>
        <w:t xml:space="preserve">management, photovoltaic quality assurance, or blockchain-for-energy</w:t>
      </w:r>
      <w:r>
        <w:rPr>
          <w:iCs/>
          <w:i/>
        </w:rPr>
        <w:t xml:space="preserve"> </w:t>
      </w:r>
      <w:r>
        <w:rPr>
          <w:iCs/>
          <w:i/>
        </w:rPr>
        <w:t xml:space="preserve">standardization. Invitations are coordinated with the acquisitions editor.</w:t>
      </w:r>
      <w:r>
        <w:rPr>
          <w:iCs/>
          <w:i/>
        </w:rPr>
        <w:t xml:space="preserve"> </w:t>
      </w:r>
      <w:r>
        <w:rPr>
          <w:iCs/>
          <w:i/>
        </w:rPr>
        <w:t xml:space="preserve">Candidate profiles (affiliation to be confirmed at invitation):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 director-level engineer at a major PV asset owner or infrastructure fund</w:t>
      </w:r>
      <w:r>
        <w:rPr>
          <w:iCs/>
          <w:i/>
        </w:rPr>
        <w:t xml:space="preserve"> </w:t>
      </w:r>
      <w:r>
        <w:rPr>
          <w:iCs/>
          <w:i/>
        </w:rPr>
        <w:t xml:space="preserve">with portfolio-scale diligence experience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 standards participant in EU digital product passport or battery-passport</w:t>
      </w:r>
      <w:r>
        <w:rPr>
          <w:iCs/>
          <w:i/>
        </w:rPr>
        <w:t xml:space="preserve"> </w:t>
      </w:r>
      <w:r>
        <w:rPr>
          <w:iCs/>
          <w:i/>
        </w:rPr>
        <w:t xml:space="preserve">work (CEN-CENELEC JTC 24, industry consortium)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 researcher who led IEEE 2418.x blockchain-in-energy guidance or an</w:t>
      </w:r>
      <w:r>
        <w:rPr>
          <w:iCs/>
          <w:i/>
        </w:rPr>
        <w:t xml:space="preserve"> </w:t>
      </w:r>
      <w:r>
        <w:rPr>
          <w:iCs/>
          <w:i/>
        </w:rPr>
        <w:t xml:space="preserve">equivalent national standards programme</w:t>
      </w:r>
    </w:p>
    <w:p>
      <w:pPr>
        <w:pStyle w:val="FirstParagraph"/>
      </w:pPr>
      <w:r>
        <w:rPr>
          <w:iCs/>
          <w:i/>
        </w:rPr>
        <w:t xml:space="preserve">The foreword should address: (1) whether the asset-identity problem is real at</w:t>
      </w:r>
      <w:r>
        <w:rPr>
          <w:iCs/>
          <w:i/>
        </w:rPr>
        <w:t xml:space="preserve"> </w:t>
      </w:r>
      <w:r>
        <w:rPr>
          <w:iCs/>
          <w:i/>
        </w:rPr>
        <w:t xml:space="preserve">fleet scale; (2) whether the book’s engineering posture — skeptical of hype,</w:t>
      </w:r>
      <w:r>
        <w:rPr>
          <w:iCs/>
          <w:i/>
        </w:rPr>
        <w:t xml:space="preserve"> </w:t>
      </w:r>
      <w:r>
        <w:rPr>
          <w:iCs/>
          <w:i/>
        </w:rPr>
        <w:t xml:space="preserve">explicit about limits — matches what practitioners need; and (3) one sentence on</w:t>
      </w:r>
      <w:r>
        <w:rPr>
          <w:iCs/>
          <w:i/>
        </w:rPr>
        <w:t xml:space="preserve"> </w:t>
      </w:r>
      <w:r>
        <w:rPr>
          <w:iCs/>
          <w:i/>
        </w:rPr>
        <w:t xml:space="preserve">why the timing matters for regulation and secondary markets. Target length:</w:t>
      </w:r>
      <w:r>
        <w:rPr>
          <w:iCs/>
          <w:i/>
        </w:rPr>
        <w:t xml:space="preserve"> </w:t>
      </w:r>
      <w:r>
        <w:rPr>
          <w:iCs/>
          <w:i/>
        </w:rPr>
        <w:t xml:space="preserve">800–1,200 words.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