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book began with a mundane frustration. In 2022 I was asked to review the technical</w:t>
      </w:r>
      <w:r>
        <w:t xml:space="preserve"> </w:t>
      </w:r>
      <w:r>
        <w:t xml:space="preserve">file for a batch of photovoltaic modules that a buyer suspected were not what the</w:t>
      </w:r>
      <w:r>
        <w:t xml:space="preserve"> </w:t>
      </w:r>
      <w:r>
        <w:t xml:space="preserve">paperwork claimed. The flash-test reports were plausible. The serial numbers matched the</w:t>
      </w:r>
      <w:r>
        <w:t xml:space="preserve"> </w:t>
      </w:r>
      <w:r>
        <w:t xml:space="preserve">labels. The factory inspection certificate carried the right stamps. And yet nobody in</w:t>
      </w:r>
      <w:r>
        <w:t xml:space="preserve"> </w:t>
      </w:r>
      <w:r>
        <w:t xml:space="preserve">the transaction — not the buyer, not the insurer, not the engineer who would eventually</w:t>
      </w:r>
      <w:r>
        <w:t xml:space="preserve"> </w:t>
      </w:r>
      <w:r>
        <w:t xml:space="preserve">sign the commissioning certificate — could establish with any confidence that the</w:t>
      </w:r>
      <w:r>
        <w:t xml:space="preserve"> </w:t>
      </w:r>
      <w:r>
        <w:t xml:space="preserve">modules on the pallets were the modules described in the documents. Every piece of</w:t>
      </w:r>
      <w:r>
        <w:t xml:space="preserve"> </w:t>
      </w:r>
      <w:r>
        <w:t xml:space="preserve">evidence was a document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the asset, produced by a party with something to gain,</w:t>
      </w:r>
      <w:r>
        <w:t xml:space="preserve"> </w:t>
      </w:r>
      <w:r>
        <w:t xml:space="preserve">and none of it was bound to the physical object in a way that would survive a motivated</w:t>
      </w:r>
      <w:r>
        <w:t xml:space="preserve"> </w:t>
      </w:r>
      <w:r>
        <w:t xml:space="preserve">forger with a label printer.</w:t>
      </w:r>
    </w:p>
    <w:p>
      <w:pPr>
        <w:pStyle w:val="BodyText"/>
      </w:pPr>
      <w:r>
        <w:t xml:space="preserve">That gap — between the physical asset and the records that claim to describe it — is</w:t>
      </w:r>
      <w:r>
        <w:t xml:space="preserve"> </w:t>
      </w:r>
      <w:r>
        <w:t xml:space="preserve">the subject of this book. It is an old problem. Provenance fraud predates electricity,</w:t>
      </w:r>
      <w:r>
        <w:t xml:space="preserve"> </w:t>
      </w:r>
      <w:r>
        <w:t xml:space="preserve">let alone photovoltaics. But three things have changed recently, and their intersection</w:t>
      </w:r>
      <w:r>
        <w:t xml:space="preserve"> </w:t>
      </w:r>
      <w:r>
        <w:t xml:space="preserve">is what makes the problem newly tractable and newly urgent.</w:t>
      </w:r>
    </w:p>
    <w:p>
      <w:pPr>
        <w:pStyle w:val="BodyText"/>
      </w:pPr>
      <w:r>
        <w:t xml:space="preserve">First, distributed energy assets have become numerous, mobile, and traded. A utility</w:t>
      </w:r>
      <w:r>
        <w:t xml:space="preserve"> </w:t>
      </w:r>
      <w:r>
        <w:t xml:space="preserve">transformer stays where it is installed for forty years and everyone knows where it is.</w:t>
      </w:r>
      <w:r>
        <w:t xml:space="preserve"> </w:t>
      </w:r>
      <w:r>
        <w:t xml:space="preserve">A solar module is manufactured on one continent, installed on another, and increasingly</w:t>
      </w:r>
      <w:r>
        <w:t xml:space="preserve"> </w:t>
      </w:r>
      <w:r>
        <w:t xml:space="preserve">resold, redeployed, or recycled on a third. Batteries move from vehicles into</w:t>
      </w:r>
      <w:r>
        <w:t xml:space="preserve"> </w:t>
      </w:r>
      <w:r>
        <w:t xml:space="preserve">stationary storage. The asset population that needs identity has grown from thousands</w:t>
      </w:r>
      <w:r>
        <w:t xml:space="preserve"> </w:t>
      </w:r>
      <w:r>
        <w:t xml:space="preserve">of large, stationary machines to hundreds of millions of small, fungible ones.</w:t>
      </w:r>
    </w:p>
    <w:p>
      <w:pPr>
        <w:pStyle w:val="BodyText"/>
      </w:pPr>
      <w:r>
        <w:t xml:space="preserve">Second, the value that depends on asset history has grown faster than the assets</w:t>
      </w:r>
      <w:r>
        <w:t xml:space="preserve"> </w:t>
      </w:r>
      <w:r>
        <w:t xml:space="preserve">themselves. Warranty claims, insurance underwriting, secondary-market pricing, carbon</w:t>
      </w:r>
      <w:r>
        <w:t xml:space="preserve"> </w:t>
      </w:r>
      <w:r>
        <w:t xml:space="preserve">and renewable-energy-certificate accounting, and the emerging digital product passport</w:t>
      </w:r>
      <w:r>
        <w:t xml:space="preserve"> </w:t>
      </w:r>
      <w:r>
        <w:t xml:space="preserve">regulations in the European Union all rest on statements about where an asset came</w:t>
      </w:r>
      <w:r>
        <w:t xml:space="preserve"> </w:t>
      </w:r>
      <w:r>
        <w:t xml:space="preserve">from, what condition it is in, and what has happened to it. Those statements are only</w:t>
      </w:r>
      <w:r>
        <w:t xml:space="preserve"> </w:t>
      </w:r>
      <w:r>
        <w:t xml:space="preserve">as good as the records behind them.</w:t>
      </w:r>
    </w:p>
    <w:p>
      <w:pPr>
        <w:pStyle w:val="BodyText"/>
      </w:pPr>
      <w:r>
        <w:t xml:space="preserve">Third, the technical components of a solution have matured separately and now need to</w:t>
      </w:r>
      <w:r>
        <w:t xml:space="preserve"> </w:t>
      </w:r>
      <w:r>
        <w:t xml:space="preserve">be assembled. Append-only distributed ledgers give us records that no single party can</w:t>
      </w:r>
      <w:r>
        <w:t xml:space="preserve"> </w:t>
      </w:r>
      <w:r>
        <w:t xml:space="preserve">quietly rewrite. Hardware roots of trust give us cryptographic keys that are physically</w:t>
      </w:r>
      <w:r>
        <w:t xml:space="preserve"> </w:t>
      </w:r>
      <w:r>
        <w:t xml:space="preserve">bound to a device. Decentralized identifier standards give us a way to name things</w:t>
      </w:r>
      <w:r>
        <w:t xml:space="preserve"> </w:t>
      </w:r>
      <w:r>
        <w:t xml:space="preserve">without a central registrar. And — the part of this story that is my own research</w:t>
      </w:r>
      <w:r>
        <w:t xml:space="preserve"> </w:t>
      </w:r>
      <w:r>
        <w:t xml:space="preserve">contribution — high-resolution defect characterization gives us a way to fingerprint</w:t>
      </w:r>
      <w:r>
        <w:t xml:space="preserve"> </w:t>
      </w:r>
      <w:r>
        <w:t xml:space="preserve">the physical structure of a device, so that the identity record is anchored not just to</w:t>
      </w:r>
      <w:r>
        <w:t xml:space="preserve"> </w:t>
      </w:r>
      <w:r>
        <w:t xml:space="preserve">a key in a chip but to measurable properties of the object itself.</w:t>
      </w:r>
    </w:p>
    <w:p>
      <w:pPr>
        <w:pStyle w:val="BodyText"/>
      </w:pPr>
      <w:r>
        <w:t xml:space="preserve">That last piece is where this book departs from the existing literature. A portion of</w:t>
      </w:r>
      <w:r>
        <w:t xml:space="preserve"> </w:t>
      </w:r>
      <w:r>
        <w:t xml:space="preserve">the approach described in Chapters 6 and 11 — the binding of structural</w:t>
      </w:r>
      <w:r>
        <w:t xml:space="preserve"> </w:t>
      </w:r>
      <w:r>
        <w:t xml:space="preserve">defect-mapping data derived from quantum-limited and classical characterization</w:t>
      </w:r>
      <w:r>
        <w:t xml:space="preserve"> </w:t>
      </w:r>
      <w:r>
        <w:t xml:space="preserve">modalities to an immutable identity record, and the verification workflow built on</w:t>
      </w:r>
      <w:r>
        <w:t xml:space="preserve"> </w:t>
      </w:r>
      <w:r>
        <w:t xml:space="preserve">that binding — is the subject of a patent application I filed before beginning this</w:t>
      </w:r>
      <w:r>
        <w:t xml:space="preserve"> </w:t>
      </w:r>
      <w:r>
        <w:t xml:space="preserve">manuscript. I want to be straightforward about what that means for the reader. The</w:t>
      </w:r>
      <w:r>
        <w:t xml:space="preserve"> </w:t>
      </w:r>
      <w:r>
        <w:t xml:space="preserve">book explains the ideas fully; a monograph that withheld its central mechanism would</w:t>
      </w:r>
      <w:r>
        <w:t xml:space="preserve"> </w:t>
      </w:r>
      <w:r>
        <w:t xml:space="preserve">not be worth writing. It does not disclose anything beyond what the application itself</w:t>
      </w:r>
      <w:r>
        <w:t xml:space="preserve"> </w:t>
      </w:r>
      <w:r>
        <w:t xml:space="preserve">discloses, and it does not depend on the patent being granted. Where a design choice in</w:t>
      </w:r>
      <w:r>
        <w:t xml:space="preserve"> </w:t>
      </w:r>
      <w:r>
        <w:t xml:space="preserve">the book reflects a claim in the application, I say so, and I have tried to present the</w:t>
      </w:r>
      <w:r>
        <w:t xml:space="preserve"> </w:t>
      </w:r>
      <w:r>
        <w:t xml:space="preserve">surrounding material — threat models, lifecycle schemas, consensus trade-offs,</w:t>
      </w:r>
      <w:r>
        <w:t xml:space="preserve"> </w:t>
      </w:r>
      <w:r>
        <w:t xml:space="preserve">regulatory interfaces — in a way that is useful to a reader who adopts an entirely</w:t>
      </w:r>
      <w:r>
        <w:t xml:space="preserve"> </w:t>
      </w:r>
      <w:r>
        <w:t xml:space="preserve">different integrity-verification mechanism.</w:t>
      </w:r>
    </w:p>
    <w:p>
      <w:pPr>
        <w:pStyle w:val="BodyText"/>
      </w:pPr>
      <w:r>
        <w:t xml:space="preserve">A note on what this book is not. It is not a blockchain primer; Chapter 2 covers only</w:t>
      </w:r>
      <w:r>
        <w:t xml:space="preserve"> </w:t>
      </w:r>
      <w:r>
        <w:t xml:space="preserve">what the remaining chapters require, and readers who want a systematic treatment of</w:t>
      </w:r>
      <w:r>
        <w:t xml:space="preserve"> </w:t>
      </w:r>
      <w:r>
        <w:t xml:space="preserve">distributed ledgers should look elsewhere. It is not a survey of energy-trading</w:t>
      </w:r>
      <w:r>
        <w:t xml:space="preserve"> </w:t>
      </w:r>
      <w:r>
        <w:t xml:space="preserve">applications of blockchain — peer-to-peer energy markets, tokenized electricity, and</w:t>
      </w:r>
      <w:r>
        <w:t xml:space="preserve"> </w:t>
      </w:r>
      <w:r>
        <w:t xml:space="preserve">similar schemes appear only where they touch asset identity. And it is not an advocacy</w:t>
      </w:r>
      <w:r>
        <w:t xml:space="preserve"> </w:t>
      </w:r>
      <w:r>
        <w:t xml:space="preserve">document. Distributed ledgers are one tool among several for the problems treated here,</w:t>
      </w:r>
      <w:r>
        <w:t xml:space="preserve"> </w:t>
      </w:r>
      <w:r>
        <w:t xml:space="preserve">and there are deployments — I discuss them explicitly in Chapters 4 and 13 — where a</w:t>
      </w:r>
      <w:r>
        <w:t xml:space="preserve"> </w:t>
      </w:r>
      <w:r>
        <w:t xml:space="preserve">conventional signed database is the better engineering answer. My aim is that a reader</w:t>
      </w:r>
      <w:r>
        <w:t xml:space="preserve"> </w:t>
      </w:r>
      <w:r>
        <w:t xml:space="preserve">who finishes this book can make that judgment for their own system, not that they reach</w:t>
      </w:r>
      <w:r>
        <w:t xml:space="preserve"> </w:t>
      </w:r>
      <w:r>
        <w:t xml:space="preserve">a predetermined conclusion.</w:t>
      </w:r>
    </w:p>
    <w:p>
      <w:pPr>
        <w:pStyle w:val="BodyText"/>
      </w:pPr>
      <w:r>
        <w:t xml:space="preserve">The book is organized in four parts. Part I establishes the problem and the necessary</w:t>
      </w:r>
      <w:r>
        <w:t xml:space="preserve"> </w:t>
      </w:r>
      <w:r>
        <w:t xml:space="preserve">background: why asset identity fails today, what the ledger machinery offers, and how</w:t>
      </w:r>
      <w:r>
        <w:t xml:space="preserve"> </w:t>
      </w:r>
      <w:r>
        <w:t xml:space="preserve">identity models built for people and organizations must be adapted for hardware.</w:t>
      </w:r>
      <w:r>
        <w:t xml:space="preserve"> </w:t>
      </w:r>
      <w:r>
        <w:t xml:space="preserve">Part II is the architectural core: the identity layer, the lifecycle event model, the</w:t>
      </w:r>
      <w:r>
        <w:t xml:space="preserve"> </w:t>
      </w:r>
      <w:r>
        <w:t xml:space="preserve">defect-mapping and integrity-verification mechanism, and the scalability analysis for</w:t>
      </w:r>
      <w:r>
        <w:t xml:space="preserve"> </w:t>
      </w:r>
      <w:r>
        <w:t xml:space="preserve">fleet-sized deployments. Part III treats security and trust — the threat model,</w:t>
      </w:r>
      <w:r>
        <w:t xml:space="preserve"> </w:t>
      </w:r>
      <w:r>
        <w:t xml:space="preserve">the post-quantum question that thirty-year asset lifetimes force on us, and the</w:t>
      </w:r>
      <w:r>
        <w:t xml:space="preserve"> </w:t>
      </w:r>
      <w:r>
        <w:t xml:space="preserve">regulatory and privacy interfaces. Part IV applies the framework: a worked pilot</w:t>
      </w:r>
      <w:r>
        <w:t xml:space="preserve"> </w:t>
      </w:r>
      <w:r>
        <w:t xml:space="preserve">architecture for solar, the extension to wind and storage, the economics, and the open</w:t>
      </w:r>
      <w:r>
        <w:t xml:space="preserve"> </w:t>
      </w:r>
      <w:r>
        <w:t xml:space="preserve">problems.</w:t>
      </w:r>
    </w:p>
    <w:p>
      <w:pPr>
        <w:pStyle w:val="BodyText"/>
      </w:pPr>
      <w:r>
        <w:t xml:space="preserve">Readers can take different paths through it. An engineer designing a system should</w:t>
      </w:r>
      <w:r>
        <w:t xml:space="preserve"> </w:t>
      </w:r>
      <w:r>
        <w:t xml:space="preserve">read Parts I and II in order, then Chapter 8, and treat the rest as reference. A</w:t>
      </w:r>
      <w:r>
        <w:t xml:space="preserve"> </w:t>
      </w:r>
      <w:r>
        <w:t xml:space="preserve">policy or market reader can move from Chapter 1 directly to Chapters 10 and 13. A</w:t>
      </w:r>
      <w:r>
        <w:t xml:space="preserve"> </w:t>
      </w:r>
      <w:r>
        <w:t xml:space="preserve">researcher looking for problems will find Chapter 14 written for them, but the honest</w:t>
      </w:r>
      <w:r>
        <w:t xml:space="preserve"> </w:t>
      </w:r>
      <w:r>
        <w:t xml:space="preserve">answer is that the open problems are scattered through every chapter, flagged where</w:t>
      </w:r>
      <w:r>
        <w:t xml:space="preserve"> </w:t>
      </w:r>
      <w:r>
        <w:t xml:space="preserve">they occur.</w:t>
      </w:r>
    </w:p>
    <w:p>
      <w:pPr>
        <w:pStyle w:val="BodyText"/>
      </w:pPr>
      <w:r>
        <w:t xml:space="preserve">I have accumulated debts in writing this. Colleagues who reviewed draft chapters,</w:t>
      </w:r>
      <w:r>
        <w:t xml:space="preserve"> </w:t>
      </w:r>
      <w:r>
        <w:t xml:space="preserve">the practitioners who shared field experience of counterfeit components and warranty</w:t>
      </w:r>
      <w:r>
        <w:t xml:space="preserve"> </w:t>
      </w:r>
      <w:r>
        <w:t xml:space="preserve">disputes on condition of anonymity, and the anonymous proposal reviewers whose</w:t>
      </w:r>
      <w:r>
        <w:t xml:space="preserve"> </w:t>
      </w:r>
      <w:r>
        <w:t xml:space="preserve">skepticism improved the structure of Part III — all have my thanks. Errors that remain</w:t>
      </w:r>
      <w:r>
        <w:t xml:space="preserve"> </w:t>
      </w:r>
      <w:r>
        <w:t xml:space="preserve">are mine.</w:t>
      </w:r>
    </w:p>
    <w:p>
      <w:pPr>
        <w:pStyle w:val="BodyText"/>
      </w:pPr>
      <w:r>
        <w:t xml:space="preserve">[AUTHOR NAME]</w:t>
      </w:r>
      <w:r>
        <w:t xml:space="preserve"> </w:t>
      </w:r>
      <w:r>
        <w:t xml:space="preserve">[CITY, COUNTRY — TO BE SUPPLIED]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