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list-of-figures"/>
    <w:p>
      <w:pPr>
        <w:pStyle w:val="Heading1"/>
      </w:pPr>
      <w:r>
        <w:t xml:space="preserve">List of Figures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of a distributed energy asset and the custody transitions at which records are created, transferred — and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dependency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structure and a Merkle inclusion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boundary between the deterministic on-chain world and the physical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taxonomy of binding mechanisms for physical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layered identity stack assumed throughout Parts II–IV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on-chain/off-chain partition and its verification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Manufacture-time issuance for a passive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oracle layer as a computation provenance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topology for a national-scale identity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lifecycle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Write-time enforcement sequence for</w:t>
            </w:r>
            <w:r>
              <w:t xml:space="preserve"> </w:t>
            </w:r>
            <w:r>
              <w:rPr>
                <w:rStyle w:val="VerbatimChar"/>
              </w:rPr>
              <w:t xml:space="preserve">EVT_COMMISSION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fragment of one module’s evidence DAG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enrollment pipeline: from measurement to two-layer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four-step verification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Merkle-aggregated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surface by layer of the identity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migration timeline as the schema sees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privacy architecture: three zones with one-way evidential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system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lifecycle extension to the Chapter 5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adoption loop: pricing levers carry the mechanism from first movers to the value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research agenda mapped onto the architecture stack</w:t>
            </w:r>
          </w:p>
        </w:tc>
      </w:tr>
    </w:tbl>
    <w:bookmarkEnd w:id="20"/>
    <w:bookmarkStart w:id="21" w:name="list-of-tables"/>
    <w:p>
      <w:pPr>
        <w:pStyle w:val="Heading1"/>
      </w:pPr>
      <w:r>
        <w:t xml:space="preserve">List of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mechanisms in current use, scored against the four required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Consequences of the identity gap and where this book addresses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regimes in adjacent industries, and where each fails to transplant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families compared on the axes that matter for asset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permissioning decisions and this book’s default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Terminology conventions used throughout this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digital twin versus evidential identity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binding applicability across the DER asset 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escalation ladder for PV modules under composite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data workload for a 100 MW PV plant, by record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Non-functional requirements for the identity layer, with derivations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trust grades and their treatment in the event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event vocabulary with corroboration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invariants maintained by the lifecycle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guarantees by lifecycle stage: mechanism and residual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event biography of one representative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sector’s existing documents and their representation in the event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modalities for module structural characterization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on a passive binding modality (R1–R6)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economics: coverage, marginal cost, cost bearer, value 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event load by deployment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Payment-chain workload assumptions versus the asset-identity workload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techniques against the asset-identity workload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 ledger load and cost model, 250 MW 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Adversary classes for asset-identity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patterns and the attack families they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residual-risk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exposure by cryptographic component of the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Post-quantum algorithm assignments by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Exposure-to-pattern coverage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 inventory of the asset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governance decision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interface summary across the three focus jurisdictions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contract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Illustrative year-one results for the composite walkthrough (evidentiary class per 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framework mapped across asset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Interoperability layers and their current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Battery-passport field groups and their sources in the event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information-rent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and benefit incidence across the value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Standardization state of the architecture’s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decade map: milestones, owners, and what each unlocks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B.1–B.3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 reference tables: standards, binding mechanisms, regulatory regimes</w:t>
            </w:r>
          </w:p>
        </w:tc>
      </w:tr>
    </w:tbl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2026-07-03T09:17:39Z</dcterms:created>
  <dcterms:modified xsi:type="dcterms:W3CDTF">2026-07-03T09:17:39Z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