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ppendix-a-smart-contract-code-samples"/>
    <w:p>
      <w:pPr>
        <w:pStyle w:val="Heading1"/>
      </w:pPr>
      <w:r>
        <w:t xml:space="preserve">Appendix A: Smart Contract Code Samples</w:t>
      </w:r>
    </w:p>
    <w:p>
      <w:pPr>
        <w:pStyle w:val="FirstParagraph"/>
      </w:pPr>
      <w:r>
        <w:t xml:space="preserve">The listings below are illustrative, not production-grade: they omit access-control</w:t>
      </w:r>
      <w:r>
        <w:t xml:space="preserve"> </w:t>
      </w:r>
      <w:r>
        <w:t xml:space="preserve">hardening, gas optimization, upgrade proxies, and the full event vocabulary, in</w:t>
      </w:r>
      <w:r>
        <w:t xml:space="preserve"> </w:t>
      </w:r>
      <w:r>
        <w:t xml:space="preserve">order to keep the logic of Chapters 4, 5, and 9 legible on the page. They are</w:t>
      </w:r>
      <w:r>
        <w:t xml:space="preserve"> </w:t>
      </w:r>
      <w:r>
        <w:t xml:space="preserve">written in Solidity for concreteness; the pilot’s production suite targets a</w:t>
      </w:r>
      <w:r>
        <w:t xml:space="preserve"> </w:t>
      </w:r>
      <w:r>
        <w:t xml:space="preserve">permissioned platform and enforces the identical schema (Section 11.2 explains why</w:t>
      </w:r>
      <w:r>
        <w:t xml:space="preserve"> </w:t>
      </w:r>
      <w:r>
        <w:t xml:space="preserve">the envelope, not the platform, is the specification). Line-by-line commentary</w:t>
      </w:r>
      <w:r>
        <w:t xml:space="preserve"> </w:t>
      </w:r>
      <w:r>
        <w:t xml:space="preserve">follows each listing. All code in this appendix is original to this book.</w:t>
      </w:r>
    </w:p>
    <w:bookmarkStart w:id="20" w:name="a.1-envelope-and-registry-types"/>
    <w:p>
      <w:pPr>
        <w:pStyle w:val="Heading2"/>
      </w:pPr>
      <w:r>
        <w:t xml:space="preserve">A.1 Envelope and Registry Types</w:t>
      </w:r>
    </w:p>
    <w:p>
      <w:pPr>
        <w:pStyle w:val="SourceCode"/>
      </w:pPr>
      <w:r>
        <w:rPr>
          <w:rStyle w:val="VerbatimChar"/>
        </w:rPr>
        <w:t xml:space="preserve">// SPDX-License-Identifier: MIT</w:t>
      </w:r>
      <w:r>
        <w:br/>
      </w:r>
      <w:r>
        <w:rPr>
          <w:rStyle w:val="VerbatimChar"/>
        </w:rPr>
        <w:t xml:space="preserve">pragma solidity ^0.8.24;</w:t>
      </w:r>
      <w:r>
        <w:br/>
      </w:r>
      <w:r>
        <w:br/>
      </w:r>
      <w:r>
        <w:rPr>
          <w:rStyle w:val="VerbatimChar"/>
        </w:rPr>
        <w:t xml:space="preserve">/// Event envelope, Section 5.4. Payloads never appear on-chain;</w:t>
      </w:r>
      <w:r>
        <w:br/>
      </w:r>
      <w:r>
        <w:rPr>
          <w:rStyle w:val="VerbatimChar"/>
        </w:rPr>
        <w:t xml:space="preserve">/// only digests and replicated-custody references do (Section 4.2).</w:t>
      </w:r>
      <w:r>
        <w:br/>
      </w:r>
      <w:r>
        <w:rPr>
          <w:rStyle w:val="VerbatimChar"/>
        </w:rPr>
        <w:t xml:space="preserve">struct EventEnvelope {</w:t>
      </w:r>
      <w:r>
        <w:br/>
      </w:r>
      <w:r>
        <w:rPr>
          <w:rStyle w:val="VerbatimChar"/>
        </w:rPr>
        <w:t xml:space="preserve">    uint16  schemaVersion;</w:t>
      </w:r>
      <w:r>
        <w:br/>
      </w:r>
      <w:r>
        <w:rPr>
          <w:rStyle w:val="VerbatimChar"/>
        </w:rPr>
        <w:t xml:space="preserve">    bytes32 assetDid;        // DID digest; resolution off-chain (Section 3.5)</w:t>
      </w:r>
      <w:r>
        <w:br/>
      </w:r>
      <w:r>
        <w:rPr>
          <w:rStyle w:val="VerbatimChar"/>
        </w:rPr>
        <w:t xml:space="preserve">    uint8   eventType;       // Table 5.1 vocabulary</w:t>
      </w:r>
      <w:r>
        <w:br/>
      </w:r>
      <w:r>
        <w:rPr>
          <w:rStyle w:val="VerbatimChar"/>
        </w:rPr>
        <w:t xml:space="preserve">    uint16  payloadVersion;</w:t>
      </w:r>
      <w:r>
        <w:br/>
      </w:r>
      <w:r>
        <w:rPr>
          <w:rStyle w:val="VerbatimChar"/>
        </w:rPr>
        <w:t xml:space="preserve">    bytes32 payloadDigest;   // over canonical CBOR serialization</w:t>
      </w:r>
      <w:r>
        <w:br/>
      </w:r>
      <w:r>
        <w:rPr>
          <w:rStyle w:val="VerbatimChar"/>
        </w:rPr>
        <w:t xml:space="preserve">    bytes32[] payloadRefs;   // content-reference digests (custody locators)</w:t>
      </w:r>
      <w:r>
        <w:br/>
      </w:r>
      <w:r>
        <w:rPr>
          <w:rStyle w:val="VerbatimChar"/>
        </w:rPr>
        <w:t xml:space="preserve">    uint64  claimedTime;     // submitter's asserted physical-world time</w:t>
      </w:r>
      <w:r>
        <w:br/>
      </w:r>
      <w:r>
        <w:rPr>
          <w:rStyle w:val="VerbatimChar"/>
        </w:rPr>
        <w:t xml:space="preserve">    bytes32[] priorRefs;     // evidence DAG edges (Section 5.4)</w:t>
      </w:r>
      <w:r>
        <w:br/>
      </w:r>
      <w:r>
        <w:rPr>
          <w:rStyle w:val="VerbatimChar"/>
        </w:rPr>
        <w:t xml:space="preserve">    bytes32 submitterRole;   // role DID (Section 10.2: no legal persons on-chain)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Lifecycle states, Figure 5.1.</w:t>
      </w:r>
      <w:r>
        <w:br/>
      </w:r>
      <w:r>
        <w:rPr>
          <w:rStyle w:val="VerbatimChar"/>
        </w:rPr>
        <w:t xml:space="preserve">enum AssetState {</w:t>
      </w:r>
      <w:r>
        <w:br/>
      </w:r>
      <w:r>
        <w:rPr>
          <w:rStyle w:val="VerbatimChar"/>
        </w:rPr>
        <w:t xml:space="preserve">    None, Registered, InTransit, Installed, Commissioned,</w:t>
      </w:r>
      <w:r>
        <w:br/>
      </w:r>
      <w:r>
        <w:rPr>
          <w:rStyle w:val="VerbatimChar"/>
        </w:rPr>
        <w:t xml:space="preserve">    Suspended, Removed, Decommissioned, Recycled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Registration class, Section 4.3: factory-grade provenance is</w:t>
      </w:r>
      <w:r>
        <w:br/>
      </w:r>
      <w:r>
        <w:rPr>
          <w:rStyle w:val="VerbatimChar"/>
        </w:rPr>
        <w:t xml:space="preserve">/// never conflated with retroactive enrollment.</w:t>
      </w:r>
      <w:r>
        <w:br/>
      </w:r>
      <w:r>
        <w:rPr>
          <w:rStyle w:val="VerbatimChar"/>
        </w:rPr>
        <w:t xml:space="preserve">enum RegClass { Factory, Retroactive }</w:t>
      </w:r>
    </w:p>
    <w:bookmarkEnd w:id="20"/>
    <w:bookmarkStart w:id="21" w:name="a.2-assetregistry"/>
    <w:p>
      <w:pPr>
        <w:pStyle w:val="Heading2"/>
      </w:pPr>
      <w:r>
        <w:t xml:space="preserve">A.2 AssetRegistry</w:t>
      </w:r>
    </w:p>
    <w:p>
      <w:pPr>
        <w:pStyle w:val="SourceCode"/>
      </w:pPr>
      <w:r>
        <w:rPr>
          <w:rStyle w:val="VerbatimChar"/>
        </w:rPr>
        <w:t xml:space="preserve">contract AssetRegistry {</w:t>
      </w:r>
      <w:r>
        <w:br/>
      </w:r>
      <w:r>
        <w:rPr>
          <w:rStyle w:val="VerbatimChar"/>
        </w:rPr>
        <w:t xml:space="preserve">    struct Registration {</w:t>
      </w:r>
      <w:r>
        <w:br/>
      </w:r>
      <w:r>
        <w:rPr>
          <w:rStyle w:val="VerbatimChar"/>
        </w:rPr>
        <w:t xml:space="preserve">        RegClass  regClass;</w:t>
      </w:r>
      <w:r>
        <w:br/>
      </w:r>
      <w:r>
        <w:rPr>
          <w:rStyle w:val="VerbatimChar"/>
        </w:rPr>
        <w:t xml:space="preserve">        bytes32   templateDigest;    // enrollment fingerprint (Section 6.3)</w:t>
      </w:r>
      <w:r>
        <w:br/>
      </w:r>
      <w:r>
        <w:rPr>
          <w:rStyle w:val="VerbatimChar"/>
        </w:rPr>
        <w:t xml:space="preserve">        bytes32   batchRoot;         // Merkle batch membership (Section 7.2)</w:t>
      </w:r>
      <w:r>
        <w:br/>
      </w:r>
      <w:r>
        <w:rPr>
          <w:rStyle w:val="VerbatimChar"/>
        </w:rPr>
        <w:t xml:space="preserve">        bytes32   registrarRole;</w:t>
      </w:r>
      <w:r>
        <w:br/>
      </w:r>
      <w:r>
        <w:rPr>
          <w:rStyle w:val="VerbatimChar"/>
        </w:rPr>
        <w:t xml:space="preserve">        uint64    ledgerTime;</w:t>
      </w:r>
      <w:r>
        <w:br/>
      </w:r>
      <w:r>
        <w:rPr>
          <w:rStyle w:val="VerbatimChar"/>
        </w:rPr>
        <w:t xml:space="preserve">        bool      exists;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mapping(bytes32 =&gt; Registration) private assets;      // assetDid =&gt; reg</w:t>
      </w:r>
      <w:r>
        <w:br/>
      </w:r>
      <w:r>
        <w:rPr>
          <w:rStyle w:val="VerbatimChar"/>
        </w:rPr>
        <w:t xml:space="preserve">    mapping(bytes32 =&gt; bool)          private batchRoots; // committed roots</w:t>
      </w:r>
      <w:r>
        <w:br/>
      </w:r>
      <w:r>
        <w:br/>
      </w:r>
      <w:r>
        <w:rPr>
          <w:rStyle w:val="VerbatimChar"/>
        </w:rPr>
        <w:t xml:space="preserve">    IRoleAccred public immutable accred;   // Section A.4</w:t>
      </w:r>
      <w:r>
        <w:br/>
      </w:r>
      <w:r>
        <w:br/>
      </w:r>
      <w:r>
        <w:rPr>
          <w:rStyle w:val="VerbatimChar"/>
        </w:rPr>
        <w:t xml:space="preserve">    event BatchCommitted(bytes32 indexed root, bytes32 indexed registrar,</w:t>
      </w:r>
      <w:r>
        <w:br/>
      </w:r>
      <w:r>
        <w:rPr>
          <w:rStyle w:val="VerbatimChar"/>
        </w:rPr>
        <w:t xml:space="preserve">                         bytes32 manifestDigest);</w:t>
      </w:r>
      <w:r>
        <w:br/>
      </w:r>
      <w:r>
        <w:rPr>
          <w:rStyle w:val="VerbatimChar"/>
        </w:rPr>
        <w:t xml:space="preserve">    event AssetRegistered(bytes32 indexed assetDid, RegClass regClass,</w:t>
      </w:r>
      <w:r>
        <w:br/>
      </w:r>
      <w:r>
        <w:rPr>
          <w:rStyle w:val="VerbatimChar"/>
        </w:rPr>
        <w:t xml:space="preserve">                          bytes32 indexed batchRoot);</w:t>
      </w:r>
      <w:r>
        <w:br/>
      </w:r>
      <w:r>
        <w:br/>
      </w:r>
      <w:r>
        <w:rPr>
          <w:rStyle w:val="VerbatimChar"/>
        </w:rPr>
        <w:t xml:space="preserve">    constructor(IRoleAccred _accred) { accred = _accred; }</w:t>
      </w:r>
      <w:r>
        <w:br/>
      </w:r>
      <w:r>
        <w:br/>
      </w:r>
      <w:r>
        <w:rPr>
          <w:rStyle w:val="VerbatimChar"/>
        </w:rPr>
        <w:t xml:space="preserve">    /// One consensus round commits a whole production batch (Figure 7.1).</w:t>
      </w:r>
      <w:r>
        <w:br/>
      </w:r>
      <w:r>
        <w:rPr>
          <w:rStyle w:val="VerbatimChar"/>
        </w:rPr>
        <w:t xml:space="preserve">    /// The manifest must already sit in replicated custody: the contract</w:t>
      </w:r>
      <w:r>
        <w:br/>
      </w:r>
      <w:r>
        <w:rPr>
          <w:rStyle w:val="VerbatimChar"/>
        </w:rPr>
        <w:t xml:space="preserve">    /// cannot check that, so the corroboration rules of Section 4.2 make</w:t>
      </w:r>
      <w:r>
        <w:br/>
      </w:r>
      <w:r>
        <w:rPr>
          <w:rStyle w:val="VerbatimChar"/>
        </w:rPr>
        <w:t xml:space="preserve">    /// custody-write-before-commit a registrar accreditation condition.</w:t>
      </w:r>
      <w:r>
        <w:br/>
      </w:r>
      <w:r>
        <w:rPr>
          <w:rStyle w:val="VerbatimChar"/>
        </w:rPr>
        <w:t xml:space="preserve">    function commitBatch(bytes32 root, bytes32 manifestDigest,</w:t>
      </w:r>
      <w:r>
        <w:br/>
      </w:r>
      <w:r>
        <w:rPr>
          <w:rStyle w:val="VerbatimChar"/>
        </w:rPr>
        <w:t xml:space="preserve">                         bytes32 registrarRole) external {</w:t>
      </w:r>
      <w:r>
        <w:br/>
      </w:r>
      <w:r>
        <w:rPr>
          <w:rStyle w:val="VerbatimChar"/>
        </w:rPr>
        <w:t xml:space="preserve">        require(accred.isAccredited(registrarRole, Role.Registrar,</w:t>
      </w:r>
      <w:r>
        <w:br/>
      </w:r>
      <w:r>
        <w:rPr>
          <w:rStyle w:val="VerbatimChar"/>
        </w:rPr>
        <w:t xml:space="preserve">                                    block.timestamp), "registrar");</w:t>
      </w:r>
      <w:r>
        <w:br/>
      </w:r>
      <w:r>
        <w:rPr>
          <w:rStyle w:val="VerbatimChar"/>
        </w:rPr>
        <w:t xml:space="preserve">        require(!batchRoots[root], "duplicate batch");</w:t>
      </w:r>
      <w:r>
        <w:br/>
      </w:r>
      <w:r>
        <w:rPr>
          <w:rStyle w:val="VerbatimChar"/>
        </w:rPr>
        <w:t xml:space="preserve">        batchRoots[root] = true;</w:t>
      </w:r>
      <w:r>
        <w:br/>
      </w:r>
      <w:r>
        <w:rPr>
          <w:rStyle w:val="VerbatimChar"/>
        </w:rPr>
        <w:t xml:space="preserve">        emit BatchCommitted(root, registrarRole, manifestDigest);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/// Per-unit registration proves membership in a committed batch.</w:t>
      </w:r>
      <w:r>
        <w:br/>
      </w:r>
      <w:r>
        <w:rPr>
          <w:rStyle w:val="VerbatimChar"/>
        </w:rPr>
        <w:t xml:space="preserve">    /// `proof` is the Merkle inclusion path (about log2(n) hashes).</w:t>
      </w:r>
      <w:r>
        <w:br/>
      </w:r>
      <w:r>
        <w:rPr>
          <w:rStyle w:val="VerbatimChar"/>
        </w:rPr>
        <w:t xml:space="preserve">    function register(EventEnvelope calldata env, RegClass regClass,</w:t>
      </w:r>
      <w:r>
        <w:br/>
      </w:r>
      <w:r>
        <w:rPr>
          <w:rStyle w:val="VerbatimChar"/>
        </w:rPr>
        <w:t xml:space="preserve">                      bytes32 templateDigest, bytes32 batchRoot,</w:t>
      </w:r>
      <w:r>
        <w:br/>
      </w:r>
      <w:r>
        <w:rPr>
          <w:rStyle w:val="VerbatimChar"/>
        </w:rPr>
        <w:t xml:space="preserve">                      bytes32[] calldata proof) external {</w:t>
      </w:r>
      <w:r>
        <w:br/>
      </w:r>
      <w:r>
        <w:rPr>
          <w:rStyle w:val="VerbatimChar"/>
        </w:rPr>
        <w:t xml:space="preserve">        require(batchRoots[batchRoot], "unknown batch");</w:t>
      </w:r>
      <w:r>
        <w:br/>
      </w:r>
      <w:r>
        <w:rPr>
          <w:rStyle w:val="VerbatimChar"/>
        </w:rPr>
        <w:t xml:space="preserve">        require(!assets[env.assetDid].exists, "duplicate DID"); // uniqueness</w:t>
      </w:r>
      <w:r>
        <w:br/>
      </w:r>
      <w:r>
        <w:rPr>
          <w:rStyle w:val="VerbatimChar"/>
        </w:rPr>
        <w:t xml:space="preserve">        bytes32 leaf = keccak256(abi.encode(env.assetDid, templateDigest,</w:t>
      </w:r>
      <w:r>
        <w:br/>
      </w:r>
      <w:r>
        <w:rPr>
          <w:rStyle w:val="VerbatimChar"/>
        </w:rPr>
        <w:t xml:space="preserve">                                            env.payloadDigest));</w:t>
      </w:r>
      <w:r>
        <w:br/>
      </w:r>
      <w:r>
        <w:rPr>
          <w:rStyle w:val="VerbatimChar"/>
        </w:rPr>
        <w:t xml:space="preserve">        require(_verifyInclusion(leaf, proof, batchRoot), "bad proof");</w:t>
      </w:r>
      <w:r>
        <w:br/>
      </w:r>
      <w:r>
        <w:br/>
      </w:r>
      <w:r>
        <w:rPr>
          <w:rStyle w:val="VerbatimChar"/>
        </w:rPr>
        <w:t xml:space="preserve">        assets[env.assetDid] = Registration({</w:t>
      </w:r>
      <w:r>
        <w:br/>
      </w:r>
      <w:r>
        <w:rPr>
          <w:rStyle w:val="VerbatimChar"/>
        </w:rPr>
        <w:t xml:space="preserve">            regClass: regClass,</w:t>
      </w:r>
      <w:r>
        <w:br/>
      </w:r>
      <w:r>
        <w:rPr>
          <w:rStyle w:val="VerbatimChar"/>
        </w:rPr>
        <w:t xml:space="preserve">            templateDigest: templateDigest,</w:t>
      </w:r>
      <w:r>
        <w:br/>
      </w:r>
      <w:r>
        <w:rPr>
          <w:rStyle w:val="VerbatimChar"/>
        </w:rPr>
        <w:t xml:space="preserve">            batchRoot: batchRoot,</w:t>
      </w:r>
      <w:r>
        <w:br/>
      </w:r>
      <w:r>
        <w:rPr>
          <w:rStyle w:val="VerbatimChar"/>
        </w:rPr>
        <w:t xml:space="preserve">            registrarRole: env.submitterRole,</w:t>
      </w:r>
      <w:r>
        <w:br/>
      </w:r>
      <w:r>
        <w:rPr>
          <w:rStyle w:val="VerbatimChar"/>
        </w:rPr>
        <w:t xml:space="preserve">            ledgerTime: uint64(block.timestamp),</w:t>
      </w:r>
      <w:r>
        <w:br/>
      </w:r>
      <w:r>
        <w:rPr>
          <w:rStyle w:val="VerbatimChar"/>
        </w:rPr>
        <w:t xml:space="preserve">            exists: true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emit AssetRegistered(env.assetDid, regClass, batchRoot);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templateOf(bytes32 assetDid) external view returns (bytes32) {</w:t>
      </w:r>
      <w:r>
        <w:br/>
      </w:r>
      <w:r>
        <w:rPr>
          <w:rStyle w:val="VerbatimChar"/>
        </w:rPr>
        <w:t xml:space="preserve">        require(assets[assetDid].exists, "unknown asset");</w:t>
      </w:r>
      <w:r>
        <w:br/>
      </w:r>
      <w:r>
        <w:rPr>
          <w:rStyle w:val="VerbatimChar"/>
        </w:rPr>
        <w:t xml:space="preserve">        return assets[assetDid].templateDigest;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_verifyInclusion(bytes32 leaf, bytes32[] calldata proof,</w:t>
      </w:r>
      <w:r>
        <w:br/>
      </w:r>
      <w:r>
        <w:rPr>
          <w:rStyle w:val="VerbatimChar"/>
        </w:rPr>
        <w:t xml:space="preserve">                              bytes32 root) internal pure returns (bool) {</w:t>
      </w:r>
      <w:r>
        <w:br/>
      </w:r>
      <w:r>
        <w:rPr>
          <w:rStyle w:val="VerbatimChar"/>
        </w:rPr>
        <w:t xml:space="preserve">        bytes32 node = leaf;</w:t>
      </w:r>
      <w:r>
        <w:br/>
      </w:r>
      <w:r>
        <w:rPr>
          <w:rStyle w:val="VerbatimChar"/>
        </w:rPr>
        <w:t xml:space="preserve">        for (uint256 i = 0; i &lt; proof.length; i++) {</w:t>
      </w:r>
      <w:r>
        <w:br/>
      </w:r>
      <w:r>
        <w:rPr>
          <w:rStyle w:val="VerbatimChar"/>
        </w:rPr>
        <w:t xml:space="preserve">            node = node &lt; proof[i]</w:t>
      </w:r>
      <w:r>
        <w:br/>
      </w:r>
      <w:r>
        <w:rPr>
          <w:rStyle w:val="VerbatimChar"/>
        </w:rPr>
        <w:t xml:space="preserve">                ? keccak256(abi.encodePacked(node, proof[i]))</w:t>
      </w:r>
      <w:r>
        <w:br/>
      </w:r>
      <w:r>
        <w:rPr>
          <w:rStyle w:val="VerbatimChar"/>
        </w:rPr>
        <w:t xml:space="preserve">                : keccak256(abi.encodePacked(proof[i], node));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node == root;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Commentary.</w:t>
      </w:r>
      <w:r>
        <w:t xml:space="preserve"> </w:t>
      </w:r>
      <w:r>
        <w:t xml:space="preserve">Uniqueness is enforced at the DID, not the serial number — the</w:t>
      </w:r>
      <w:r>
        <w:t xml:space="preserve"> </w:t>
      </w:r>
      <w:r>
        <w:t xml:space="preserve">contract cannot know whether two DIDs describe one laminate; that is the binding</w:t>
      </w:r>
      <w:r>
        <w:t xml:space="preserve"> </w:t>
      </w:r>
      <w:r>
        <w:t xml:space="preserve">layer’s job (Chapter 6), and the registry’s job is to make double-registration of</w:t>
      </w:r>
      <w:r>
        <w:t xml:space="preserve"> </w:t>
      </w:r>
      <w:r>
        <w:t xml:space="preserve">one DID impossible and every registration attributable. Note what is deliberately</w:t>
      </w:r>
      <w:r>
        <w:t xml:space="preserve"> </w:t>
      </w:r>
      <w:r>
        <w:rPr>
          <w:iCs/>
          <w:i/>
        </w:rPr>
        <w:t xml:space="preserve">absent</w:t>
      </w:r>
      <w:r>
        <w:t xml:space="preserve">: no product metadata, no owner names, no site data. Those live in</w:t>
      </w:r>
      <w:r>
        <w:t xml:space="preserve"> </w:t>
      </w:r>
      <w:r>
        <w:t xml:space="preserve">payloads and the party registry (Section 10.2); the contract holds only what</w:t>
      </w:r>
      <w:r>
        <w:t xml:space="preserve"> </w:t>
      </w:r>
      <w:r>
        <w:t xml:space="preserve">consensus must order.</w:t>
      </w:r>
    </w:p>
    <w:bookmarkEnd w:id="21"/>
    <w:bookmarkStart w:id="22" w:name="X2cd0600d849ace5e48e282829211d6db13eec40"/>
    <w:p>
      <w:pPr>
        <w:pStyle w:val="Heading2"/>
      </w:pPr>
      <w:r>
        <w:t xml:space="preserve">A.3 LifecycleSM (excerpt): the EVT_COMMISSION path</w:t>
      </w:r>
    </w:p>
    <w:p>
      <w:pPr>
        <w:pStyle w:val="SourceCode"/>
      </w:pPr>
      <w:r>
        <w:rPr>
          <w:rStyle w:val="VerbatimChar"/>
        </w:rPr>
        <w:t xml:space="preserve">contract LifecycleSM {</w:t>
      </w:r>
      <w:r>
        <w:br/>
      </w:r>
      <w:r>
        <w:rPr>
          <w:rStyle w:val="VerbatimChar"/>
        </w:rPr>
        <w:t xml:space="preserve">    uint8 constant EVT_INSTALL    = 3;</w:t>
      </w:r>
      <w:r>
        <w:br/>
      </w:r>
      <w:r>
        <w:rPr>
          <w:rStyle w:val="VerbatimChar"/>
        </w:rPr>
        <w:t xml:space="preserve">    uint8 constant EVT_COMMISSION = 4;   // Table 5.1 (excerpt)</w:t>
      </w:r>
      <w:r>
        <w:br/>
      </w:r>
      <w:r>
        <w:br/>
      </w:r>
      <w:r>
        <w:rPr>
          <w:rStyle w:val="VerbatimChar"/>
        </w:rPr>
        <w:t xml:space="preserve">    struct Attestation {              // Section 4.5 oracle chain</w:t>
      </w:r>
      <w:r>
        <w:br/>
      </w:r>
      <w:r>
        <w:rPr>
          <w:rStyle w:val="VerbatimChar"/>
        </w:rPr>
        <w:t xml:space="preserve">        bytes32 attestorRole;         // instrument or co-signer role DID</w:t>
      </w:r>
      <w:r>
        <w:br/>
      </w:r>
      <w:r>
        <w:rPr>
          <w:rStyle w:val="VerbatimChar"/>
        </w:rPr>
        <w:t xml:space="preserve">        uint8   kind;                 // 1 = instrument, 2 = co-signature</w:t>
      </w:r>
      <w:r>
        <w:br/>
      </w:r>
      <w:r>
        <w:rPr>
          <w:rStyle w:val="VerbatimChar"/>
        </w:rPr>
        <w:t xml:space="preserve">        bytes   sig;                  // over the envelope digest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mapping(bytes32 =&gt; AssetState) public stateOf;</w:t>
      </w:r>
      <w:r>
        <w:br/>
      </w:r>
      <w:r>
        <w:rPr>
          <w:rStyle w:val="VerbatimChar"/>
        </w:rPr>
        <w:t xml:space="preserve">    mapping(bytes32 =&gt; bytes32)    public custodianOf;   // role DID</w:t>
      </w:r>
      <w:r>
        <w:br/>
      </w:r>
      <w:r>
        <w:br/>
      </w:r>
      <w:r>
        <w:rPr>
          <w:rStyle w:val="VerbatimChar"/>
        </w:rPr>
        <w:t xml:space="preserve">    IRoleAccred  public immutable accred;</w:t>
      </w:r>
      <w:r>
        <w:br/>
      </w:r>
      <w:r>
        <w:rPr>
          <w:rStyle w:val="VerbatimChar"/>
        </w:rPr>
        <w:t xml:space="preserve">    AssetRegistry public immutable registry;</w:t>
      </w:r>
      <w:r>
        <w:br/>
      </w:r>
      <w:r>
        <w:br/>
      </w:r>
      <w:r>
        <w:rPr>
          <w:rStyle w:val="VerbatimChar"/>
        </w:rPr>
        <w:t xml:space="preserve">    event LifecycleEvent(bytes32 indexed assetDid, uint8 indexed eventType,</w:t>
      </w:r>
      <w:r>
        <w:br/>
      </w:r>
      <w:r>
        <w:rPr>
          <w:rStyle w:val="VerbatimChar"/>
        </w:rPr>
        <w:t xml:space="preserve">                         bytes32 payloadDigest, uint64 claimedTime);</w:t>
      </w:r>
      <w:r>
        <w:br/>
      </w:r>
      <w:r>
        <w:rPr>
          <w:rStyle w:val="VerbatimChar"/>
        </w:rPr>
        <w:t xml:space="preserve">    event WarrantyClockStarted(bytes32 indexed assetDid, uint64 startTime);</w:t>
      </w:r>
      <w:r>
        <w:br/>
      </w:r>
      <w:r>
        <w:br/>
      </w:r>
      <w:r>
        <w:rPr>
          <w:rStyle w:val="VerbatimChar"/>
        </w:rPr>
        <w:t xml:space="preserve">    uint64 constant COMMISSION_WINDOW = 30 days;   // Section 5.5 submission window</w:t>
      </w:r>
      <w:r>
        <w:br/>
      </w:r>
      <w:r>
        <w:br/>
      </w:r>
      <w:r>
        <w:rPr>
          <w:rStyle w:val="VerbatimChar"/>
        </w:rPr>
        <w:t xml:space="preserve">    function submitCommission(EventEnvelope calldata env,</w:t>
      </w:r>
      <w:r>
        <w:br/>
      </w:r>
      <w:r>
        <w:rPr>
          <w:rStyle w:val="VerbatimChar"/>
        </w:rPr>
        <w:t xml:space="preserve">                              Attestation[] calldata atts) external {</w:t>
      </w:r>
      <w:r>
        <w:br/>
      </w:r>
      <w:r>
        <w:rPr>
          <w:rStyle w:val="VerbatimChar"/>
        </w:rPr>
        <w:t xml:space="preserve">        // 1. Transition legality (Figure 5.1)</w:t>
      </w:r>
      <w:r>
        <w:br/>
      </w:r>
      <w:r>
        <w:rPr>
          <w:rStyle w:val="VerbatimChar"/>
        </w:rPr>
        <w:t xml:space="preserve">        require(stateOf[env.assetDid] == AssetState.Installed, "state");</w:t>
      </w:r>
      <w:r>
        <w:br/>
      </w:r>
      <w:r>
        <w:br/>
      </w:r>
      <w:r>
        <w:rPr>
          <w:rStyle w:val="VerbatimChar"/>
        </w:rPr>
        <w:t xml:space="preserve">        // 2. Submitter authorization: EPC role for this site</w:t>
      </w:r>
      <w:r>
        <w:br/>
      </w:r>
      <w:r>
        <w:rPr>
          <w:rStyle w:val="VerbatimChar"/>
        </w:rPr>
        <w:t xml:space="preserve">        require(accred.isAccredited(env.submitterRole, Role.EPC,</w:t>
      </w:r>
      <w:r>
        <w:br/>
      </w:r>
      <w:r>
        <w:rPr>
          <w:rStyle w:val="VerbatimChar"/>
        </w:rPr>
        <w:t xml:space="preserve">                                    env.claimedTime), "submitter");</w:t>
      </w:r>
      <w:r>
        <w:br/>
      </w:r>
      <w:r>
        <w:br/>
      </w:r>
      <w:r>
        <w:rPr>
          <w:rStyle w:val="VerbatimChar"/>
        </w:rPr>
        <w:t xml:space="preserve">        // 3. Corroboration Class C (Table 5.1): at least one in-calibration</w:t>
      </w:r>
      <w:r>
        <w:br/>
      </w:r>
      <w:r>
        <w:rPr>
          <w:rStyle w:val="VerbatimChar"/>
        </w:rPr>
        <w:t xml:space="preserve">        //    instrument attestation AND one owner-side co-signature.</w:t>
      </w:r>
      <w:r>
        <w:br/>
      </w:r>
      <w:r>
        <w:rPr>
          <w:rStyle w:val="VerbatimChar"/>
        </w:rPr>
        <w:t xml:space="preserve">        require(_hasInstrument(atts, env) &amp;&amp; _hasOwnerCosign(atts, env),</w:t>
      </w:r>
      <w:r>
        <w:br/>
      </w:r>
      <w:r>
        <w:rPr>
          <w:rStyle w:val="VerbatimChar"/>
        </w:rPr>
        <w:t xml:space="preserve">                "corroboration");</w:t>
      </w:r>
      <w:r>
        <w:br/>
      </w:r>
      <w:r>
        <w:br/>
      </w:r>
      <w:r>
        <w:rPr>
          <w:rStyle w:val="VerbatimChar"/>
        </w:rPr>
        <w:t xml:space="preserve">        // 4. Submission window (Section 5.1: offline entry is first-class,</w:t>
      </w:r>
      <w:r>
        <w:br/>
      </w:r>
      <w:r>
        <w:rPr>
          <w:rStyle w:val="VerbatimChar"/>
        </w:rPr>
        <w:t xml:space="preserve">        //    but the claimed-time / ledger-time gap is bounded)</w:t>
      </w:r>
      <w:r>
        <w:br/>
      </w:r>
      <w:r>
        <w:rPr>
          <w:rStyle w:val="VerbatimChar"/>
        </w:rPr>
        <w:t xml:space="preserve">        require(block.timestamp &gt;= env.claimedTime &amp;&amp;</w:t>
      </w:r>
      <w:r>
        <w:br/>
      </w:r>
      <w:r>
        <w:rPr>
          <w:rStyle w:val="VerbatimChar"/>
        </w:rPr>
        <w:t xml:space="preserve">                block.timestamp - env.claimedTime &lt;= COMMISSION_WINDOW,</w:t>
      </w:r>
      <w:r>
        <w:br/>
      </w:r>
      <w:r>
        <w:rPr>
          <w:rStyle w:val="VerbatimChar"/>
        </w:rPr>
        <w:t xml:space="preserve">                "window");</w:t>
      </w:r>
      <w:r>
        <w:br/>
      </w:r>
      <w:r>
        <w:br/>
      </w:r>
      <w:r>
        <w:rPr>
          <w:rStyle w:val="VerbatimChar"/>
        </w:rPr>
        <w:t xml:space="preserve">        stateOf[env.assetDid] = AssetState.Commissioned;</w:t>
      </w:r>
      <w:r>
        <w:br/>
      </w:r>
      <w:r>
        <w:rPr>
          <w:rStyle w:val="VerbatimChar"/>
        </w:rPr>
        <w:t xml:space="preserve">        emit LifecycleEvent(env.assetDid, EVT_COMMISSION,</w:t>
      </w:r>
      <w:r>
        <w:br/>
      </w:r>
      <w:r>
        <w:rPr>
          <w:rStyle w:val="VerbatimChar"/>
        </w:rPr>
        <w:t xml:space="preserve">                            env.payloadDigest, env.claimedTime);</w:t>
      </w:r>
      <w:r>
        <w:br/>
      </w:r>
      <w:r>
        <w:rPr>
          <w:rStyle w:val="VerbatimChar"/>
        </w:rPr>
        <w:t xml:space="preserve">        // Derived event the insurer's client subscribes to (Section 11.4)</w:t>
      </w:r>
      <w:r>
        <w:br/>
      </w:r>
      <w:r>
        <w:rPr>
          <w:rStyle w:val="VerbatimChar"/>
        </w:rPr>
        <w:t xml:space="preserve">        emit WarrantyClockStarted(env.assetDid, env.claimedTime);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_hasInstrument(Attestation[] calldata atts,</w:t>
      </w:r>
      <w:r>
        <w:br/>
      </w:r>
      <w:r>
        <w:rPr>
          <w:rStyle w:val="VerbatimChar"/>
        </w:rPr>
        <w:t xml:space="preserve">                            EventEnvelope calldata env)</w:t>
      </w:r>
      <w:r>
        <w:br/>
      </w:r>
      <w:r>
        <w:rPr>
          <w:rStyle w:val="VerbatimChar"/>
        </w:rPr>
        <w:t xml:space="preserve">            internal view returns (bool) {</w:t>
      </w:r>
      <w:r>
        <w:br/>
      </w:r>
      <w:r>
        <w:rPr>
          <w:rStyle w:val="VerbatimChar"/>
        </w:rPr>
        <w:t xml:space="preserve">        for (uint256 i = 0; i &lt; atts.length; i++) {</w:t>
      </w:r>
      <w:r>
        <w:br/>
      </w:r>
      <w:r>
        <w:rPr>
          <w:rStyle w:val="VerbatimChar"/>
        </w:rPr>
        <w:t xml:space="preserve">            if (atts[i].kind == 1 &amp;&amp;</w:t>
      </w:r>
      <w:r>
        <w:br/>
      </w:r>
      <w:r>
        <w:rPr>
          <w:rStyle w:val="VerbatimChar"/>
        </w:rPr>
        <w:t xml:space="preserve">                accred.inCalibration(atts[i].attestorRole, env.claimedTime) &amp;&amp;</w:t>
      </w:r>
      <w:r>
        <w:br/>
      </w:r>
      <w:r>
        <w:rPr>
          <w:rStyle w:val="VerbatimChar"/>
        </w:rPr>
        <w:t xml:space="preserve">                _sigValid(atts[i], env))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_hasOwnerCosign(Attestation[] calldata atts,</w:t>
      </w:r>
      <w:r>
        <w:br/>
      </w:r>
      <w:r>
        <w:rPr>
          <w:rStyle w:val="VerbatimChar"/>
        </w:rPr>
        <w:t xml:space="preserve">                             EventEnvelope calldata env)</w:t>
      </w:r>
      <w:r>
        <w:br/>
      </w:r>
      <w:r>
        <w:rPr>
          <w:rStyle w:val="VerbatimChar"/>
        </w:rPr>
        <w:t xml:space="preserve">            internal view returns (bool) {</w:t>
      </w:r>
      <w:r>
        <w:br/>
      </w:r>
      <w:r>
        <w:rPr>
          <w:rStyle w:val="VerbatimChar"/>
        </w:rPr>
        <w:t xml:space="preserve">        for (uint256 i = 0; i &lt; atts.length; i++) {</w:t>
      </w:r>
      <w:r>
        <w:br/>
      </w:r>
      <w:r>
        <w:rPr>
          <w:rStyle w:val="VerbatimChar"/>
        </w:rPr>
        <w:t xml:space="preserve">            if (atts[i].kind == 2 &amp;&amp;</w:t>
      </w:r>
      <w:r>
        <w:br/>
      </w:r>
      <w:r>
        <w:rPr>
          <w:rStyle w:val="VerbatimChar"/>
        </w:rPr>
        <w:t xml:space="preserve">                accred.isAccredited(atts[i].attestorRole, Role.OwnerEngineer,</w:t>
      </w:r>
      <w:r>
        <w:br/>
      </w:r>
      <w:r>
        <w:rPr>
          <w:rStyle w:val="VerbatimChar"/>
        </w:rPr>
        <w:t xml:space="preserve">                                    env.claimedTime) &amp;&amp;</w:t>
      </w:r>
      <w:r>
        <w:br/>
      </w:r>
      <w:r>
        <w:rPr>
          <w:rStyle w:val="VerbatimChar"/>
        </w:rPr>
        <w:t xml:space="preserve">                _sigValid(atts[i], env))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_sigValid(Attestation calldata att, EventEnvelope calldata env)</w:t>
      </w:r>
      <w:r>
        <w:br/>
      </w:r>
      <w:r>
        <w:rPr>
          <w:rStyle w:val="VerbatimChar"/>
        </w:rPr>
        <w:t xml:space="preserve">            internal view returns (bool) {</w:t>
      </w:r>
      <w:r>
        <w:br/>
      </w:r>
      <w:r>
        <w:rPr>
          <w:rStyle w:val="VerbatimChar"/>
        </w:rPr>
        <w:t xml:space="preserve">        // Signature verification is delegated to the algorithm policy in</w:t>
      </w:r>
      <w:r>
        <w:br/>
      </w:r>
      <w:r>
        <w:rPr>
          <w:rStyle w:val="VerbatimChar"/>
        </w:rPr>
        <w:t xml:space="preserve">        // force at env.claimedTime (Section 9.4, pattern P2): the same</w:t>
      </w:r>
      <w:r>
        <w:br/>
      </w:r>
      <w:r>
        <w:rPr>
          <w:rStyle w:val="VerbatimChar"/>
        </w:rPr>
        <w:t xml:space="preserve">        // envelope verifies under ECDSA in era 1, hybrid in transition,</w:t>
      </w:r>
      <w:r>
        <w:br/>
      </w:r>
      <w:r>
        <w:rPr>
          <w:rStyle w:val="VerbatimChar"/>
        </w:rPr>
        <w:t xml:space="preserve">        // ML-DSA thereafter, without contract surgery.</w:t>
      </w:r>
      <w:r>
        <w:br/>
      </w:r>
      <w:r>
        <w:rPr>
          <w:rStyle w:val="VerbatimChar"/>
        </w:rPr>
        <w:t xml:space="preserve">        return accred.verifyByPolicy(att.attestorRole, att.sig,</w:t>
      </w:r>
      <w:r>
        <w:br/>
      </w:r>
      <w:r>
        <w:rPr>
          <w:rStyle w:val="VerbatimChar"/>
        </w:rPr>
        <w:t xml:space="preserve">                                     _envelopeDigest(env), env.claimedTime);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_envelopeDigest(EventEnvelope calldata env)</w:t>
      </w:r>
      <w:r>
        <w:br/>
      </w:r>
      <w:r>
        <w:rPr>
          <w:rStyle w:val="VerbatimChar"/>
        </w:rPr>
        <w:t xml:space="preserve">            internal pure returns (bytes32) {</w:t>
      </w:r>
      <w:r>
        <w:br/>
      </w:r>
      <w:r>
        <w:rPr>
          <w:rStyle w:val="VerbatimChar"/>
        </w:rPr>
        <w:t xml:space="preserve">        return keccak256(abi.encode(env));   // canonical: fixed field order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Commentary.</w:t>
      </w:r>
      <w:r>
        <w:t xml:space="preserve"> </w:t>
      </w:r>
      <w:r>
        <w:t xml:space="preserve">This is Figure 5.2 as code, and the four numbered checks are the</w:t>
      </w:r>
      <w:r>
        <w:t xml:space="preserve"> </w:t>
      </w:r>
      <w:r>
        <w:t xml:space="preserve">entire write-time constitution for this event: state, role, corroboration,</w:t>
      </w:r>
      <w:r>
        <w:t xml:space="preserve"> </w:t>
      </w:r>
      <w:r>
        <w:t xml:space="preserve">window. Everything else the pilot wanted to check at first — payload plausibility,</w:t>
      </w:r>
      <w:r>
        <w:t xml:space="preserve"> </w:t>
      </w:r>
      <w:r>
        <w:t xml:space="preserve">test-value ranges, degradation sanity — was deliberately moved to the read-side</w:t>
      </w:r>
      <w:r>
        <w:t xml:space="preserve"> </w:t>
      </w:r>
      <w:r>
        <w:t xml:space="preserve">cohort monitor (Section 5.5), and the S2 governance episode (Section 11.3)</w:t>
      </w:r>
      <w:r>
        <w:t xml:space="preserve"> </w:t>
      </w:r>
      <w:r>
        <w:t xml:space="preserve">vindicated the split: the 72-hour co-signing dispute was resolved by changing a</w:t>
      </w:r>
      <w:r>
        <w:t xml:space="preserve"> </w:t>
      </w:r>
      <w:r>
        <w:rPr>
          <w:iCs/>
          <w:i/>
        </w:rPr>
        <w:t xml:space="preserve">parameter</w:t>
      </w:r>
      <w:r>
        <w:t xml:space="preserve">, not contract logic. The</w:t>
      </w:r>
      <w:r>
        <w:t xml:space="preserve"> </w:t>
      </w:r>
      <w:r>
        <w:rPr>
          <w:rStyle w:val="VerbatimChar"/>
        </w:rPr>
        <w:t xml:space="preserve">verifyByPolicy</w:t>
      </w:r>
      <w:r>
        <w:t xml:space="preserve"> </w:t>
      </w:r>
      <w:r>
        <w:t xml:space="preserve">indirection is where</w:t>
      </w:r>
      <w:r>
        <w:t xml:space="preserve"> </w:t>
      </w:r>
      <w:r>
        <w:t xml:space="preserve">Chapter 9 lives in code: signature validity is evaluated against the algorithm</w:t>
      </w:r>
      <w:r>
        <w:t xml:space="preserve"> </w:t>
      </w:r>
      <w:r>
        <w:t xml:space="preserve">policy in force at the claimed time, so cryptographic migration is a policy-</w:t>
      </w:r>
      <w:r>
        <w:t xml:space="preserve"> </w:t>
      </w:r>
      <w:r>
        <w:t xml:space="preserve">register update, never a state-machine redeployment.</w:t>
      </w:r>
    </w:p>
    <w:bookmarkEnd w:id="22"/>
    <w:bookmarkStart w:id="23" w:name="X693f5e60f76b900611547ac98c84c62188f1acd"/>
    <w:p>
      <w:pPr>
        <w:pStyle w:val="Heading2"/>
      </w:pPr>
      <w:r>
        <w:t xml:space="preserve">A.4 RoleAccred (interface) and the time-contextual verifier</w:t>
      </w:r>
    </w:p>
    <w:p>
      <w:pPr>
        <w:pStyle w:val="SourceCode"/>
      </w:pPr>
      <w:r>
        <w:rPr>
          <w:rStyle w:val="VerbatimChar"/>
        </w:rPr>
        <w:t xml:space="preserve">enum Role { Registrar, EPC, OwnerEngineer, OandM, Inspector,</w:t>
      </w:r>
      <w:r>
        <w:br/>
      </w:r>
      <w:r>
        <w:rPr>
          <w:rStyle w:val="VerbatimChar"/>
        </w:rPr>
        <w:t xml:space="preserve">            Recycler, Instrument, Adjudicator }</w:t>
      </w:r>
      <w:r>
        <w:br/>
      </w:r>
      <w:r>
        <w:br/>
      </w:r>
      <w:r>
        <w:rPr>
          <w:rStyle w:val="VerbatimChar"/>
        </w:rPr>
        <w:t xml:space="preserve">interface IRoleAccred {</w:t>
      </w:r>
      <w:r>
        <w:br/>
      </w:r>
      <w:r>
        <w:rPr>
          <w:rStyle w:val="VerbatimChar"/>
        </w:rPr>
        <w:t xml:space="preserve">    /// Accreditation is an interval, not a bit: authority is evaluated</w:t>
      </w:r>
      <w:r>
        <w:br/>
      </w:r>
      <w:r>
        <w:rPr>
          <w:rStyle w:val="VerbatimChar"/>
        </w:rPr>
        <w:t xml:space="preserve">    /// at the time the event claims, against ledger-recorded validity</w:t>
      </w:r>
      <w:r>
        <w:br/>
      </w:r>
      <w:r>
        <w:rPr>
          <w:rStyle w:val="VerbatimChar"/>
        </w:rPr>
        <w:t xml:space="preserve">    /// (Section 8.5 succession; Section 9.4 pattern P2).</w:t>
      </w:r>
      <w:r>
        <w:br/>
      </w:r>
      <w:r>
        <w:rPr>
          <w:rStyle w:val="VerbatimChar"/>
        </w:rPr>
        <w:t xml:space="preserve">    function isAccredited(bytes32 roleDid, Role role, uint256 atTime)</w:t>
      </w:r>
      <w:r>
        <w:br/>
      </w:r>
      <w:r>
        <w:rPr>
          <w:rStyle w:val="VerbatimChar"/>
        </w:rPr>
        <w:t xml:space="preserve">        external view returns (bool);</w:t>
      </w:r>
      <w:r>
        <w:br/>
      </w:r>
      <w:r>
        <w:br/>
      </w:r>
      <w:r>
        <w:rPr>
          <w:rStyle w:val="VerbatimChar"/>
        </w:rPr>
        <w:t xml:space="preserve">    function inCalibration(bytes32 instrumentDid, uint256 atTime)</w:t>
      </w:r>
      <w:r>
        <w:br/>
      </w:r>
      <w:r>
        <w:rPr>
          <w:rStyle w:val="VerbatimChar"/>
        </w:rPr>
        <w:t xml:space="preserve">        external view returns (bool);</w:t>
      </w:r>
      <w:r>
        <w:br/>
      </w:r>
      <w:r>
        <w:br/>
      </w:r>
      <w:r>
        <w:rPr>
          <w:rStyle w:val="VerbatimChar"/>
        </w:rPr>
        <w:t xml:space="preserve">    /// Verifies `sig` over `digest` under the algorithm policy that the</w:t>
      </w:r>
      <w:r>
        <w:br/>
      </w:r>
      <w:r>
        <w:rPr>
          <w:rStyle w:val="VerbatimChar"/>
        </w:rPr>
        <w:t xml:space="preserve">    /// on-ledger policy register (Section 9.7) declares in force for</w:t>
      </w:r>
      <w:r>
        <w:br/>
      </w:r>
      <w:r>
        <w:rPr>
          <w:rStyle w:val="VerbatimChar"/>
        </w:rPr>
        <w:t xml:space="preserve">    /// this role at `atTime`. Hybrid-era policies require both classical</w:t>
      </w:r>
      <w:r>
        <w:br/>
      </w:r>
      <w:r>
        <w:rPr>
          <w:rStyle w:val="VerbatimChar"/>
        </w:rPr>
        <w:t xml:space="preserve">    /// and PQC components to verify.</w:t>
      </w:r>
      <w:r>
        <w:br/>
      </w:r>
      <w:r>
        <w:rPr>
          <w:rStyle w:val="VerbatimChar"/>
        </w:rPr>
        <w:t xml:space="preserve">    function verifyByPolicy(bytes32 roleDid, bytes calldata sig,</w:t>
      </w:r>
      <w:r>
        <w:br/>
      </w:r>
      <w:r>
        <w:rPr>
          <w:rStyle w:val="VerbatimChar"/>
        </w:rPr>
        <w:t xml:space="preserve">                            bytes32 digest, uint256 atTime)</w:t>
      </w:r>
      <w:r>
        <w:br/>
      </w:r>
      <w:r>
        <w:rPr>
          <w:rStyle w:val="VerbatimChar"/>
        </w:rPr>
        <w:t xml:space="preserve">        external view returns (bool);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d1d4e950b5a80268e21193b535faf272925cd9d"/>
    <w:p>
      <w:pPr>
        <w:pStyle w:val="Heading2"/>
      </w:pPr>
      <w:r>
        <w:t xml:space="preserve">A.5 Off-chain verifier sketch: Chapter 6, Steps 1–2</w:t>
      </w:r>
    </w:p>
    <w:p>
      <w:pPr>
        <w:pStyle w:val="FirstParagraph"/>
      </w:pPr>
      <w:r>
        <w:t xml:space="preserve">The downstream verifier is not a contract — it reads. The sketch below (Python-</w:t>
      </w:r>
      <w:r>
        <w:t xml:space="preserve"> </w:t>
      </w:r>
      <w:r>
        <w:t xml:space="preserve">style pseudocode) is the skeleton of the insurer’s client from Section 11.3-S3.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verify_asset_history(asset_did, headers, anchors, custody, policy):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"""Chapter 6, Steps 1-2: record authenticity + evidence-graph review.</w:t>
      </w:r>
      <w:r>
        <w:br/>
      </w:r>
      <w:r>
        <w:rPr>
          <w:rStyle w:val="CommentTok"/>
        </w:rPr>
        <w:t xml:space="preserve">    `headers`/`anchors` are consortium block headers and public-chain</w:t>
      </w:r>
      <w:r>
        <w:br/>
      </w:r>
      <w:r>
        <w:rPr>
          <w:rStyle w:val="CommentTok"/>
        </w:rPr>
        <w:t xml:space="preserve">    anchor receipts; `custody` fetches payloads; `policy` is the</w:t>
      </w:r>
      <w:r>
        <w:br/>
      </w:r>
      <w:r>
        <w:rPr>
          <w:rStyle w:val="CommentTok"/>
        </w:rPr>
        <w:t xml:space="preserve">    verifier's own acceptance policy (not the ledger's)."""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fetch_event_stream(asset_did)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1a: inclusion against anchored history (Section 2.2, 4.4)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merkle_included(ev, 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header_anchored(headers.block_of(ev), anchors)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1b: signatures under the algorithm policy at claimed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(Section 9.4 P2; pre-re-anchor eras trust the anchor chain P1)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verify_by_policy(ev.submitter, ev, 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ev.claimed_time)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ev.corroborations: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verify_by_policy(att.attestor, att, 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ev.claimed_time)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1c: payload digests against replicated custody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custody.fetch(ev.payload_refs)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canonical_digest(payload)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ev.payload_digest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evidence-graph review over the prior_refs DAG (Section 5.4)</w:t>
      </w:r>
      <w:r>
        <w:br/>
      </w:r>
      <w:r>
        <w:rPr>
          <w:rStyle w:val="NormalTok"/>
        </w:rPr>
        <w:t xml:space="preserve">   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build_dag(events)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dag.commissioning().corroboration_class()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policy.min_class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inspection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dag.condition_chain():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instrument_in_calibration(inspection)      </w:t>
      </w:r>
      <w:r>
        <w:rPr>
          <w:rStyle w:val="CommentTok"/>
        </w:rPr>
        <w:t xml:space="preserve"># recursion: Rule 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plausible_evolution(inspection, dag)       </w:t>
      </w:r>
      <w:r>
        <w:rPr>
          <w:rStyle w:val="CommentTok"/>
        </w:rPr>
        <w:t xml:space="preserve"># R5, Section 6.4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cadence_within_cohort(events, policy.cohort_baseline)  </w:t>
      </w:r>
      <w:r>
        <w:rPr>
          <w:rStyle w:val="CommentTok"/>
        </w:rPr>
        <w:t xml:space="preserve"># Section 5.7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Verdict(pass_remote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residuals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"enrollment substitution (F2)"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"unrecorded events (Section 5.7)"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residuals</w:t>
      </w:r>
      <w:r>
        <w:t xml:space="preserve"> </w:t>
      </w:r>
      <w:r>
        <w:t xml:space="preserve">line is not decoration; it is the appendix’s restatement of the</w:t>
      </w:r>
      <w:r>
        <w:t xml:space="preserve"> </w:t>
      </w:r>
      <w:r>
        <w:t xml:space="preserve">book’s discipline. A verifier that returns only a boolean has hidden its</w:t>
      </w:r>
      <w:r>
        <w:t xml:space="preserve"> </w:t>
      </w:r>
      <w:r>
        <w:t xml:space="preserve">assumptions; a verifier that names what it could not check (Section 6.6, Step 4)</w:t>
      </w:r>
      <w:r>
        <w:t xml:space="preserve"> </w:t>
      </w:r>
      <w:r>
        <w:t xml:space="preserve">is the one an underwriter can price against.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