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dex"/>
    <w:p>
      <w:pPr>
        <w:pStyle w:val="Heading1"/>
      </w:pPr>
      <w:r>
        <w:t xml:space="preserve">Index</w:t>
      </w:r>
    </w:p>
    <w:p>
      <w:pPr>
        <w:pStyle w:val="FirstParagraph"/>
      </w:pPr>
      <w:r>
        <w:rPr>
          <w:iCs/>
          <w:i/>
        </w:rPr>
        <w:t xml:space="preserve">The index will be compiled at page-proof stage against final pagination,</w:t>
      </w:r>
      <w:r>
        <w:rPr>
          <w:iCs/>
          <w:i/>
        </w:rPr>
        <w:t xml:space="preserve"> </w:t>
      </w:r>
      <w:r>
        <w:rPr>
          <w:iCs/>
          <w:i/>
        </w:rPr>
        <w:t xml:space="preserve">following CRC house style. The controlled term list below is the author’s</w:t>
      </w:r>
      <w:r>
        <w:rPr>
          <w:iCs/>
          <w:i/>
        </w:rPr>
        <w:t xml:space="preserve"> </w:t>
      </w:r>
      <w:r>
        <w:rPr>
          <w:iCs/>
          <w:i/>
        </w:rPr>
        <w:t xml:space="preserve">indexing vocabulary; sub-entries are indicated with em-dashes. Locators shown</w:t>
      </w:r>
      <w:r>
        <w:rPr>
          <w:iCs/>
          <w:i/>
        </w:rPr>
        <w:t xml:space="preserve"> </w:t>
      </w:r>
      <w:r>
        <w:rPr>
          <w:iCs/>
          <w:i/>
        </w:rPr>
        <w:t xml:space="preserve">are chapter/section references for the indexer’s orientation.</w:t>
      </w:r>
    </w:p>
    <w:p>
      <w:pPr>
        <w:pStyle w:val="BodyText"/>
      </w:pPr>
      <w:r>
        <w:rPr>
          <w:bCs/>
          <w:b/>
        </w:rPr>
        <w:t xml:space="preserve">active binding</w:t>
      </w:r>
      <w:r>
        <w:t xml:space="preserve"> </w:t>
      </w:r>
      <w:r>
        <w:t xml:space="preserve">— 3.3; applicability by asset class, 3.3; inverters, 11.1</w:t>
      </w:r>
      <w:r>
        <w:t xml:space="preserve"> </w:t>
      </w:r>
      <w:r>
        <w:rPr>
          <w:bCs/>
          <w:b/>
        </w:rPr>
        <w:t xml:space="preserve">adverse selection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see</w:t>
      </w:r>
      <w:r>
        <w:t xml:space="preserve"> </w:t>
      </w:r>
      <w:r>
        <w:t xml:space="preserve">lemons problem</w:t>
      </w:r>
      <w:r>
        <w:t xml:space="preserve"> </w:t>
      </w:r>
      <w:r>
        <w:rPr>
          <w:bCs/>
          <w:b/>
        </w:rPr>
        <w:t xml:space="preserve">Akerlof, G.</w:t>
      </w:r>
      <w:r>
        <w:t xml:space="preserve"> </w:t>
      </w:r>
      <w:r>
        <w:t xml:space="preserve">— 1.4.4, 13.1</w:t>
      </w:r>
      <w:r>
        <w:t xml:space="preserve"> </w:t>
      </w:r>
      <w:r>
        <w:rPr>
          <w:bCs/>
          <w:b/>
        </w:rPr>
        <w:t xml:space="preserve">algorithm policy register</w:t>
      </w:r>
      <w:r>
        <w:t xml:space="preserve"> </w:t>
      </w:r>
      <w:r>
        <w:t xml:space="preserve">— 9.7, A.4</w:t>
      </w:r>
      <w:r>
        <w:t xml:space="preserve"> </w:t>
      </w:r>
      <w:r>
        <w:rPr>
          <w:bCs/>
          <w:b/>
        </w:rPr>
        <w:t xml:space="preserve">anchoring, public-chain</w:t>
      </w:r>
      <w:r>
        <w:t xml:space="preserve"> </w:t>
      </w:r>
      <w:r>
        <w:t xml:space="preserve">— 4.4; cost, 7.6; evidentiary standing, 11.3, 11.5</w:t>
      </w:r>
      <w:r>
        <w:t xml:space="preserve"> </w:t>
      </w:r>
      <w:r>
        <w:rPr>
          <w:bCs/>
          <w:b/>
        </w:rPr>
        <w:t xml:space="preserve">asset identity, four properties of</w:t>
      </w:r>
      <w:r>
        <w:t xml:space="preserve"> </w:t>
      </w:r>
      <w:r>
        <w:t xml:space="preserve">— 1.2; scored against mechanisms, 1.5</w:t>
      </w:r>
      <w:r>
        <w:t xml:space="preserve"> </w:t>
      </w:r>
      <w:r>
        <w:rPr>
          <w:bCs/>
          <w:b/>
        </w:rPr>
        <w:t xml:space="preserve">attack families F1–F12</w:t>
      </w:r>
      <w:r>
        <w:t xml:space="preserve"> </w:t>
      </w:r>
      <w:r>
        <w:t xml:space="preserve">— 8.2–8.5, 12.4</w:t>
      </w:r>
      <w:r>
        <w:t xml:space="preserve"> </w:t>
      </w:r>
      <w:r>
        <w:rPr>
          <w:bCs/>
          <w:b/>
        </w:rPr>
        <w:t xml:space="preserve">batching, Merkle</w:t>
      </w:r>
      <w:r>
        <w:t xml:space="preserve"> </w:t>
      </w:r>
      <w:r>
        <w:t xml:space="preserve">— 7.2; registration bursts, 7.2, 11.3</w:t>
      </w:r>
      <w:r>
        <w:t xml:space="preserve"> </w:t>
      </w:r>
      <w:r>
        <w:rPr>
          <w:bCs/>
          <w:b/>
        </w:rPr>
        <w:t xml:space="preserve">battery passport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see</w:t>
      </w:r>
      <w:r>
        <w:t xml:space="preserve"> </w:t>
      </w:r>
      <w:r>
        <w:t xml:space="preserve">digital product passport</w:t>
      </w:r>
      <w:r>
        <w:t xml:space="preserve"> </w:t>
      </w:r>
      <w:r>
        <w:rPr>
          <w:bCs/>
          <w:b/>
        </w:rPr>
        <w:t xml:space="preserve">battery second life</w:t>
      </w:r>
      <w:r>
        <w:t xml:space="preserve"> </w:t>
      </w:r>
      <w:r>
        <w:t xml:space="preserve">— 12.2; repurposing events, 12.2</w:t>
      </w:r>
      <w:r>
        <w:t xml:space="preserve"> </w:t>
      </w:r>
      <w:r>
        <w:rPr>
          <w:bCs/>
          <w:b/>
        </w:rPr>
        <w:t xml:space="preserve">BFT consensus</w:t>
      </w:r>
      <w:r>
        <w:t xml:space="preserve"> </w:t>
      </w:r>
      <w:r>
        <w:t xml:space="preserve">— 2.3; committee sizing, 7.5</w:t>
      </w:r>
      <w:r>
        <w:t xml:space="preserve"> </w:t>
      </w:r>
      <w:r>
        <w:rPr>
          <w:bCs/>
          <w:b/>
        </w:rPr>
        <w:t xml:space="preserve">bindability</w:t>
      </w:r>
      <w:r>
        <w:t xml:space="preserve"> </w:t>
      </w:r>
      <w:r>
        <w:t xml:space="preserve">— 1.2;</w:t>
      </w:r>
      <w:r>
        <w:t xml:space="preserve"> </w:t>
      </w:r>
      <w:r>
        <w:rPr>
          <w:iCs/>
          <w:i/>
        </w:rPr>
        <w:t xml:space="preserve">see also</w:t>
      </w:r>
      <w:r>
        <w:t xml:space="preserve"> </w:t>
      </w:r>
      <w:r>
        <w:t xml:space="preserve">active binding; passive binding</w:t>
      </w:r>
      <w:r>
        <w:t xml:space="preserve"> </w:t>
      </w:r>
      <w:r>
        <w:rPr>
          <w:bCs/>
          <w:b/>
        </w:rPr>
        <w:t xml:space="preserve">biometric formalism (FA/FR)</w:t>
      </w:r>
      <w:r>
        <w:t xml:space="preserve"> </w:t>
      </w:r>
      <w:r>
        <w:t xml:space="preserve">— 3.4, 6.3, 14.1</w:t>
      </w:r>
      <w:r>
        <w:t xml:space="preserve"> </w:t>
      </w:r>
      <w:r>
        <w:rPr>
          <w:bCs/>
          <w:b/>
        </w:rPr>
        <w:t xml:space="preserve">canonical serialization</w:t>
      </w:r>
      <w:r>
        <w:t xml:space="preserve"> </w:t>
      </w:r>
      <w:r>
        <w:t xml:space="preserve">— 2.2, 4.2, A.1</w:t>
      </w:r>
      <w:r>
        <w:t xml:space="preserve"> </w:t>
      </w:r>
      <w:r>
        <w:rPr>
          <w:bCs/>
          <w:b/>
        </w:rPr>
        <w:t xml:space="preserve">cell-level identity (batteries)</w:t>
      </w:r>
      <w:r>
        <w:t xml:space="preserve"> </w:t>
      </w:r>
      <w:r>
        <w:t xml:space="preserve">— 12.2, 14.1</w:t>
      </w:r>
      <w:r>
        <w:t xml:space="preserve"> </w:t>
      </w:r>
      <w:r>
        <w:rPr>
          <w:bCs/>
          <w:b/>
        </w:rPr>
        <w:t xml:space="preserve">challenge-parameterized measurement</w:t>
      </w:r>
      <w:r>
        <w:t xml:space="preserve"> </w:t>
      </w:r>
      <w:r>
        <w:t xml:space="preserve">— 6.4; replica defense, 8.3</w:t>
      </w:r>
      <w:r>
        <w:t xml:space="preserve"> </w:t>
      </w:r>
      <w:r>
        <w:rPr>
          <w:bCs/>
          <w:b/>
        </w:rPr>
        <w:t xml:space="preserve">claimed time vs. ledger time</w:t>
      </w:r>
      <w:r>
        <w:t xml:space="preserve"> </w:t>
      </w:r>
      <w:r>
        <w:t xml:space="preserve">— 5.1, 5.4, A.3</w:t>
      </w:r>
      <w:r>
        <w:t xml:space="preserve"> </w:t>
      </w:r>
      <w:r>
        <w:rPr>
          <w:bCs/>
          <w:b/>
        </w:rPr>
        <w:t xml:space="preserve">cloning attacks</w:t>
      </w:r>
      <w:r>
        <w:t xml:space="preserve"> </w:t>
      </w:r>
      <w:r>
        <w:t xml:space="preserve">— 8.3</w:t>
      </w:r>
      <w:r>
        <w:t xml:space="preserve"> </w:t>
      </w:r>
      <w:r>
        <w:rPr>
          <w:bCs/>
          <w:b/>
        </w:rPr>
        <w:t xml:space="preserve">cohort analytics</w:t>
      </w:r>
      <w:r>
        <w:t xml:space="preserve"> </w:t>
      </w:r>
      <w:r>
        <w:t xml:space="preserve">— 8.4; monitor, 11.2</w:t>
      </w:r>
      <w:r>
        <w:t xml:space="preserve"> </w:t>
      </w:r>
      <w:r>
        <w:rPr>
          <w:bCs/>
          <w:b/>
        </w:rPr>
        <w:t xml:space="preserve">commissioning</w:t>
      </w:r>
      <w:r>
        <w:t xml:space="preserve"> </w:t>
      </w:r>
      <w:r>
        <w:t xml:space="preserve">— event schema, 5.3; enforcement, 5.5, A.3; pilot, 11.3</w:t>
      </w:r>
      <w:r>
        <w:t xml:space="preserve"> </w:t>
      </w:r>
      <w:r>
        <w:rPr>
          <w:bCs/>
          <w:b/>
        </w:rPr>
        <w:t xml:space="preserve">completeness problem</w:t>
      </w:r>
      <w:r>
        <w:t xml:space="preserve"> </w:t>
      </w:r>
      <w:r>
        <w:t xml:space="preserve">— 5.7; pilot instance, 11.3; SLA pricing, 13.6</w:t>
      </w:r>
      <w:r>
        <w:t xml:space="preserve"> </w:t>
      </w:r>
      <w:r>
        <w:rPr>
          <w:bCs/>
          <w:b/>
        </w:rPr>
        <w:t xml:space="preserve">consensus mechanisms</w:t>
      </w:r>
      <w:r>
        <w:t xml:space="preserve"> </w:t>
      </w:r>
      <w:r>
        <w:t xml:space="preserve">— 2.3; compared, Table 2.1</w:t>
      </w:r>
      <w:r>
        <w:t xml:space="preserve"> </w:t>
      </w:r>
      <w:r>
        <w:rPr>
          <w:bCs/>
          <w:b/>
        </w:rPr>
        <w:t xml:space="preserve">consortium governance</w:t>
      </w:r>
      <w:r>
        <w:t xml:space="preserve"> </w:t>
      </w:r>
      <w:r>
        <w:t xml:space="preserve">— 10.3; as deployed, 11.6</w:t>
      </w:r>
      <w:r>
        <w:t xml:space="preserve"> </w:t>
      </w:r>
      <w:r>
        <w:rPr>
          <w:bCs/>
          <w:b/>
        </w:rPr>
        <w:t xml:space="preserve">corroboration classes</w:t>
      </w:r>
      <w:r>
        <w:t xml:space="preserve"> </w:t>
      </w:r>
      <w:r>
        <w:t xml:space="preserve">— 4.5, 5.3</w:t>
      </w:r>
      <w:r>
        <w:t xml:space="preserve"> </w:t>
      </w:r>
      <w:r>
        <w:rPr>
          <w:bCs/>
          <w:b/>
        </w:rPr>
        <w:t xml:space="preserve">counterfeiting</w:t>
      </w:r>
      <w:r>
        <w:t xml:space="preserve"> </w:t>
      </w:r>
      <w:r>
        <w:t xml:space="preserve">— 1.4.1; as identity attack, 1.4.1, 8.3</w:t>
      </w:r>
      <w:r>
        <w:t xml:space="preserve"> </w:t>
      </w:r>
      <w:r>
        <w:rPr>
          <w:bCs/>
          <w:b/>
        </w:rPr>
        <w:t xml:space="preserve">custody vs. ownership</w:t>
      </w:r>
      <w:r>
        <w:t xml:space="preserve"> </w:t>
      </w:r>
      <w:r>
        <w:t xml:space="preserve">— 5.2</w:t>
      </w:r>
      <w:r>
        <w:t xml:space="preserve"> </w:t>
      </w:r>
      <w:r>
        <w:rPr>
          <w:bCs/>
          <w:b/>
        </w:rPr>
        <w:t xml:space="preserve">decentralized identifiers (DIDs)</w:t>
      </w:r>
      <w:r>
        <w:t xml:space="preserve"> </w:t>
      </w:r>
      <w:r>
        <w:t xml:space="preserve">— 3.5; succession, 3.5, 14.2</w:t>
      </w:r>
      <w:r>
        <w:t xml:space="preserve"> </w:t>
      </w:r>
      <w:r>
        <w:rPr>
          <w:bCs/>
          <w:b/>
        </w:rPr>
        <w:t xml:space="preserve">defect map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see</w:t>
      </w:r>
      <w:r>
        <w:t xml:space="preserve"> </w:t>
      </w:r>
      <w:r>
        <w:t xml:space="preserve">structural defect mapping</w:t>
      </w:r>
      <w:r>
        <w:t xml:space="preserve"> </w:t>
      </w:r>
      <w:r>
        <w:rPr>
          <w:bCs/>
          <w:b/>
        </w:rPr>
        <w:t xml:space="preserve">structural defect mapping</w:t>
      </w:r>
      <w:r>
        <w:t xml:space="preserve"> </w:t>
      </w:r>
      <w:r>
        <w:t xml:space="preserve">— 6.0–6.10; patent-pending binding, 6.4–6.6, 6.9; pilot walkthrough, 11</w:t>
      </w:r>
      <w:r>
        <w:t xml:space="preserve"> </w:t>
      </w:r>
      <w:r>
        <w:rPr>
          <w:bCs/>
          <w:b/>
        </w:rPr>
        <w:t xml:space="preserve">digital product passport</w:t>
      </w:r>
      <w:r>
        <w:t xml:space="preserve"> </w:t>
      </w:r>
      <w:r>
        <w:t xml:space="preserve">— 10.4, 12.2, 14.4; verifiability gap, 12.2, B.3</w:t>
      </w:r>
      <w:r>
        <w:t xml:space="preserve"> </w:t>
      </w:r>
      <w:r>
        <w:rPr>
          <w:bCs/>
          <w:b/>
        </w:rPr>
        <w:t xml:space="preserve">digital twin</w:t>
      </w:r>
      <w:r>
        <w:t xml:space="preserve"> </w:t>
      </w:r>
      <w:r>
        <w:t xml:space="preserve">— versus evidential record, 3.2</w:t>
      </w:r>
      <w:r>
        <w:t xml:space="preserve"> </w:t>
      </w:r>
      <w:r>
        <w:rPr>
          <w:bCs/>
          <w:b/>
        </w:rPr>
        <w:t xml:space="preserve">dispute events</w:t>
      </w:r>
      <w:r>
        <w:t xml:space="preserve"> </w:t>
      </w:r>
      <w:r>
        <w:t xml:space="preserve">— 5.3; adjudication rehearsal, 11.3</w:t>
      </w:r>
      <w:r>
        <w:t xml:space="preserve"> </w:t>
      </w:r>
      <w:r>
        <w:rPr>
          <w:bCs/>
          <w:b/>
        </w:rPr>
        <w:t xml:space="preserve">electroluminescence (EL) imaging</w:t>
      </w:r>
      <w:r>
        <w:t xml:space="preserve"> </w:t>
      </w:r>
      <w:r>
        <w:t xml:space="preserve">— 3.4, 6.2; as routine tier, 6.7</w:t>
      </w:r>
      <w:r>
        <w:t xml:space="preserve"> </w:t>
      </w:r>
      <w:r>
        <w:rPr>
          <w:bCs/>
          <w:b/>
        </w:rPr>
        <w:t xml:space="preserve">enrollment</w:t>
      </w:r>
      <w:r>
        <w:t xml:space="preserve"> </w:t>
      </w:r>
      <w:r>
        <w:t xml:space="preserve">— 4.3; substitution attack, 8.3; economics, 11.5</w:t>
      </w:r>
      <w:r>
        <w:t xml:space="preserve"> </w:t>
      </w:r>
      <w:r>
        <w:rPr>
          <w:bCs/>
          <w:b/>
        </w:rPr>
        <w:t xml:space="preserve">envelope schema</w:t>
      </w:r>
      <w:r>
        <w:t xml:space="preserve"> </w:t>
      </w:r>
      <w:r>
        <w:t xml:space="preserve">— 5.4, A.1</w:t>
      </w:r>
      <w:r>
        <w:t xml:space="preserve"> </w:t>
      </w:r>
      <w:r>
        <w:rPr>
          <w:bCs/>
          <w:b/>
        </w:rPr>
        <w:t xml:space="preserve">evidence DAG</w:t>
      </w:r>
      <w:r>
        <w:t xml:space="preserve"> </w:t>
      </w:r>
      <w:r>
        <w:t xml:space="preserve">— 5.4; verification traversal, 6.6, A.5</w:t>
      </w:r>
      <w:r>
        <w:t xml:space="preserve"> </w:t>
      </w:r>
      <w:r>
        <w:rPr>
          <w:bCs/>
          <w:b/>
        </w:rPr>
        <w:t xml:space="preserve">federation (jurisdictional)</w:t>
      </w:r>
      <w:r>
        <w:t xml:space="preserve"> </w:t>
      </w:r>
      <w:r>
        <w:t xml:space="preserve">— 7.4, 10.4, 12.5</w:t>
      </w:r>
      <w:r>
        <w:t xml:space="preserve"> </w:t>
      </w:r>
      <w:r>
        <w:rPr>
          <w:bCs/>
          <w:b/>
        </w:rPr>
        <w:t xml:space="preserve">fingerprint template</w:t>
      </w:r>
      <w:r>
        <w:t xml:space="preserve"> </w:t>
      </w:r>
      <w:r>
        <w:t xml:space="preserve">— 6.3; standardization gap, 14.3</w:t>
      </w:r>
      <w:r>
        <w:t xml:space="preserve"> </w:t>
      </w:r>
      <w:r>
        <w:rPr>
          <w:bCs/>
          <w:b/>
        </w:rPr>
        <w:t xml:space="preserve">garbage-in permanence</w:t>
      </w:r>
      <w:r>
        <w:t xml:space="preserve"> </w:t>
      </w:r>
      <w:r>
        <w:t xml:space="preserve">— 1.5, 2.1, 4.5</w:t>
      </w:r>
      <w:r>
        <w:t xml:space="preserve"> </w:t>
      </w:r>
      <w:r>
        <w:rPr>
          <w:bCs/>
          <w:b/>
        </w:rPr>
        <w:t xml:space="preserve">GDPR</w:t>
      </w:r>
      <w:r>
        <w:t xml:space="preserve"> </w:t>
      </w:r>
      <w:r>
        <w:t xml:space="preserve">— 10.1–10.2</w:t>
      </w:r>
      <w:r>
        <w:t xml:space="preserve"> </w:t>
      </w:r>
      <w:r>
        <w:rPr>
          <w:bCs/>
          <w:b/>
        </w:rPr>
        <w:t xml:space="preserve">ghost-shift production</w:t>
      </w:r>
      <w:r>
        <w:t xml:space="preserve"> </w:t>
      </w:r>
      <w:r>
        <w:t xml:space="preserve">— 1.4.1, 4.3</w:t>
      </w:r>
      <w:r>
        <w:t xml:space="preserve"> </w:t>
      </w:r>
      <w:r>
        <w:rPr>
          <w:bCs/>
          <w:b/>
        </w:rPr>
        <w:t xml:space="preserve">governance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see</w:t>
      </w:r>
      <w:r>
        <w:t xml:space="preserve"> </w:t>
      </w:r>
      <w:r>
        <w:t xml:space="preserve">consortium governance</w:t>
      </w:r>
      <w:r>
        <w:t xml:space="preserve"> </w:t>
      </w:r>
      <w:r>
        <w:rPr>
          <w:bCs/>
          <w:b/>
        </w:rPr>
        <w:t xml:space="preserve">grid codes</w:t>
      </w:r>
      <w:r>
        <w:t xml:space="preserve"> </w:t>
      </w:r>
      <w:r>
        <w:t xml:space="preserve">— 10.4, 12.4</w:t>
      </w:r>
      <w:r>
        <w:t xml:space="preserve"> </w:t>
      </w:r>
      <w:r>
        <w:rPr>
          <w:bCs/>
          <w:b/>
        </w:rPr>
        <w:t xml:space="preserve">hardware root of trust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see</w:t>
      </w:r>
      <w:r>
        <w:t xml:space="preserve"> </w:t>
      </w:r>
      <w:r>
        <w:t xml:space="preserve">secure element</w:t>
      </w:r>
      <w:r>
        <w:t xml:space="preserve"> </w:t>
      </w:r>
      <w:r>
        <w:rPr>
          <w:bCs/>
          <w:b/>
        </w:rPr>
        <w:t xml:space="preserve">hash functions</w:t>
      </w:r>
      <w:r>
        <w:t xml:space="preserve"> </w:t>
      </w:r>
      <w:r>
        <w:t xml:space="preserve">— 2.2; quantum exposure, 9.1</w:t>
      </w:r>
      <w:r>
        <w:t xml:space="preserve"> </w:t>
      </w:r>
      <w:r>
        <w:rPr>
          <w:bCs/>
          <w:b/>
        </w:rPr>
        <w:t xml:space="preserve">identity laundering</w:t>
      </w:r>
      <w:r>
        <w:t xml:space="preserve"> </w:t>
      </w:r>
      <w:r>
        <w:t xml:space="preserve">— 8.3; resurrection detection, 8.3</w:t>
      </w:r>
      <w:r>
        <w:t xml:space="preserve"> </w:t>
      </w:r>
      <w:r>
        <w:rPr>
          <w:bCs/>
          <w:b/>
        </w:rPr>
        <w:t xml:space="preserve">instruments as assets</w:t>
      </w:r>
      <w:r>
        <w:t xml:space="preserve"> </w:t>
      </w:r>
      <w:r>
        <w:t xml:space="preserve">— 4.5; operations burden, 11.5</w:t>
      </w:r>
      <w:r>
        <w:t xml:space="preserve"> </w:t>
      </w:r>
      <w:r>
        <w:rPr>
          <w:bCs/>
          <w:b/>
        </w:rPr>
        <w:t xml:space="preserve">insurance</w:t>
      </w:r>
      <w:r>
        <w:t xml:space="preserve"> </w:t>
      </w:r>
      <w:r>
        <w:t xml:space="preserve">— underwriting, 13.3; verification workflow, 11.3</w:t>
      </w:r>
      <w:r>
        <w:t xml:space="preserve"> </w:t>
      </w:r>
      <w:r>
        <w:rPr>
          <w:bCs/>
          <w:b/>
        </w:rPr>
        <w:t xml:space="preserve">lemons problem</w:t>
      </w:r>
      <w:r>
        <w:t xml:space="preserve"> </w:t>
      </w:r>
      <w:r>
        <w:t xml:space="preserve">— 1.4.4, 13.1–13.2</w:t>
      </w:r>
      <w:r>
        <w:t xml:space="preserve"> </w:t>
      </w:r>
      <w:r>
        <w:rPr>
          <w:bCs/>
          <w:b/>
        </w:rPr>
        <w:t xml:space="preserve">lifecycle state machine</w:t>
      </w:r>
      <w:r>
        <w:t xml:space="preserve"> </w:t>
      </w:r>
      <w:r>
        <w:t xml:space="preserve">— 5.2; battery extension, 12.1; contract, A.3</w:t>
      </w:r>
      <w:r>
        <w:t xml:space="preserve"> </w:t>
      </w:r>
      <w:r>
        <w:rPr>
          <w:bCs/>
          <w:b/>
        </w:rPr>
        <w:t xml:space="preserve">Merkle tree</w:t>
      </w:r>
      <w:r>
        <w:t xml:space="preserve"> </w:t>
      </w:r>
      <w:r>
        <w:t xml:space="preserve">— 2.2; inclusion proofs, 2.2, 7.3</w:t>
      </w:r>
      <w:r>
        <w:t xml:space="preserve"> </w:t>
      </w:r>
      <w:r>
        <w:rPr>
          <w:bCs/>
          <w:b/>
        </w:rPr>
        <w:t xml:space="preserve">Mosca’s inequality</w:t>
      </w:r>
      <w:r>
        <w:t xml:space="preserve"> </w:t>
      </w:r>
      <w:r>
        <w:t xml:space="preserve">— 9.2</w:t>
      </w:r>
      <w:r>
        <w:t xml:space="preserve"> </w:t>
      </w:r>
      <w:r>
        <w:rPr>
          <w:bCs/>
          <w:b/>
        </w:rPr>
        <w:t xml:space="preserve">NV magnetometry</w:t>
      </w:r>
      <w:r>
        <w:t xml:space="preserve"> </w:t>
      </w:r>
      <w:r>
        <w:t xml:space="preserve">— 6.2; maturity, 6.2, 14.1</w:t>
      </w:r>
      <w:r>
        <w:t xml:space="preserve"> </w:t>
      </w:r>
      <w:r>
        <w:rPr>
          <w:bCs/>
          <w:b/>
        </w:rPr>
        <w:t xml:space="preserve">oracle problem</w:t>
      </w:r>
      <w:r>
        <w:t xml:space="preserve"> </w:t>
      </w:r>
      <w:r>
        <w:t xml:space="preserve">— 2.5, 4.5; attacks, 8.4</w:t>
      </w:r>
      <w:r>
        <w:t xml:space="preserve"> </w:t>
      </w:r>
      <w:r>
        <w:rPr>
          <w:bCs/>
          <w:b/>
        </w:rPr>
        <w:t xml:space="preserve">passive binding</w:t>
      </w:r>
      <w:r>
        <w:t xml:space="preserve"> </w:t>
      </w:r>
      <w:r>
        <w:t xml:space="preserve">— 3.4; requirements R1–R6, 6.5</w:t>
      </w:r>
      <w:r>
        <w:t xml:space="preserve"> </w:t>
      </w:r>
      <w:r>
        <w:rPr>
          <w:bCs/>
          <w:b/>
        </w:rPr>
        <w:t xml:space="preserve">patent application (author’s)</w:t>
      </w:r>
      <w:r>
        <w:t xml:space="preserve"> </w:t>
      </w:r>
      <w:r>
        <w:t xml:space="preserve">— Preface, 6.4, 11</w:t>
      </w:r>
      <w:r>
        <w:t xml:space="preserve"> </w:t>
      </w:r>
      <w:r>
        <w:rPr>
          <w:bCs/>
          <w:b/>
        </w:rPr>
        <w:t xml:space="preserve">persistence</w:t>
      </w:r>
      <w:r>
        <w:t xml:space="preserve"> </w:t>
      </w:r>
      <w:r>
        <w:t xml:space="preserve">— 1.2; institutional lifetimes, 1.3</w:t>
      </w:r>
      <w:r>
        <w:t xml:space="preserve"> </w:t>
      </w:r>
      <w:r>
        <w:rPr>
          <w:bCs/>
          <w:b/>
        </w:rPr>
        <w:t xml:space="preserve">physically unclonable function (PUF)</w:t>
      </w:r>
      <w:r>
        <w:t xml:space="preserve"> </w:t>
      </w:r>
      <w:r>
        <w:t xml:space="preserve">— 3.3, B.2</w:t>
      </w:r>
      <w:r>
        <w:t xml:space="preserve"> </w:t>
      </w:r>
      <w:r>
        <w:rPr>
          <w:bCs/>
          <w:b/>
        </w:rPr>
        <w:t xml:space="preserve">post-quantum cryptography</w:t>
      </w:r>
      <w:r>
        <w:t xml:space="preserve"> </w:t>
      </w:r>
      <w:r>
        <w:t xml:space="preserve">— Ch. 9; algorithm selection, 9.3; migration patterns P1–P4, 9.4</w:t>
      </w:r>
      <w:r>
        <w:t xml:space="preserve"> </w:t>
      </w:r>
      <w:r>
        <w:rPr>
          <w:bCs/>
          <w:b/>
        </w:rPr>
        <w:t xml:space="preserve">privacy zones</w:t>
      </w:r>
      <w:r>
        <w:t xml:space="preserve"> </w:t>
      </w:r>
      <w:r>
        <w:t xml:space="preserve">— 10.2, 11.2</w:t>
      </w:r>
      <w:r>
        <w:t xml:space="preserve"> </w:t>
      </w:r>
      <w:r>
        <w:rPr>
          <w:bCs/>
          <w:b/>
        </w:rPr>
        <w:t xml:space="preserve">proof of retrievability</w:t>
      </w:r>
      <w:r>
        <w:t xml:space="preserve"> </w:t>
      </w:r>
      <w:r>
        <w:t xml:space="preserve">— 4.2, A.2</w:t>
      </w:r>
      <w:r>
        <w:t xml:space="preserve"> </w:t>
      </w:r>
      <w:r>
        <w:rPr>
          <w:bCs/>
          <w:b/>
        </w:rPr>
        <w:t xml:space="preserve">proof of stake / proof of work</w:t>
      </w:r>
      <w:r>
        <w:t xml:space="preserve"> </w:t>
      </w:r>
      <w:r>
        <w:t xml:space="preserve">— 2.3</w:t>
      </w:r>
      <w:r>
        <w:t xml:space="preserve"> </w:t>
      </w:r>
      <w:r>
        <w:rPr>
          <w:bCs/>
          <w:b/>
        </w:rPr>
        <w:t xml:space="preserve">re-anchoring</w:t>
      </w:r>
      <w:r>
        <w:t xml:space="preserve"> </w:t>
      </w:r>
      <w:r>
        <w:t xml:space="preserve">— 9.4; pilot exercise, 11.5</w:t>
      </w:r>
      <w:r>
        <w:t xml:space="preserve"> </w:t>
      </w:r>
      <w:r>
        <w:rPr>
          <w:bCs/>
          <w:b/>
        </w:rPr>
        <w:t xml:space="preserve">registrar</w:t>
      </w:r>
      <w:r>
        <w:t xml:space="preserve"> </w:t>
      </w:r>
      <w:r>
        <w:t xml:space="preserve">— 4.3; corruption, 8.5; accreditation contract, A.4</w:t>
      </w:r>
      <w:r>
        <w:t xml:space="preserve"> </w:t>
      </w:r>
      <w:r>
        <w:rPr>
          <w:bCs/>
          <w:b/>
        </w:rPr>
        <w:t xml:space="preserve">regulatory interfaces</w:t>
      </w:r>
      <w:r>
        <w:t xml:space="preserve"> </w:t>
      </w:r>
      <w:r>
        <w:t xml:space="preserve">— 10.4, B.3</w:t>
      </w:r>
      <w:r>
        <w:t xml:space="preserve"> </w:t>
      </w:r>
      <w:r>
        <w:rPr>
          <w:bCs/>
          <w:b/>
        </w:rPr>
        <w:t xml:space="preserve">renewable energy certificates</w:t>
      </w:r>
      <w:r>
        <w:t xml:space="preserve"> </w:t>
      </w:r>
      <w:r>
        <w:t xml:space="preserve">— 10.4, 13.5</w:t>
      </w:r>
      <w:r>
        <w:t xml:space="preserve"> </w:t>
      </w:r>
      <w:r>
        <w:rPr>
          <w:bCs/>
          <w:b/>
        </w:rPr>
        <w:t xml:space="preserve">retroactive registration</w:t>
      </w:r>
      <w:r>
        <w:t xml:space="preserve"> </w:t>
      </w:r>
      <w:r>
        <w:t xml:space="preserve">— 4.3; provenance discount, 8.3, 13.6</w:t>
      </w:r>
      <w:r>
        <w:t xml:space="preserve"> </w:t>
      </w:r>
      <w:r>
        <w:rPr>
          <w:bCs/>
          <w:b/>
        </w:rPr>
        <w:t xml:space="preserve">rollups</w:t>
      </w:r>
      <w:r>
        <w:t xml:space="preserve"> </w:t>
      </w:r>
      <w:r>
        <w:t xml:space="preserve">— 7.4; post-quantum caveat, 9.1, 14.2</w:t>
      </w:r>
      <w:r>
        <w:t xml:space="preserve"> </w:t>
      </w:r>
      <w:r>
        <w:rPr>
          <w:bCs/>
          <w:b/>
        </w:rPr>
        <w:t xml:space="preserve">sampling design, pre-committed</w:t>
      </w:r>
      <w:r>
        <w:t xml:space="preserve"> </w:t>
      </w:r>
      <w:r>
        <w:t xml:space="preserve">— 6.6, 8.3, 11.3</w:t>
      </w:r>
      <w:r>
        <w:t xml:space="preserve"> </w:t>
      </w:r>
      <w:r>
        <w:rPr>
          <w:bCs/>
          <w:b/>
        </w:rPr>
        <w:t xml:space="preserve">scene spoofing</w:t>
      </w:r>
      <w:r>
        <w:t xml:space="preserve"> </w:t>
      </w:r>
      <w:r>
        <w:t xml:space="preserve">— 8.4</w:t>
      </w:r>
      <w:r>
        <w:t xml:space="preserve"> </w:t>
      </w:r>
      <w:r>
        <w:rPr>
          <w:bCs/>
          <w:b/>
        </w:rPr>
        <w:t xml:space="preserve">secondary markets</w:t>
      </w:r>
      <w:r>
        <w:t xml:space="preserve"> </w:t>
      </w:r>
      <w:r>
        <w:t xml:space="preserve">— 1.4.4, 13.2</w:t>
      </w:r>
      <w:r>
        <w:t xml:space="preserve"> </w:t>
      </w:r>
      <w:r>
        <w:rPr>
          <w:bCs/>
          <w:b/>
        </w:rPr>
        <w:t xml:space="preserve">secure element</w:t>
      </w:r>
      <w:r>
        <w:t xml:space="preserve"> </w:t>
      </w:r>
      <w:r>
        <w:t xml:space="preserve">— 3.3; re-attestation, 9.4</w:t>
      </w:r>
      <w:r>
        <w:t xml:space="preserve"> </w:t>
      </w:r>
      <w:r>
        <w:rPr>
          <w:bCs/>
          <w:b/>
        </w:rPr>
        <w:t xml:space="preserve">sharding</w:t>
      </w:r>
      <w:r>
        <w:t xml:space="preserve"> </w:t>
      </w:r>
      <w:r>
        <w:t xml:space="preserve">— 7.4</w:t>
      </w:r>
      <w:r>
        <w:t xml:space="preserve"> </w:t>
      </w:r>
      <w:r>
        <w:rPr>
          <w:bCs/>
          <w:b/>
        </w:rPr>
        <w:t xml:space="preserve">sidechains</w:t>
      </w:r>
      <w:r>
        <w:t xml:space="preserve"> </w:t>
      </w:r>
      <w:r>
        <w:t xml:space="preserve">— 7.4</w:t>
      </w:r>
      <w:r>
        <w:t xml:space="preserve"> </w:t>
      </w:r>
      <w:r>
        <w:rPr>
          <w:bCs/>
          <w:b/>
        </w:rPr>
        <w:t xml:space="preserve">smart contracts</w:t>
      </w:r>
      <w:r>
        <w:t xml:space="preserve"> </w:t>
      </w:r>
      <w:r>
        <w:t xml:space="preserve">— 2.5; pilot suite, 11.4; listings, App. A</w:t>
      </w:r>
      <w:r>
        <w:t xml:space="preserve"> </w:t>
      </w:r>
      <w:r>
        <w:rPr>
          <w:bCs/>
          <w:b/>
        </w:rPr>
        <w:t xml:space="preserve">standardization gaps S1–S5</w:t>
      </w:r>
      <w:r>
        <w:t xml:space="preserve"> </w:t>
      </w:r>
      <w:r>
        <w:t xml:space="preserve">— 14.3</w:t>
      </w:r>
      <w:r>
        <w:t xml:space="preserve"> </w:t>
      </w:r>
      <w:r>
        <w:rPr>
          <w:bCs/>
          <w:b/>
        </w:rPr>
        <w:t xml:space="preserve">state growth</w:t>
      </w:r>
      <w:r>
        <w:t xml:space="preserve"> </w:t>
      </w:r>
      <w:r>
        <w:t xml:space="preserve">— 7.3</w:t>
      </w:r>
      <w:r>
        <w:t xml:space="preserve"> </w:t>
      </w:r>
      <w:r>
        <w:rPr>
          <w:bCs/>
          <w:b/>
        </w:rPr>
        <w:t xml:space="preserve">supersession</w:t>
      </w:r>
      <w:r>
        <w:t xml:space="preserve"> </w:t>
      </w:r>
      <w:r>
        <w:t xml:space="preserve">— 6.4, 9.4; glossary</w:t>
      </w:r>
      <w:r>
        <w:t xml:space="preserve"> </w:t>
      </w:r>
      <w:r>
        <w:rPr>
          <w:bCs/>
          <w:b/>
        </w:rPr>
        <w:t xml:space="preserve">threat model</w:t>
      </w:r>
      <w:r>
        <w:t xml:space="preserve"> </w:t>
      </w:r>
      <w:r>
        <w:t xml:space="preserve">— Ch. 8; adversaries A1–A5, 8.1</w:t>
      </w:r>
      <w:r>
        <w:t xml:space="preserve"> </w:t>
      </w:r>
      <w:r>
        <w:rPr>
          <w:bCs/>
          <w:b/>
        </w:rPr>
        <w:t xml:space="preserve">tiered assurance</w:t>
      </w:r>
      <w:r>
        <w:t xml:space="preserve"> </w:t>
      </w:r>
      <w:r>
        <w:t xml:space="preserve">— 3.6, 6.7; pilot tiering, 11.1</w:t>
      </w:r>
      <w:r>
        <w:t xml:space="preserve"> </w:t>
      </w:r>
      <w:r>
        <w:rPr>
          <w:bCs/>
          <w:b/>
        </w:rPr>
        <w:t xml:space="preserve">two-layer decomposition</w:t>
      </w:r>
      <w:r>
        <w:t xml:space="preserve"> </w:t>
      </w:r>
      <w:r>
        <w:t xml:space="preserve">— 6.3; versioning lesson, 11.5</w:t>
      </w:r>
      <w:r>
        <w:t xml:space="preserve"> </w:t>
      </w:r>
      <w:r>
        <w:rPr>
          <w:bCs/>
          <w:b/>
        </w:rPr>
        <w:t xml:space="preserve">verifiable credentials</w:t>
      </w:r>
      <w:r>
        <w:t xml:space="preserve"> </w:t>
      </w:r>
      <w:r>
        <w:t xml:space="preserve">— 3.5; selective disclosure, 10.2</w:t>
      </w:r>
      <w:r>
        <w:t xml:space="preserve"> </w:t>
      </w:r>
      <w:r>
        <w:rPr>
          <w:bCs/>
          <w:b/>
        </w:rPr>
        <w:t xml:space="preserve">verification workflow (four-step)</w:t>
      </w:r>
      <w:r>
        <w:t xml:space="preserve"> </w:t>
      </w:r>
      <w:r>
        <w:t xml:space="preserve">— 6.6; insurer instance, 11.3; code sketch, A.5</w:t>
      </w:r>
      <w:r>
        <w:t xml:space="preserve"> </w:t>
      </w:r>
      <w:r>
        <w:rPr>
          <w:bCs/>
          <w:b/>
        </w:rPr>
        <w:t xml:space="preserve">warranty</w:t>
      </w:r>
      <w:r>
        <w:t xml:space="preserve"> </w:t>
      </w:r>
      <w:r>
        <w:t xml:space="preserve">— fraud and failure, 1.4.2; adjudication, 11.3; reserves, 13.3</w:t>
      </w:r>
      <w:r>
        <w:t xml:space="preserve"> </w:t>
      </w:r>
      <w:r>
        <w:rPr>
          <w:bCs/>
          <w:b/>
        </w:rPr>
        <w:t xml:space="preserve">wind turbine components</w:t>
      </w:r>
      <w:r>
        <w:t xml:space="preserve"> </w:t>
      </w:r>
      <w:r>
        <w:t xml:space="preserve">— 12.3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2026-07-03T09:17:40Z</dcterms:created>
  <dcterms:modified xsi:type="dcterms:W3CDTF">2026-07-03T09:17:40Z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