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physical-asset-identity-models"/>
    <w:p>
      <w:pPr>
        <w:pStyle w:val="Heading1"/>
      </w:pPr>
      <w:r>
        <w:t xml:space="preserve">Physical Asset Identity Models</w:t>
      </w:r>
    </w:p>
    <w:bookmarkStart w:id="2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Chapter 1 defined what an asset identity must provide — uniqueness, persistence,</w:t>
      </w:r>
      <w:r>
        <w:t xml:space="preserve"> </w:t>
      </w:r>
      <w:r>
        <w:t xml:space="preserve">binding, attributability — and Chapter 2 supplied the record-keeping machinery. This</w:t>
      </w:r>
      <w:r>
        <w:t xml:space="preserve"> </w:t>
      </w:r>
      <w:r>
        <w:t xml:space="preserve">chapter addresses the piece the machinery cannot supply: how a digital identity is</w:t>
      </w:r>
      <w:r>
        <w:t xml:space="preserve"> </w:t>
      </w:r>
      <w:r>
        <w:t xml:space="preserve">attached to a physical object at all. It develops three bodies of work in turn —</w:t>
      </w:r>
      <w:r>
        <w:t xml:space="preserve"> </w:t>
      </w:r>
      <w:r>
        <w:t xml:space="preserve">digital twins, cryptographic device identity rooted in hardware, and the W3C identity</w:t>
      </w:r>
      <w:r>
        <w:t xml:space="preserve"> </w:t>
      </w:r>
      <w:r>
        <w:t xml:space="preserve">standards (decentralized identifiers and verifiable credentials) — and adapts each</w:t>
      </w:r>
      <w:r>
        <w:t xml:space="preserve"> </w:t>
      </w:r>
      <w:r>
        <w:t xml:space="preserve">from its native context to energy hardware. The chapter’s central distinction, between</w:t>
      </w:r>
      <w:r>
        <w:t xml:space="preserve"> </w:t>
      </w:r>
      <w:r>
        <w:rPr>
          <w:iCs/>
          <w:i/>
        </w:rPr>
        <w:t xml:space="preserve">active</w:t>
      </w:r>
      <w:r>
        <w:t xml:space="preserve"> </w:t>
      </w:r>
      <w:r>
        <w:t xml:space="preserve">binding (the device holds a key and can prove it) and</w:t>
      </w:r>
      <w:r>
        <w:t xml:space="preserve"> </w:t>
      </w:r>
      <w:r>
        <w:rPr>
          <w:iCs/>
          <w:i/>
        </w:rPr>
        <w:t xml:space="preserve">passive</w:t>
      </w:r>
      <w:r>
        <w:t xml:space="preserve"> </w:t>
      </w:r>
      <w:r>
        <w:t xml:space="preserve">binding (the</w:t>
      </w:r>
      <w:r>
        <w:t xml:space="preserve"> </w:t>
      </w:r>
      <w:r>
        <w:t xml:space="preserve">device’s measurable structure serves as its credential), organizes everything that</w:t>
      </w:r>
      <w:r>
        <w:t xml:space="preserve"> </w:t>
      </w:r>
      <w:r>
        <w:t xml:space="preserve">follows and sets up Chapter 6. Along the way it fixes the statistical and</w:t>
      </w:r>
      <w:r>
        <w:t xml:space="preserve"> </w:t>
      </w:r>
      <w:r>
        <w:t xml:space="preserve">adversarial refinements of the binding problem (Section 3.1.1), draws the</w:t>
      </w:r>
      <w:r>
        <w:t xml:space="preserve"> </w:t>
      </w:r>
      <w:r>
        <w:t xml:space="preserve">twin/spine boundary that keeps operational and evidential data in their proper</w:t>
      </w:r>
      <w:r>
        <w:t xml:space="preserve"> </w:t>
      </w:r>
      <w:r>
        <w:t xml:space="preserve">places (Section 3.2), walks the active-binding lifecycle that the meter fleets</w:t>
      </w:r>
      <w:r>
        <w:t xml:space="preserve"> </w:t>
      </w:r>
      <w:r>
        <w:t xml:space="preserve">have already proven at national scale (Section 3.3), formalizes the passive</w:t>
      </w:r>
      <w:r>
        <w:t xml:space="preserve"> </w:t>
      </w:r>
      <w:r>
        <w:t xml:space="preserve">template pipeline (Section 3.4), adapts the W3C naming and claims standards to</w:t>
      </w:r>
      <w:r>
        <w:t xml:space="preserve"> </w:t>
      </w:r>
      <w:r>
        <w:t xml:space="preserve">subjects that are objects (Section 3.5), and closes with the composition rules —</w:t>
      </w:r>
      <w:r>
        <w:t xml:space="preserve"> </w:t>
      </w:r>
      <w:r>
        <w:t xml:space="preserve">the V0–V3 escalation ladder and the aggregate-identity test — that turn</w:t>
      </w:r>
      <w:r>
        <w:t xml:space="preserve"> </w:t>
      </w:r>
      <w:r>
        <w:t xml:space="preserve">mechanisms into deployments (Section 3.6).</w:t>
      </w:r>
    </w:p>
    <w:bookmarkEnd w:id="20"/>
    <w:bookmarkStart w:id="22" w:name="the-binding-problem-stated-precisely"/>
    <w:p>
      <w:pPr>
        <w:pStyle w:val="Heading2"/>
      </w:pPr>
      <w:r>
        <w:t xml:space="preserve">3.1 The Binding Problem Stated Precisely</w:t>
      </w:r>
    </w:p>
    <w:p>
      <w:pPr>
        <w:pStyle w:val="FirstParagraph"/>
      </w:pPr>
      <w:r>
        <w:t xml:space="preserve">Suppose the consortium ledger of Chapter 2 exists and functions perfectly. A record</w:t>
      </w:r>
      <w:r>
        <w:t xml:space="preserve"> </w:t>
      </w:r>
      <w:r>
        <w:t xml:space="preserve">says:</w:t>
      </w:r>
      <w:r>
        <w:t xml:space="preserve"> </w:t>
      </w:r>
      <w:r>
        <w:rPr>
          <w:iCs/>
          <w:i/>
        </w:rPr>
        <w:t xml:space="preserve">asset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A-3F92…</w:t>
      </w:r>
      <w:r>
        <w:rPr>
          <w:iCs/>
          <w:i/>
        </w:rPr>
        <w:t xml:space="preserve"> </w:t>
      </w:r>
      <w:r>
        <w:rPr>
          <w:iCs/>
          <w:i/>
        </w:rPr>
        <w:t xml:space="preserve">was flash-tested at 402.1 Wp on 14 March 2026, signed by</w:t>
      </w:r>
      <w:r>
        <w:rPr>
          <w:iCs/>
          <w:i/>
        </w:rPr>
        <w:t xml:space="preserve"> </w:t>
      </w:r>
      <w:r>
        <w:rPr>
          <w:iCs/>
          <w:i/>
        </w:rPr>
        <w:t xml:space="preserve">manufacturer M</w:t>
      </w:r>
      <w:r>
        <w:t xml:space="preserve">. A field engineer stands in front of a module. The ledger cannot</w:t>
      </w:r>
      <w:r>
        <w:t xml:space="preserve"> </w:t>
      </w:r>
      <w:r>
        <w:t xml:space="preserve">answer the engineer’s actual question:</w:t>
      </w:r>
      <w:r>
        <w:t xml:space="preserve"> </w:t>
      </w:r>
      <w:r>
        <w:rPr>
          <w:bCs/>
          <w:b/>
        </w:rPr>
        <w:t xml:space="preserve">is this laminate the asset the record</w:t>
      </w:r>
      <w:r>
        <w:rPr>
          <w:bCs/>
          <w:b/>
        </w:rPr>
        <w:t xml:space="preserve"> </w:t>
      </w:r>
      <w:r>
        <w:rPr>
          <w:bCs/>
          <w:b/>
        </w:rPr>
        <w:t xml:space="preserve">designates?</w:t>
      </w:r>
    </w:p>
    <w:p>
      <w:pPr>
        <w:pStyle w:val="BodyText"/>
      </w:pPr>
      <w:r>
        <w:t xml:space="preserve">Formally, binding requires a</w:t>
      </w:r>
      <w:r>
        <w:t xml:space="preserve"> </w:t>
      </w:r>
      <w:r>
        <w:rPr>
          <w:iCs/>
          <w:i/>
        </w:rPr>
        <w:t xml:space="preserve">verification function</w:t>
      </w:r>
      <w:r>
        <w:t xml:space="preserve"> </w:t>
      </w:r>
      <w:r>
        <w:t xml:space="preserve">(V(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{</w:t>
      </w:r>
      <w:r>
        <w:t xml:space="preserve">,</w:t>
      </w:r>
      <w:r>
        <w:t xml:space="preserve"> </w:t>
      </w:r>
      <w:r>
        <w:t xml:space="preserve">}) with two properties: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Soundness.</w:t>
      </w:r>
      <w:r>
        <w:t xml:space="preserve"> </w:t>
      </w:r>
      <w:r>
        <w:t xml:space="preserve">A substituted or counterfeit object yields</w:t>
      </w:r>
      <w:r>
        <w:t xml:space="preserve"> </w:t>
      </w:r>
      <w:r>
        <w:rPr>
          <w:iCs/>
          <w:i/>
        </w:rPr>
        <w:t xml:space="preserve">no match</w:t>
      </w:r>
      <w:r>
        <w:t xml:space="preserve"> </w:t>
      </w:r>
      <w:r>
        <w:t xml:space="preserve">except with</w:t>
      </w:r>
      <w:r>
        <w:t xml:space="preserve"> </w:t>
      </w:r>
      <w:r>
        <w:t xml:space="preserve">negligible probability — and, critically, the cost of manufacturing an object that</w:t>
      </w:r>
      <w:r>
        <w:t xml:space="preserve"> </w:t>
      </w:r>
      <w:r>
        <w:t xml:space="preserve">yields a false</w:t>
      </w:r>
      <w:r>
        <w:t xml:space="preserve"> </w:t>
      </w:r>
      <w:r>
        <w:rPr>
          <w:iCs/>
          <w:i/>
        </w:rPr>
        <w:t xml:space="preserve">match</w:t>
      </w:r>
      <w:r>
        <w:t xml:space="preserve"> </w:t>
      </w:r>
      <w:r>
        <w:t xml:space="preserve">exceeds the value of doing so.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Field feasibility.</w:t>
      </w:r>
      <w:r>
        <w:t xml:space="preserve"> </w:t>
      </w:r>
      <w:r>
        <w:t xml:space="preserve">(V) is executable where the asset lives — a rooftop, a</w:t>
      </w:r>
      <w:r>
        <w:t xml:space="preserve"> </w:t>
      </w:r>
      <w:r>
        <w:t xml:space="preserve">desert plant, a warehouse — at a cost per verification compatible with Section 1.3’s</w:t>
      </w:r>
      <w:r>
        <w:t xml:space="preserve"> </w:t>
      </w:r>
      <w:r>
        <w:t xml:space="preserve">unit economics, by a party who need not trust the asset’s custodian.</w:t>
      </w:r>
    </w:p>
    <w:p>
      <w:pPr>
        <w:pStyle w:val="FirstParagraph"/>
      </w:pPr>
      <w:r>
        <w:t xml:space="preserve">Every identity technology in this chapter is an implementation of (V), and every</w:t>
      </w:r>
      <w:r>
        <w:t xml:space="preserve"> </w:t>
      </w:r>
      <w:r>
        <w:t xml:space="preserve">one occupies a different point on the trade-off surface spanned by soundness, cost,</w:t>
      </w:r>
      <w:r>
        <w:t xml:space="preserve"> </w:t>
      </w:r>
      <w:r>
        <w:t xml:space="preserve">and the demands placed on the object itself. The taxonomy in Figure 3.1 previews the</w:t>
      </w:r>
      <w:r>
        <w:t xml:space="preserve"> </w:t>
      </w:r>
      <w:r>
        <w:t xml:space="preserve">chapter. It is worth pausing on how unusual the question is: essentially all of</w:t>
      </w:r>
      <w:r>
        <w:t xml:space="preserve"> </w:t>
      </w:r>
      <w:r>
        <w:t xml:space="preserve">applied cryptography assumes the endpoint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keyholder — authenticate the</w:t>
      </w:r>
      <w:r>
        <w:t xml:space="preserve"> </w:t>
      </w:r>
      <w:r>
        <w:t xml:space="preserve">key and you have authenticated the party. Physical-asset identity breaks that</w:t>
      </w:r>
      <w:r>
        <w:t xml:space="preserve"> </w:t>
      </w:r>
      <w:r>
        <w:t xml:space="preserve">assumption at the root, because the entity of interest holds no keys, computes</w:t>
      </w:r>
      <w:r>
        <w:t xml:space="preserve"> </w:t>
      </w:r>
      <w:r>
        <w:t xml:space="preserve">nothing, and cannot participate in its own authentication. Everything</w:t>
      </w:r>
      <w:r>
        <w:t xml:space="preserve"> </w:t>
      </w:r>
      <w:r>
        <w:t xml:space="preserve">distinctive in this chapter flows from taking that breakage seriously instead</w:t>
      </w:r>
      <w:r>
        <w:t xml:space="preserve"> </w:t>
      </w:r>
      <w:r>
        <w:t xml:space="preserve">of papering over it with a label that holds the keys on the object’s behalf —</w:t>
      </w:r>
      <w:r>
        <w:t xml:space="preserve"> </w:t>
      </w:r>
      <w:r>
        <w:t xml:space="preserve">which is, in one sentence, the design error of every artifact-based scheme in</w:t>
      </w:r>
      <w:r>
        <w:t xml:space="preserve"> </w:t>
      </w:r>
      <w:r>
        <w:t xml:space="preserve">the left branch of the taxonomy.</w:t>
      </w:r>
    </w:p>
    <w:p>
      <w:pPr>
        <w:pStyle w:val="BodyText"/>
      </w:pPr>
      <w:r>
        <w:rPr>
          <w:bCs/>
          <w:b/>
        </w:rPr>
        <w:t xml:space="preserve">Figure 3.1</w:t>
      </w:r>
      <w:r>
        <w:t xml:space="preserve"> </w:t>
      </w:r>
      <w:r>
        <w:t xml:space="preserve">A taxonomy of binding mechanisms for physical assets. The right-hand</w:t>
      </w:r>
      <w:r>
        <w:t xml:space="preserve"> </w:t>
      </w:r>
      <w:r>
        <w:t xml:space="preserve">branch — passive structural fingerprints — is where Chapter 6’s contribution sits.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ROOT[Binding mechanisms] --&gt; ART[Artifact-based:&lt;br&gt;labels, tags, seals]</w:t>
      </w:r>
      <w:r>
        <w:br/>
      </w:r>
      <w:r>
        <w:rPr>
          <w:rStyle w:val="VerbatimChar"/>
        </w:rPr>
        <w:t xml:space="preserve">    ROOT --&gt; ACT[Active cryptographic:&lt;br&gt;device holds a secret]</w:t>
      </w:r>
      <w:r>
        <w:br/>
      </w:r>
      <w:r>
        <w:rPr>
          <w:rStyle w:val="VerbatimChar"/>
        </w:rPr>
        <w:t xml:space="preserve">    ROOT --&gt; PAS[Passive structural:&lt;br&gt;device IS the credential]</w:t>
      </w:r>
      <w:r>
        <w:br/>
      </w:r>
      <w:r>
        <w:rPr>
          <w:rStyle w:val="VerbatimChar"/>
        </w:rPr>
        <w:t xml:space="preserve">    ART --&gt; ART1[Barcode / QR serials]</w:t>
      </w:r>
      <w:r>
        <w:br/>
      </w:r>
      <w:r>
        <w:rPr>
          <w:rStyle w:val="VerbatimChar"/>
        </w:rPr>
        <w:t xml:space="preserve">    ART --&gt; ART2[RFID / NFC tags]</w:t>
      </w:r>
      <w:r>
        <w:br/>
      </w:r>
      <w:r>
        <w:rPr>
          <w:rStyle w:val="VerbatimChar"/>
        </w:rPr>
        <w:t xml:space="preserve">    ART --&gt; ART3[Tamper-evident seals]</w:t>
      </w:r>
      <w:r>
        <w:br/>
      </w:r>
      <w:r>
        <w:rPr>
          <w:rStyle w:val="VerbatimChar"/>
        </w:rPr>
        <w:t xml:space="preserve">    ACT --&gt; ACT1[Secure element /&lt;br&gt;TPM device keys]</w:t>
      </w:r>
      <w:r>
        <w:br/>
      </w:r>
      <w:r>
        <w:rPr>
          <w:rStyle w:val="VerbatimChar"/>
        </w:rPr>
        <w:t xml:space="preserve">    ACT --&gt; ACT2[PUF-derived keys]</w:t>
      </w:r>
      <w:r>
        <w:br/>
      </w:r>
      <w:r>
        <w:rPr>
          <w:rStyle w:val="VerbatimChar"/>
        </w:rPr>
        <w:t xml:space="preserve">    PAS --&gt; PAS1[Optical fingerprints:&lt;br&gt;EL crack patterns,&lt;br&gt;surface texture]</w:t>
      </w:r>
      <w:r>
        <w:br/>
      </w:r>
      <w:r>
        <w:rPr>
          <w:rStyle w:val="VerbatimChar"/>
        </w:rPr>
        <w:t xml:space="preserve">    PAS --&gt; PAS2[Electrical signatures:&lt;br&gt;dark I–V, capacitance]</w:t>
      </w:r>
      <w:r>
        <w:br/>
      </w:r>
      <w:r>
        <w:rPr>
          <w:rStyle w:val="VerbatimChar"/>
        </w:rPr>
        <w:t xml:space="preserve">    PAS --&gt; PAS3[Quantum-sensed&lt;br&gt;defect maps — Ch. 6]</w:t>
      </w:r>
      <w:r>
        <w:br/>
      </w:r>
      <w:r>
        <w:rPr>
          <w:rStyle w:val="VerbatimChar"/>
        </w:rPr>
        <w:t xml:space="preserve">    style ART fill:#f3d9d3,stroke:#9c4a3c</w:t>
      </w:r>
      <w:r>
        <w:br/>
      </w:r>
      <w:r>
        <w:rPr>
          <w:rStyle w:val="VerbatimChar"/>
        </w:rPr>
        <w:t xml:space="preserve">    style ACT fill:#dbe9f6,stroke:#2c5f8a</w:t>
      </w:r>
      <w:r>
        <w:br/>
      </w:r>
      <w:r>
        <w:rPr>
          <w:rStyle w:val="VerbatimChar"/>
        </w:rPr>
        <w:t xml:space="preserve">    style PAS fill:#d9ead9,stroke:#3c7a3c</w:t>
      </w:r>
    </w:p>
    <w:p>
      <w:pPr>
        <w:pStyle w:val="FirstParagraph"/>
      </w:pPr>
      <w:r>
        <w:t xml:space="preserve">Artifact-based mechanisms were dispatched in Section 1.5 — they are bearer tokens,</w:t>
      </w:r>
      <w:r>
        <w:t xml:space="preserve"> </w:t>
      </w:r>
      <w:r>
        <w:t xml:space="preserve">copyable by construction — and receive no further systematic treatment, though</w:t>
      </w:r>
      <w:r>
        <w:t xml:space="preserve"> </w:t>
      </w:r>
      <w:r>
        <w:t xml:space="preserve">Section 3.6 notes their legitimate residual role as cheap</w:t>
      </w:r>
      <w:r>
        <w:t xml:space="preserve"> </w:t>
      </w:r>
      <w:r>
        <w:rPr>
          <w:iCs/>
          <w:i/>
        </w:rPr>
        <w:t xml:space="preserve">locators</w:t>
      </w:r>
      <w:r>
        <w:t xml:space="preserve"> </w:t>
      </w:r>
      <w:r>
        <w:t xml:space="preserve">(a QR code that</w:t>
      </w:r>
      <w:r>
        <w:t xml:space="preserve"> </w:t>
      </w:r>
      <w:r>
        <w:t xml:space="preserve">tells the verifier which identity to check is useful even though it proves nothing).</w:t>
      </w:r>
    </w:p>
    <w:bookmarkStart w:id="21" w:name="Xe7547ef00cbe01266b3f948aa0fd6506ac9dbba"/>
    <w:p>
      <w:pPr>
        <w:pStyle w:val="Heading3"/>
      </w:pPr>
      <w:r>
        <w:t xml:space="preserve">3.1.1 Refining the Requirements: Errors, Adversaries, and Who Holds the Instrument</w:t>
      </w:r>
    </w:p>
    <w:p>
      <w:pPr>
        <w:pStyle w:val="FirstParagraph"/>
      </w:pPr>
      <w:r>
        <w:t xml:space="preserve">The two-property statement of (V) above is the executive version; engineering</w:t>
      </w:r>
      <w:r>
        <w:t xml:space="preserve"> </w:t>
      </w:r>
      <w:r>
        <w:t xml:space="preserve">needs three refinements before the mechanisms can be compared honestly.</w:t>
      </w:r>
    </w:p>
    <w:p>
      <w:pPr>
        <w:pStyle w:val="BodyText"/>
      </w:pPr>
      <w:r>
        <w:t xml:space="preserve">First, (V) is</w:t>
      </w:r>
      <w:r>
        <w:t xml:space="preserve"> </w:t>
      </w:r>
      <w:r>
        <w:rPr>
          <w:iCs/>
          <w:i/>
        </w:rPr>
        <w:t xml:space="preserve">statistical</w:t>
      </w:r>
      <w:r>
        <w:t xml:space="preserve">, not Boolean. Every physical measurement carries</w:t>
      </w:r>
      <w:r>
        <w:t xml:space="preserve"> </w:t>
      </w:r>
      <w:r>
        <w:t xml:space="preserve">noise, every physical object drifts with age, and so every real verification</w:t>
      </w:r>
      <w:r>
        <w:t xml:space="preserve"> </w:t>
      </w:r>
      <w:r>
        <w:t xml:space="preserve">function has a false-accept rate (FAR: a wrong object passes) and a false-reject</w:t>
      </w:r>
      <w:r>
        <w:t xml:space="preserve"> </w:t>
      </w:r>
      <w:r>
        <w:t xml:space="preserve">rate (FRR: the right object fails), traded against each other by a decision</w:t>
      </w:r>
      <w:r>
        <w:t xml:space="preserve"> </w:t>
      </w:r>
      <w:r>
        <w:t xml:space="preserve">threshold. The two error types have asymmetric costs that depend on the use: at a</w:t>
      </w:r>
      <w:r>
        <w:t xml:space="preserve"> </w:t>
      </w:r>
      <w:r>
        <w:t xml:space="preserve">warranty adjudication, a false accept pays a fraudulent claim, while a false</w:t>
      </w:r>
      <w:r>
        <w:t xml:space="preserve"> </w:t>
      </w:r>
      <w:r>
        <w:t xml:space="preserve">reject wrongly denies an honest one; at a routine custody scan, a false reject</w:t>
      </w:r>
      <w:r>
        <w:t xml:space="preserve"> </w:t>
      </w:r>
      <w:r>
        <w:t xml:space="preserve">merely triggers a second measurement. Mechanism comparisons that quote a single</w:t>
      </w:r>
      <w:r>
        <w:t xml:space="preserve"> </w:t>
      </w:r>
      <w:r>
        <w:t xml:space="preserve">“</w:t>
      </w:r>
      <w:r>
        <w:t xml:space="preserve">accuracy</w:t>
      </w:r>
      <w:r>
        <w:t xml:space="preserve">”</w:t>
      </w:r>
      <w:r>
        <w:t xml:space="preserve"> </w:t>
      </w:r>
      <w:r>
        <w:t xml:space="preserve">number are hiding this trade-off, and the biometric community’s</w:t>
      </w:r>
      <w:r>
        <w:t xml:space="preserve"> </w:t>
      </w:r>
      <w:r>
        <w:t xml:space="preserve">receiver-operating-characteristic discipline — publish the curve, not a point —</w:t>
      </w:r>
      <w:r>
        <w:t xml:space="preserve"> </w:t>
      </w:r>
      <w:r>
        <w:t xml:space="preserve">is the standard this book applies to its own proposals in Chapter 6.</w:t>
      </w:r>
    </w:p>
    <w:p>
      <w:pPr>
        <w:pStyle w:val="BodyText"/>
      </w:pPr>
      <w:r>
        <w:t xml:space="preserve">Second, soundness must be stated against an</w:t>
      </w:r>
      <w:r>
        <w:t xml:space="preserve"> </w:t>
      </w:r>
      <w:r>
        <w:rPr>
          <w:iCs/>
          <w:i/>
        </w:rPr>
        <w:t xml:space="preserve">adversary model</w:t>
      </w:r>
      <w:r>
        <w:t xml:space="preserve">, not against</w:t>
      </w:r>
      <w:r>
        <w:t xml:space="preserve"> </w:t>
      </w:r>
      <w:r>
        <w:t xml:space="preserve">chance. The probability that two honest modules collide in fingerprint space</w:t>
      </w:r>
      <w:r>
        <w:t xml:space="preserve"> </w:t>
      </w:r>
      <w:r>
        <w:t xml:space="preserve">(random collision) is a different quantity from the probability that a motivated</w:t>
      </w:r>
      <w:r>
        <w:t xml:space="preserve"> </w:t>
      </w:r>
      <w:r>
        <w:t xml:space="preserve">forger, holding the published template and a budget, produces an object that</w:t>
      </w:r>
      <w:r>
        <w:t xml:space="preserve"> </w:t>
      </w:r>
      <w:r>
        <w:t xml:space="preserve">passes (adversarial collision) — and it is the second quantity that secures</w:t>
      </w:r>
      <w:r>
        <w:t xml:space="preserve"> </w:t>
      </w:r>
      <w:r>
        <w:t xml:space="preserve">anything. The gap between the two is where artifact mechanisms die: barcode</w:t>
      </w:r>
      <w:r>
        <w:t xml:space="preserve"> </w:t>
      </w:r>
      <w:r>
        <w:t xml:space="preserve">collisions are vanishingly rare by chance and universal under adversaries. Every</w:t>
      </w:r>
      <w:r>
        <w:t xml:space="preserve"> </w:t>
      </w:r>
      <w:r>
        <w:t xml:space="preserve">soundness claim in this chapter and Chapter 6 is an adversarial claim, priced in</w:t>
      </w:r>
      <w:r>
        <w:t xml:space="preserve"> </w:t>
      </w:r>
      <w:r>
        <w:t xml:space="preserve">attacker cost, and Chapter 8 supplies the attacker taxonomy those prices assume.</w:t>
      </w:r>
    </w:p>
    <w:p>
      <w:pPr>
        <w:pStyle w:val="BodyText"/>
      </w:pPr>
      <w:r>
        <w:t xml:space="preserve">Third, the</w:t>
      </w:r>
      <w:r>
        <w:t xml:space="preserve"> </w:t>
      </w:r>
      <w:r>
        <w:rPr>
          <w:iCs/>
          <w:i/>
        </w:rPr>
        <w:t xml:space="preserve">verifier’s instrument is part of the trusted base</w:t>
      </w:r>
      <w:r>
        <w:t xml:space="preserve">. A verification</w:t>
      </w:r>
      <w:r>
        <w:t xml:space="preserve"> </w:t>
      </w:r>
      <w:r>
        <w:t xml:space="preserve">performed with the custodian’s own camera, on the custodian’s premises, under the</w:t>
      </w:r>
      <w:r>
        <w:t xml:space="preserve"> </w:t>
      </w:r>
      <w:r>
        <w:t xml:space="preserve">custodian’s lighting, proves less than the same measurement with the verifier’s</w:t>
      </w:r>
      <w:r>
        <w:t xml:space="preserve"> </w:t>
      </w:r>
      <w:r>
        <w:t xml:space="preserve">sealed instrument — and the difference is not paranoia but the scene-spoofing</w:t>
      </w:r>
      <w:r>
        <w:t xml:space="preserve"> </w:t>
      </w:r>
      <w:r>
        <w:t xml:space="preserve">attack family of Chapter 8. This is why the oracle rules of Chapter 4 push</w:t>
      </w:r>
      <w:r>
        <w:t xml:space="preserve"> </w:t>
      </w:r>
      <w:r>
        <w:t xml:space="preserve">signing into instruments, why instruments themselves carry identities and</w:t>
      </w:r>
      <w:r>
        <w:t xml:space="preserve"> </w:t>
      </w:r>
      <w:r>
        <w:t xml:space="preserve">calibration lifecycles, and why the field-feasibility requirement includes</w:t>
      </w:r>
      <w:r>
        <w:t xml:space="preserve"> </w:t>
      </w:r>
      <w:r>
        <w:t xml:space="preserve">“</w:t>
      </w:r>
      <w:r>
        <w:t xml:space="preserve">by a</w:t>
      </w:r>
      <w:r>
        <w:t xml:space="preserve"> </w:t>
      </w:r>
      <w:r>
        <w:t xml:space="preserve">party who need not trust the asset’s custodian.</w:t>
      </w:r>
      <w:r>
        <w:t xml:space="preserve">”</w:t>
      </w:r>
      <w:r>
        <w:t xml:space="preserve"> </w:t>
      </w:r>
      <w:r>
        <w:t xml:space="preserve">A binding mechanism whose</w:t>
      </w:r>
      <w:r>
        <w:t xml:space="preserve"> </w:t>
      </w:r>
      <w:r>
        <w:t xml:space="preserve">verification cannot be performed adversarially is a demonstration, not a control.</w:t>
      </w:r>
    </w:p>
    <w:p>
      <w:pPr>
        <w:pStyle w:val="BodyText"/>
      </w:pPr>
      <w:r>
        <w:t xml:space="preserve">With those refinements, the comparison surface for everything that follows has</w:t>
      </w:r>
      <w:r>
        <w:t xml:space="preserve"> </w:t>
      </w:r>
      <w:r>
        <w:t xml:space="preserve">five axes: FAR/FRR behavior under field conditions; adversarial forgery cost;</w:t>
      </w:r>
      <w:r>
        <w:t xml:space="preserve"> </w:t>
      </w:r>
      <w:r>
        <w:t xml:space="preserve">per-unit enrollment cost; per-verification cost and time; and longevity of the</w:t>
      </w:r>
      <w:r>
        <w:t xml:space="preserve"> </w:t>
      </w:r>
      <w:r>
        <w:t xml:space="preserve">underlying feature. Appendix B tabulates all the mechanisms of this chapter and</w:t>
      </w:r>
      <w:r>
        <w:t xml:space="preserve"> </w:t>
      </w:r>
      <w:r>
        <w:t xml:space="preserve">Chapter 6 against exactly these axes, and readers who want the scorecard before</w:t>
      </w:r>
      <w:r>
        <w:t xml:space="preserve"> </w:t>
      </w:r>
      <w:r>
        <w:t xml:space="preserve">the argument may detour there now.</w:t>
      </w:r>
    </w:p>
    <w:bookmarkEnd w:id="21"/>
    <w:bookmarkEnd w:id="22"/>
    <w:bookmarkStart w:id="23" w:name="X27be07c7f612f2063741727047b551726a932b8"/>
    <w:p>
      <w:pPr>
        <w:pStyle w:val="Heading2"/>
      </w:pPr>
      <w:r>
        <w:t xml:space="preserve">3.2 Digital Twins, and What Identity Adds to Them</w:t>
      </w:r>
    </w:p>
    <w:p>
      <w:pPr>
        <w:pStyle w:val="FirstParagraph"/>
      </w:pPr>
      <w:r>
        <w:t xml:space="preserve">The digital twin literature, originating in aerospace lifecycle management, envisions</w:t>
      </w:r>
      <w:r>
        <w:t xml:space="preserve"> </w:t>
      </w:r>
      <w:r>
        <w:t xml:space="preserve">a virtual counterpart of a physical asset, updated by data flowing from the asset and</w:t>
      </w:r>
      <w:r>
        <w:t xml:space="preserve"> </w:t>
      </w:r>
      <w:r>
        <w:t xml:space="preserve">used for simulation, prediction, and decision support. Much of the DER industry</w:t>
      </w:r>
      <w:r>
        <w:t xml:space="preserve"> </w:t>
      </w:r>
      <w:r>
        <w:t xml:space="preserve">already operates something twin-like: inverter vendors maintain per-device telemetry</w:t>
      </w:r>
      <w:r>
        <w:t xml:space="preserve"> </w:t>
      </w:r>
      <w:r>
        <w:t xml:space="preserve">histories; plant asset-management platforms hold component registers with maintenance</w:t>
      </w:r>
      <w:r>
        <w:t xml:space="preserve"> </w:t>
      </w:r>
      <w:r>
        <w:t xml:space="preserve">records.</w:t>
      </w:r>
    </w:p>
    <w:p>
      <w:pPr>
        <w:pStyle w:val="BodyText"/>
      </w:pPr>
      <w:r>
        <w:t xml:space="preserve">The lineage is worth one sentence of respect before the critique: the twin</w:t>
      </w:r>
      <w:r>
        <w:t xml:space="preserve"> </w:t>
      </w:r>
      <w:r>
        <w:t xml:space="preserve">concept earned its keep in programs where a physical article’s virtual</w:t>
      </w:r>
      <w:r>
        <w:t xml:space="preserve"> </w:t>
      </w:r>
      <w:r>
        <w:t xml:space="preserve">counterpart carried real engineering authority — configuration-managed, its</w:t>
      </w:r>
      <w:r>
        <w:t xml:space="preserve"> </w:t>
      </w:r>
      <w:r>
        <w:t xml:space="preserve">divergence from the article a reportable event — and that discipline, more than</w:t>
      </w:r>
      <w:r>
        <w:t xml:space="preserve"> </w:t>
      </w:r>
      <w:r>
        <w:t xml:space="preserve">the technology, is what the DER industry’s twin-like platforms have not</w:t>
      </w:r>
      <w:r>
        <w:t xml:space="preserve"> </w:t>
      </w:r>
      <w:r>
        <w:t xml:space="preserve">inherited. It is tempting to say the asset identity record of this book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digital twin, but</w:t>
      </w:r>
      <w:r>
        <w:t xml:space="preserve"> </w:t>
      </w:r>
      <w:r>
        <w:t xml:space="preserve">the equation obscures the two properties twins conventionally lack. First, twins are</w:t>
      </w:r>
      <w:r>
        <w:t xml:space="preserve"> </w:t>
      </w:r>
      <w:r>
        <w:rPr>
          <w:iCs/>
          <w:i/>
        </w:rPr>
        <w:t xml:space="preserve">operational</w:t>
      </w:r>
      <w:r>
        <w:t xml:space="preserve"> </w:t>
      </w:r>
      <w:r>
        <w:t xml:space="preserve">artifacts, owned and mutable by whoever operates the platform — they</w:t>
      </w:r>
      <w:r>
        <w:t xml:space="preserve"> </w:t>
      </w:r>
      <w:r>
        <w:t xml:space="preserve">optimize performance, not evidence. Nothing prevents retroactive revision, and their</w:t>
      </w:r>
      <w:r>
        <w:t xml:space="preserve"> </w:t>
      </w:r>
      <w:r>
        <w:t xml:space="preserve">lifetime is the platform subscription. Second, twins inherit their association with</w:t>
      </w:r>
      <w:r>
        <w:t xml:space="preserve"> </w:t>
      </w:r>
      <w:r>
        <w:t xml:space="preserve">the physical asset from the same fragile channels (serial numbers, commissioning</w:t>
      </w:r>
      <w:r>
        <w:t xml:space="preserve"> </w:t>
      </w:r>
      <w:r>
        <w:t xml:space="preserve">spreadsheets) whose failure Chapter 1 documented; a twin faithfully mirrors whatever</w:t>
      </w:r>
      <w:r>
        <w:t xml:space="preserve"> </w:t>
      </w:r>
      <w:r>
        <w:t xml:space="preserve">device its telemetry stream happens to come from.</w:t>
      </w:r>
    </w:p>
    <w:p>
      <w:pPr>
        <w:pStyle w:val="BodyText"/>
      </w:pPr>
      <w:r>
        <w:t xml:space="preserve">The synthesis this book adopts: the ledger-anchored identity record is the</w:t>
      </w:r>
      <w:r>
        <w:t xml:space="preserve"> </w:t>
      </w:r>
      <w:r>
        <w:rPr>
          <w:iCs/>
          <w:i/>
        </w:rPr>
        <w:t xml:space="preserve">evidential</w:t>
      </w:r>
      <w:r>
        <w:rPr>
          <w:iCs/>
          <w:i/>
        </w:rPr>
        <w:t xml:space="preserve"> </w:t>
      </w:r>
      <w:r>
        <w:rPr>
          <w:iCs/>
          <w:i/>
        </w:rPr>
        <w:t xml:space="preserve">spine</w:t>
      </w:r>
      <w:r>
        <w:t xml:space="preserve"> </w:t>
      </w:r>
      <w:r>
        <w:t xml:space="preserve">— sparse, append-only, multi-party, bound to the physical unit — while</w:t>
      </w:r>
      <w:r>
        <w:t xml:space="preserve"> </w:t>
      </w:r>
      <w:r>
        <w:t xml:space="preserve">operational twins remain where they are, in vendor and operator platforms, but hang</w:t>
      </w:r>
      <w:r>
        <w:t xml:space="preserve"> </w:t>
      </w:r>
      <w:r>
        <w:t xml:space="preserve">their data off the spine by reference and digest (the partitioning mechanics are</w:t>
      </w:r>
      <w:r>
        <w:t xml:space="preserve"> </w:t>
      </w:r>
      <w:r>
        <w:t xml:space="preserve">Chapter 4’s subject). The twin answers</w:t>
      </w:r>
      <w:r>
        <w:t xml:space="preserve"> </w:t>
      </w:r>
      <w:r>
        <w:t xml:space="preserve">“</w:t>
      </w:r>
      <w:r>
        <w:t xml:space="preserve">how is the asset performing?</w:t>
      </w:r>
      <w:r>
        <w:t xml:space="preserve">”</w:t>
      </w:r>
      <w:r>
        <w:t xml:space="preserve">; the spine</w:t>
      </w:r>
      <w:r>
        <w:t xml:space="preserve"> </w:t>
      </w:r>
      <w:r>
        <w:t xml:space="preserve">answers</w:t>
      </w:r>
      <w:r>
        <w:t xml:space="preserve"> </w:t>
      </w:r>
      <w:r>
        <w:t xml:space="preserve">“</w:t>
      </w:r>
      <w:r>
        <w:t xml:space="preserve">which asset is this, and who said what about it, when?</w:t>
      </w:r>
      <w:r>
        <w:t xml:space="preserve">”</w:t>
      </w:r>
      <w:r>
        <w:t xml:space="preserve"> </w:t>
      </w:r>
      <w:r>
        <w:t xml:space="preserve">Conflating the two</w:t>
      </w:r>
      <w:r>
        <w:t xml:space="preserve"> </w:t>
      </w:r>
      <w:r>
        <w:t xml:space="preserve">questions produces systems that answer neither reliably.</w:t>
      </w:r>
    </w:p>
    <w:p>
      <w:pPr>
        <w:pStyle w:val="BodyText"/>
      </w:pPr>
      <w:r>
        <w:t xml:space="preserve">The failure modes of conflation run in both directions and are worth a paragraph</w:t>
      </w:r>
      <w:r>
        <w:t xml:space="preserve"> </w:t>
      </w:r>
      <w:r>
        <w:t xml:space="preserve">each, because both are being built commercially as this book is written. Making</w:t>
      </w:r>
      <w:r>
        <w:t xml:space="preserve"> </w:t>
      </w:r>
      <w:r>
        <w:t xml:space="preserve">the twin evidential — pushing telemetry streams onto a ledger — inherits every</w:t>
      </w:r>
      <w:r>
        <w:t xml:space="preserve"> </w:t>
      </w:r>
      <w:r>
        <w:t xml:space="preserve">cost of consensus replication for data that needs none of it: nobody adjudicates</w:t>
      </w:r>
      <w:r>
        <w:t xml:space="preserve"> </w:t>
      </w:r>
      <w:r>
        <w:t xml:space="preserve">a warranty on a fifteen-minute power reading, and Chapter 4’s workload table will</w:t>
      </w:r>
      <w:r>
        <w:t xml:space="preserve"> </w:t>
      </w:r>
      <w:r>
        <w:t xml:space="preserve">show the volumes are prohibitive by five orders of magnitude anyway. Worse, it</w:t>
      </w:r>
      <w:r>
        <w:t xml:space="preserve"> </w:t>
      </w:r>
      <w:r>
        <w:t xml:space="preserve">creates a false sense of evidence: an immutable record of telemetry from an</w:t>
      </w:r>
      <w:r>
        <w:t xml:space="preserve"> </w:t>
      </w:r>
      <w:r>
        <w:t xml:space="preserve">unbound device is Chapter 1’s garbage-in permanence problem with a subscription</w:t>
      </w:r>
      <w:r>
        <w:t xml:space="preserve"> </w:t>
      </w:r>
      <w:r>
        <w:t xml:space="preserve">fee. Making the spine operational — treating the identity record as the live</w:t>
      </w:r>
      <w:r>
        <w:t xml:space="preserve"> </w:t>
      </w:r>
      <w:r>
        <w:t xml:space="preserve">asset-management database — fails the other way: operational data models change</w:t>
      </w:r>
      <w:r>
        <w:t xml:space="preserve"> </w:t>
      </w:r>
      <w:r>
        <w:t xml:space="preserve">monthly with business needs, and a record layer that must be governed by</w:t>
      </w:r>
      <w:r>
        <w:t xml:space="preserve"> </w:t>
      </w:r>
      <w:r>
        <w:t xml:space="preserve">consortium vote cannot iterate at that pace, so either governance collapses into</w:t>
      </w:r>
      <w:r>
        <w:t xml:space="preserve"> </w:t>
      </w:r>
      <w:r>
        <w:t xml:space="preserve">a rubber stamp (losing the multi-party guarantee) or the operators route around</w:t>
      </w:r>
      <w:r>
        <w:t xml:space="preserve"> </w:t>
      </w:r>
      <w:r>
        <w:t xml:space="preserve">the system (losing the data). The boundary that works, and that Chapter 5’s event</w:t>
      </w:r>
      <w:r>
        <w:t xml:space="preserve"> </w:t>
      </w:r>
      <w:r>
        <w:t xml:space="preserve">schema formalizes, is</w:t>
      </w:r>
      <w:r>
        <w:t xml:space="preserve"> </w:t>
      </w:r>
      <w:r>
        <w:rPr>
          <w:iCs/>
          <w:i/>
        </w:rPr>
        <w:t xml:space="preserve">decision-grade summaries cross the line; everything else</w:t>
      </w:r>
      <w:r>
        <w:rPr>
          <w:iCs/>
          <w:i/>
        </w:rPr>
        <w:t xml:space="preserve"> </w:t>
      </w:r>
      <w:r>
        <w:rPr>
          <w:iCs/>
          <w:i/>
        </w:rPr>
        <w:t xml:space="preserve">stays operational</w:t>
      </w:r>
      <w:r>
        <w:t xml:space="preserve">: the commissioning test result enters the spine, the</w:t>
      </w:r>
      <w:r>
        <w:t xml:space="preserve"> </w:t>
      </w:r>
      <w:r>
        <w:t xml:space="preserve">per-string debug data behind it stays in the twin, and a digest-plus-reference</w:t>
      </w:r>
      <w:r>
        <w:t xml:space="preserve"> </w:t>
      </w:r>
      <w:r>
        <w:t xml:space="preserve">connects them for the auditor who someday wants both.</w:t>
      </w:r>
    </w:p>
    <w:p>
      <w:pPr>
        <w:pStyle w:val="BodyText"/>
      </w:pPr>
      <w:r>
        <w:t xml:space="preserve">Interoperability standards for twins deserve a note, because the two communities</w:t>
      </w:r>
      <w:r>
        <w:t xml:space="preserve"> </w:t>
      </w:r>
      <w:r>
        <w:t xml:space="preserve">are converging on this book’s territory from the other side. The industrial</w:t>
      </w:r>
      <w:r>
        <w:t xml:space="preserve"> </w:t>
      </w:r>
      <w:r>
        <w:t xml:space="preserve">digital-twin bodies — the asset administration shell (AAS) work in the Industrie</w:t>
      </w:r>
      <w:r>
        <w:t xml:space="preserve"> </w:t>
      </w:r>
      <w:r>
        <w:t xml:space="preserve">4.0 ecosystem being the most developed — define machine-readable models of asset</w:t>
      </w:r>
      <w:r>
        <w:t xml:space="preserve"> </w:t>
      </w:r>
      <w:r>
        <w:t xml:space="preserve">properties and submodels, and the EU product-passport regulations increasingly</w:t>
      </w:r>
      <w:r>
        <w:t xml:space="preserve"> </w:t>
      </w:r>
      <w:r>
        <w:t xml:space="preserve">gesture at them as candidate data models. Nothing in that work conflicts with</w:t>
      </w:r>
      <w:r>
        <w:t xml:space="preserve"> </w:t>
      </w:r>
      <w:r>
        <w:t xml:space="preserve">this book; what it lacks, uniformly, is the evidential layer — binding,</w:t>
      </w:r>
      <w:r>
        <w:t xml:space="preserve"> </w:t>
      </w:r>
      <w:r>
        <w:t xml:space="preserve">non-suppression, consensus ordering, institutional survivability — and what this</w:t>
      </w:r>
      <w:r>
        <w:t xml:space="preserve"> </w:t>
      </w:r>
      <w:r>
        <w:t xml:space="preserve">book lacks, deliberately, is their rich operational semantics. The projection</w:t>
      </w:r>
      <w:r>
        <w:t xml:space="preserve"> </w:t>
      </w:r>
      <w:r>
        <w:t xml:space="preserve">mapping of Chapter 10 (ledger events onto passport fields) is exactly the seam</w:t>
      </w:r>
      <w:r>
        <w:t xml:space="preserve"> </w:t>
      </w:r>
      <w:r>
        <w:t xml:space="preserve">where the two meet, and Chapter 14 lists the standardization work the seam still</w:t>
      </w:r>
      <w:r>
        <w:t xml:space="preserve"> </w:t>
      </w:r>
      <w:r>
        <w:t xml:space="preserve">needs.</w:t>
      </w:r>
    </w:p>
    <w:p>
      <w:pPr>
        <w:pStyle w:val="BodyText"/>
      </w:pPr>
      <w:r>
        <w:rPr>
          <w:bCs/>
          <w:b/>
        </w:rPr>
        <w:t xml:space="preserve">Table 3.1</w:t>
      </w:r>
      <w:r>
        <w:t xml:space="preserve"> </w:t>
      </w:r>
      <w:r>
        <w:t xml:space="preserve">Operational digital twin versus evidential identity record.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Evidential identity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prediction, O&amp;M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Evidence: identity, provenance, condition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lifecycle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Mutable, single-operator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multi-party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lifetime (decades)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 from serials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mechanism (this chapter, Ch.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or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single owner (consortium)</w:t>
            </w:r>
          </w:p>
        </w:tc>
      </w:tr>
    </w:tbl>
    <w:bookmarkEnd w:id="23"/>
    <w:bookmarkStart w:id="25" w:name="X8b19bb85c569d8e721774c51b69988246544a60"/>
    <w:p>
      <w:pPr>
        <w:pStyle w:val="Heading2"/>
      </w:pPr>
      <w:r>
        <w:t xml:space="preserve">3.3 Active Binding: Device Keys and Hardware Roots of Trust</w:t>
      </w:r>
    </w:p>
    <w:p>
      <w:pPr>
        <w:pStyle w:val="FirstParagraph"/>
      </w:pPr>
      <w:r>
        <w:t xml:space="preserve">For assets with electronics and power, the mature answer is a</w:t>
      </w:r>
      <w:r>
        <w:t xml:space="preserve"> </w:t>
      </w:r>
      <w:r>
        <w:rPr>
          <w:iCs/>
          <w:i/>
        </w:rPr>
        <w:t xml:space="preserve">device identity key</w:t>
      </w:r>
      <w:r>
        <w:t xml:space="preserve">: an</w:t>
      </w:r>
      <w:r>
        <w:t xml:space="preserve"> </w:t>
      </w:r>
      <w:r>
        <w:t xml:space="preserve">asymmetric key pair generated inside, and never leaving, a tamper-resistant hardware</w:t>
      </w:r>
      <w:r>
        <w:t xml:space="preserve"> </w:t>
      </w:r>
      <w:r>
        <w:t xml:space="preserve">element. The public key (or a certificate over it) becomes the asset’s identifier; the</w:t>
      </w:r>
      <w:r>
        <w:t xml:space="preserve"> </w:t>
      </w:r>
      <w:r>
        <w:t xml:space="preserve">verification function (V) is a challenge–response — the verifier sends a random</w:t>
      </w:r>
      <w:r>
        <w:t xml:space="preserve"> </w:t>
      </w:r>
      <w:r>
        <w:t xml:space="preserve">nonce, the device signs it, the signature checks against the registered public key.</w:t>
      </w:r>
      <w:r>
        <w:t xml:space="preserve"> </w:t>
      </w:r>
      <w:r>
        <w:t xml:space="preserve">Soundness reduces to the difficulty of extracting the private key from the silicon,</w:t>
      </w:r>
      <w:r>
        <w:t xml:space="preserve"> </w:t>
      </w:r>
      <w:r>
        <w:t xml:space="preserve">which dedicated secure elements make genuinely expensive: protected key storage,</w:t>
      </w:r>
      <w:r>
        <w:t xml:space="preserve"> </w:t>
      </w:r>
      <w:r>
        <w:t xml:space="preserve">side-channel countermeasures, and attestation of the firmware the device booted.</w:t>
      </w:r>
    </w:p>
    <w:p>
      <w:pPr>
        <w:pStyle w:val="BodyText"/>
      </w:pPr>
      <w:r>
        <w:t xml:space="preserve">Three grades of this idea appear in energy hardware, in descending order of assurance:</w:t>
      </w:r>
      <w:r>
        <w:t xml:space="preserve"> </w:t>
      </w:r>
      <w:r>
        <w:t xml:space="preserve">discrete secure elements or TPMs (the strongest, standard in recent smart meters under</w:t>
      </w:r>
      <w:r>
        <w:t xml:space="preserve"> </w:t>
      </w:r>
      <w:r>
        <w:t xml:space="preserve">schemes such as the German BSI metering regime); key material in the main processor’s</w:t>
      </w:r>
      <w:r>
        <w:t xml:space="preserve"> </w:t>
      </w:r>
      <w:r>
        <w:t xml:space="preserve">trusted execution environment (weaker isolation, no extra part cost); and soft keys in</w:t>
      </w:r>
      <w:r>
        <w:t xml:space="preserve"> </w:t>
      </w:r>
      <w:r>
        <w:t xml:space="preserve">ordinary flash (little more than an obfuscated serial number — extraction is a firmware</w:t>
      </w:r>
      <w:r>
        <w:t xml:space="preserve"> </w:t>
      </w:r>
      <w:r>
        <w:t xml:space="preserve">bug away). A fourth approach generates the key from a</w:t>
      </w:r>
      <w:r>
        <w:t xml:space="preserve"> </w:t>
      </w:r>
      <w:r>
        <w:rPr>
          <w:iCs/>
          <w:i/>
        </w:rPr>
        <w:t xml:space="preserve">physically unclonable function</w:t>
      </w:r>
      <w:r>
        <w:t xml:space="preserve"> </w:t>
      </w:r>
      <w:r>
        <w:t xml:space="preserve">(PUF) — manufacturing variation in silicon read as a device-unique value at each boot,</w:t>
      </w:r>
      <w:r>
        <w:t xml:space="preserve"> </w:t>
      </w:r>
      <w:r>
        <w:t xml:space="preserve">so no key is stored at rest. PUFs are attractive on paper for cost-sensitive devices,</w:t>
      </w:r>
      <w:r>
        <w:t xml:space="preserve"> </w:t>
      </w:r>
      <w:r>
        <w:t xml:space="preserve">with the caveats that raw PUF responses are noisy (requiring error-correcting</w:t>
      </w:r>
      <w:r>
        <w:t xml:space="preserve"> </w:t>
      </w:r>
      <w:r>
        <w:t xml:space="preserve">“</w:t>
      </w:r>
      <w:r>
        <w:t xml:space="preserve">helper</w:t>
      </w:r>
      <w:r>
        <w:t xml:space="preserve"> </w:t>
      </w:r>
      <w:r>
        <w:t xml:space="preserve">data</w:t>
      </w:r>
      <w:r>
        <w:t xml:space="preserve">”</w:t>
      </w:r>
      <w:r>
        <w:t xml:space="preserve"> </w:t>
      </w:r>
      <w:r>
        <w:t xml:space="preserve">whose own integrity must be managed) and that aging drift over multi-decade</w:t>
      </w:r>
      <w:r>
        <w:t xml:space="preserve"> </w:t>
      </w:r>
      <w:r>
        <w:t xml:space="preserve">service lives remains an active research concern — a caveat that recurs, in a</w:t>
      </w:r>
      <w:r>
        <w:t xml:space="preserve"> </w:t>
      </w:r>
      <w:r>
        <w:t xml:space="preserve">different guise, for the passive fingerprints of Section 3.4.</w:t>
      </w:r>
    </w:p>
    <w:bookmarkStart w:id="24" w:name="what-the-meter-fleets-already-proved"/>
    <w:p>
      <w:pPr>
        <w:pStyle w:val="Heading3"/>
      </w:pPr>
      <w:r>
        <w:t xml:space="preserve">3.3.1 What the Meter Fleets Already Proved</w:t>
      </w:r>
    </w:p>
    <w:p>
      <w:pPr>
        <w:pStyle w:val="FirstParagraph"/>
      </w:pPr>
      <w:r>
        <w:t xml:space="preserve">Active binding at national scale is not a proposal; it is an operating fact, and</w:t>
      </w:r>
      <w:r>
        <w:t xml:space="preserve"> </w:t>
      </w:r>
      <w:r>
        <w:t xml:space="preserve">the smart-metering programs are its proof. The German metering regime is the</w:t>
      </w:r>
      <w:r>
        <w:t xml:space="preserve"> </w:t>
      </w:r>
      <w:r>
        <w:t xml:space="preserve">strictest instance: the BSI’s protection profiles require certified security</w:t>
      </w:r>
      <w:r>
        <w:t xml:space="preserve"> </w:t>
      </w:r>
      <w:r>
        <w:t xml:space="preserve">modules in every smart meter gateway, keys provisioned under audited ceremonies,</w:t>
      </w:r>
      <w:r>
        <w:t xml:space="preserve"> </w:t>
      </w:r>
      <w:r>
        <w:t xml:space="preserve">and cryptographic identity woven into the market’s data flows — and the fleet</w:t>
      </w:r>
      <w:r>
        <w:t xml:space="preserve"> </w:t>
      </w:r>
      <w:r>
        <w:t xml:space="preserve">runs at millions of units under exactly the multi-decade, multi-custodian,</w:t>
      </w:r>
      <w:r>
        <w:t xml:space="preserve"> </w:t>
      </w:r>
      <w:r>
        <w:t xml:space="preserve">regulatorily supervised conditions this book cares about. Comparable if less</w:t>
      </w:r>
      <w:r>
        <w:t xml:space="preserve"> </w:t>
      </w:r>
      <w:r>
        <w:t xml:space="preserve">prescriptive regimes operate across the UK (where the central data</w:t>
      </w:r>
      <w:r>
        <w:t xml:space="preserve"> </w:t>
      </w:r>
      <w:r>
        <w:t xml:space="preserve">communications company terminates device trust), parts of Scandinavia, and the</w:t>
      </w:r>
      <w:r>
        <w:t xml:space="preserve"> </w:t>
      </w:r>
      <w:r>
        <w:t xml:space="preserve">advanced state programs in the US. Three transferable lessons emerge from that</w:t>
      </w:r>
      <w:r>
        <w:t xml:space="preserve"> </w:t>
      </w:r>
      <w:r>
        <w:t xml:space="preserve">operating history. First,</w:t>
      </w:r>
      <w:r>
        <w:t xml:space="preserve"> </w:t>
      </w:r>
      <w:r>
        <w:rPr>
          <w:iCs/>
          <w:i/>
        </w:rPr>
        <w:t xml:space="preserve">unit cost collapses with scale and mandate</w:t>
      </w:r>
      <w:r>
        <w:t xml:space="preserve">: security</w:t>
      </w:r>
      <w:r>
        <w:t xml:space="preserve"> </w:t>
      </w:r>
      <w:r>
        <w:t xml:space="preserve">silicon that pilot programs priced in dollars settled to well under one dollar</w:t>
      </w:r>
      <w:r>
        <w:t xml:space="preserve"> </w:t>
      </w:r>
      <w:r>
        <w:t xml:space="preserve">at fleet volumes, and the certification overhead — the real cost — amortized</w:t>
      </w:r>
      <w:r>
        <w:t xml:space="preserve"> </w:t>
      </w:r>
      <w:r>
        <w:t xml:space="preserve">across vendors once profiles stabilized. Second,</w:t>
      </w:r>
      <w:r>
        <w:t xml:space="preserve"> </w:t>
      </w:r>
      <w:r>
        <w:rPr>
          <w:iCs/>
          <w:i/>
        </w:rPr>
        <w:t xml:space="preserve">the hard operational problem</w:t>
      </w:r>
      <w:r>
        <w:rPr>
          <w:iCs/>
          <w:i/>
        </w:rPr>
        <w:t xml:space="preserve"> </w:t>
      </w:r>
      <w:r>
        <w:rPr>
          <w:iCs/>
          <w:i/>
        </w:rPr>
        <w:t xml:space="preserve">is key ceremony logistics, not cryptography</w:t>
      </w:r>
      <w:r>
        <w:t xml:space="preserve">: provisioning stations, personnel</w:t>
      </w:r>
      <w:r>
        <w:t xml:space="preserve"> </w:t>
      </w:r>
      <w:r>
        <w:t xml:space="preserve">vetting, and the handling of failed provisioning runs generated most of the</w:t>
      </w:r>
      <w:r>
        <w:t xml:space="preserve"> </w:t>
      </w:r>
      <w:r>
        <w:t xml:space="preserve">field incidents, which is why Section 4.3 treats issuance as the trusted setup</w:t>
      </w:r>
      <w:r>
        <w:t xml:space="preserve"> </w:t>
      </w:r>
      <w:r>
        <w:t xml:space="preserve">and why the pilot of Chapter 11 staffs it accordingly. Third,</w:t>
      </w:r>
      <w:r>
        <w:t xml:space="preserve"> </w:t>
      </w:r>
      <w:r>
        <w:rPr>
          <w:iCs/>
          <w:i/>
        </w:rPr>
        <w:t xml:space="preserve">governance</w:t>
      </w:r>
      <w:r>
        <w:rPr>
          <w:iCs/>
          <w:i/>
        </w:rPr>
        <w:t xml:space="preserve"> </w:t>
      </w:r>
      <w:r>
        <w:rPr>
          <w:iCs/>
          <w:i/>
        </w:rPr>
        <w:t xml:space="preserve">outlives hardware</w:t>
      </w:r>
      <w:r>
        <w:t xml:space="preserve">: meter fleets have already crossed vendor bankruptcies,</w:t>
      </w:r>
      <w:r>
        <w:t xml:space="preserve"> </w:t>
      </w:r>
      <w:r>
        <w:t xml:space="preserve">protocol revisions, and one full algorithm generation, and the programs that</w:t>
      </w:r>
      <w:r>
        <w:t xml:space="preserve"> </w:t>
      </w:r>
      <w:r>
        <w:t xml:space="preserve">handled these smoothly were those whose device identities were registered</w:t>
      </w:r>
      <w:r>
        <w:t xml:space="preserve"> </w:t>
      </w:r>
      <w:r>
        <w:t xml:space="preserve">against the</w:t>
      </w:r>
      <w:r>
        <w:t xml:space="preserve"> </w:t>
      </w:r>
      <w:r>
        <w:rPr>
          <w:iCs/>
          <w:i/>
        </w:rPr>
        <w:t xml:space="preserve">program’s</w:t>
      </w:r>
      <w:r>
        <w:t xml:space="preserve"> </w:t>
      </w:r>
      <w:r>
        <w:t xml:space="preserve">infrastructure rather than any vendor’s — the</w:t>
      </w:r>
      <w:r>
        <w:t xml:space="preserve"> </w:t>
      </w:r>
      <w:r>
        <w:t xml:space="preserve">institutional-independence argument of Chapter 1, validated in production. The</w:t>
      </w:r>
      <w:r>
        <w:t xml:space="preserve"> </w:t>
      </w:r>
      <w:r>
        <w:t xml:space="preserve">DER asset classes with electronics can, in effect, inherit a proven playbook;</w:t>
      </w:r>
      <w:r>
        <w:t xml:space="preserve"> </w:t>
      </w:r>
      <w:r>
        <w:t xml:space="preserve">this book’s contribution for them is mainly to connect that playbook to the</w:t>
      </w:r>
      <w:r>
        <w:t xml:space="preserve"> </w:t>
      </w:r>
      <w:r>
        <w:t xml:space="preserve">evidential record layer. The module cannot inherit it, which is why the passive</w:t>
      </w:r>
      <w:r>
        <w:t xml:space="preserve"> </w:t>
      </w:r>
      <w:r>
        <w:t xml:space="preserve">sections of this chapter and Chapter 6 exist.</w:t>
      </w:r>
    </w:p>
    <w:p>
      <w:pPr>
        <w:pStyle w:val="BodyText"/>
      </w:pPr>
      <w:r>
        <w:t xml:space="preserve">The applicability boundary is sharp and shapes the whole architecture:</w:t>
      </w:r>
    </w:p>
    <w:p>
      <w:pPr>
        <w:pStyle w:val="BodyText"/>
      </w:pPr>
      <w:r>
        <w:rPr>
          <w:bCs/>
          <w:b/>
        </w:rPr>
        <w:t xml:space="preserve">Table 3.2</w:t>
      </w:r>
      <w:r>
        <w:t xml:space="preserve"> </w:t>
      </w:r>
      <w:r>
        <w:t xml:space="preserve">Active binding applicability across the DER asset population.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 /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Inverters (string, central, micro)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suited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element adds ~USD 1–3 per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management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suited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 pack; cell-level binding still open (Ch.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meters, gateways,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precedent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Trackers, combiner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Retrofit fleet is the obstacle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laminate; the central hard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Mounting, cabling, structural 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unit value; batch identity usually suffices</w:t>
            </w:r>
          </w:p>
        </w:tc>
      </w:tr>
    </w:tbl>
    <w:p>
      <w:pPr>
        <w:pStyle w:val="BodyText"/>
      </w:pPr>
      <w:r>
        <w:t xml:space="preserve">Because active binding carries so much of the architecture for the electronic</w:t>
      </w:r>
      <w:r>
        <w:t xml:space="preserve"> </w:t>
      </w:r>
      <w:r>
        <w:t xml:space="preserve">asset classes, its operational lifecycle deserves more than the summary above;</w:t>
      </w:r>
      <w:r>
        <w:t xml:space="preserve"> </w:t>
      </w:r>
      <w:r>
        <w:t xml:space="preserve">the following paragraphs walk it end to end, and the reader will recognize each</w:t>
      </w:r>
      <w:r>
        <w:t xml:space="preserve"> </w:t>
      </w:r>
      <w:r>
        <w:t xml:space="preserve">stage as the active-device mirror of what Chapters 4–6 build for passive ones.</w:t>
      </w:r>
    </w:p>
    <w:p>
      <w:pPr>
        <w:pStyle w:val="BodyText"/>
      </w:pPr>
      <w:r>
        <w:rPr>
          <w:iCs/>
          <w:i/>
        </w:rPr>
        <w:t xml:space="preserve">Provisioning.</w:t>
      </w:r>
      <w:r>
        <w:t xml:space="preserve"> </w:t>
      </w:r>
      <w:r>
        <w:t xml:space="preserve">The key pair is generated inside the secure element on the</w:t>
      </w:r>
      <w:r>
        <w:t xml:space="preserve"> </w:t>
      </w:r>
      <w:r>
        <w:t xml:space="preserve">production line — never injected from outside, since an injected key existed</w:t>
      </w:r>
      <w:r>
        <w:t xml:space="preserve"> </w:t>
      </w:r>
      <w:r>
        <w:t xml:space="preserve">somewhere else at least once — and the public half is captured into the device’s</w:t>
      </w:r>
      <w:r>
        <w:t xml:space="preserve"> </w:t>
      </w:r>
      <w:r>
        <w:t xml:space="preserve">registration along with the element’s own attestation certificate, which chains</w:t>
      </w:r>
      <w:r>
        <w:t xml:space="preserve"> </w:t>
      </w:r>
      <w:r>
        <w:t xml:space="preserve">to the silicon vendor. Provisioning is the active device’s enrollment moment and</w:t>
      </w:r>
      <w:r>
        <w:t xml:space="preserve"> </w:t>
      </w:r>
      <w:r>
        <w:t xml:space="preserve">shares the trusted-setup character of Section 4.3: subvert the line here and</w:t>
      </w:r>
      <w:r>
        <w:t xml:space="preserve"> </w:t>
      </w:r>
      <w:r>
        <w:t xml:space="preserve">every later verification faithfully authenticates the wrong association. The</w:t>
      </w:r>
      <w:r>
        <w:t xml:space="preserve"> </w:t>
      </w:r>
      <w:r>
        <w:t xml:space="preserve">mitigation is the same recursion used everywhere in this book — the provisioning</w:t>
      </w:r>
      <w:r>
        <w:t xml:space="preserve"> </w:t>
      </w:r>
      <w:r>
        <w:t xml:space="preserve">station is itself an identified, attested instrument.</w:t>
      </w:r>
    </w:p>
    <w:p>
      <w:pPr>
        <w:pStyle w:val="BodyText"/>
      </w:pPr>
      <w:r>
        <w:rPr>
          <w:iCs/>
          <w:i/>
        </w:rPr>
        <w:t xml:space="preserve">Attestation in operation.</w:t>
      </w:r>
      <w:r>
        <w:t xml:space="preserve"> </w:t>
      </w:r>
      <w:r>
        <w:t xml:space="preserve">A live device can prove more than possession of its</w:t>
      </w:r>
      <w:r>
        <w:t xml:space="preserve"> </w:t>
      </w:r>
      <w:r>
        <w:t xml:space="preserve">key: measured boot and remote attestation let it sign a statement of</w:t>
      </w:r>
      <w: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firmware it is running</w:t>
      </w:r>
      <w:r>
        <w:t xml:space="preserve">, which grid operators increasingly have independent</w:t>
      </w:r>
      <w:r>
        <w:t xml:space="preserve"> </w:t>
      </w:r>
      <w:r>
        <w:t xml:space="preserve">reasons to demand (Chapter 10’s interconnection interfaces; Chapter 12’s</w:t>
      </w:r>
      <w:r>
        <w:t xml:space="preserve"> </w:t>
      </w:r>
      <w:r>
        <w:t xml:space="preserve">firmware-churn problem). The commissioning self-tests of Chapter 11 lean on</w:t>
      </w:r>
      <w:r>
        <w:t xml:space="preserve"> </w:t>
      </w:r>
      <w:r>
        <w:t xml:space="preserve">this: the inverter’s commissioning event is signed by the device, under firmware</w:t>
      </w:r>
      <w:r>
        <w:t xml:space="preserve"> </w:t>
      </w:r>
      <w:r>
        <w:t xml:space="preserve">whose hash is in the event, through a key that never left the silicon — a chain</w:t>
      </w:r>
      <w:r>
        <w:t xml:space="preserve"> </w:t>
      </w:r>
      <w:r>
        <w:t xml:space="preserve">with no human transcription anywhere in it.</w:t>
      </w:r>
    </w:p>
    <w:p>
      <w:pPr>
        <w:pStyle w:val="BodyText"/>
      </w:pPr>
      <w:r>
        <w:rPr>
          <w:iCs/>
          <w:i/>
        </w:rPr>
        <w:t xml:space="preserve">Key lifecycle over decades.</w:t>
      </w:r>
      <w:r>
        <w:t xml:space="preserve"> </w:t>
      </w:r>
      <w:r>
        <w:t xml:space="preserve">Certificates expire, algorithms age (the ECC roots</w:t>
      </w:r>
      <w:r>
        <w:t xml:space="preserve"> </w:t>
      </w:r>
      <w:r>
        <w:t xml:space="preserve">in today’s elements are Chapter 9’s most exposed row), elements fail, and boards</w:t>
      </w:r>
      <w:r>
        <w:t xml:space="preserve"> </w:t>
      </w:r>
      <w:r>
        <w:t xml:space="preserve">get replaced in field service. Each has an answer with a schema hook: expiry and</w:t>
      </w:r>
      <w:r>
        <w:t xml:space="preserve"> </w:t>
      </w:r>
      <w:r>
        <w:t xml:space="preserve">renewal are accreditation-register events; algorithm migration rides the</w:t>
      </w:r>
      <w:r>
        <w:t xml:space="preserve"> </w:t>
      </w:r>
      <w:r>
        <w:t xml:space="preserve">hardware-refresh re-attestation pattern (Section 9.4, P3); and board replacement</w:t>
      </w:r>
      <w:r>
        <w:t xml:space="preserve"> </w:t>
      </w:r>
      <w:r>
        <w:t xml:space="preserve">is the interesting one — the device identity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survive replacement of</w:t>
      </w:r>
      <w:r>
        <w:t xml:space="preserve"> </w:t>
      </w:r>
      <w:r>
        <w:t xml:space="preserve">the element that holds its key, so the service event records a successor</w:t>
      </w:r>
      <w:r>
        <w:t xml:space="preserve"> </w:t>
      </w:r>
      <w:r>
        <w:t xml:space="preserve">identity linked to the predecessor, exactly the supersession-with-provenance</w:t>
      </w:r>
      <w:r>
        <w:t xml:space="preserve"> </w:t>
      </w:r>
      <w:r>
        <w:t xml:space="preserve">pattern that passive re-enrollment uses. The symmetry is not cosmetic; it lets</w:t>
      </w:r>
      <w:r>
        <w:t xml:space="preserve"> </w:t>
      </w:r>
      <w:r>
        <w:t xml:space="preserve">one verification logic serve both binding families.</w:t>
      </w:r>
    </w:p>
    <w:p>
      <w:pPr>
        <w:pStyle w:val="BodyText"/>
      </w:pPr>
      <w:r>
        <w:t xml:space="preserve">The largest asset population by count — the module — falls outside the active</w:t>
      </w:r>
      <w:r>
        <w:t xml:space="preserve"> </w:t>
      </w:r>
      <w:r>
        <w:t xml:space="preserve">paradigm. Proposals to embed powered electronics in module junction boxes exist</w:t>
      </w:r>
      <w:r>
        <w:t xml:space="preserve"> </w:t>
      </w:r>
      <w:r>
        <w:t xml:space="preserve">(module-level power electronics already put silicon there), but they raise cost,</w:t>
      </w:r>
      <w:r>
        <w:t xml:space="preserve"> </w:t>
      </w:r>
      <w:r>
        <w:t xml:space="preserve">add a failure mode to a 30-year passive device, and protect only units built</w:t>
      </w:r>
      <w:r>
        <w:t xml:space="preserve"> </w:t>
      </w:r>
      <w:r>
        <w:t xml:space="preserve">henceforth, doing nothing for the installed terawatt. A per-module secure tag at</w:t>
      </w:r>
      <w:r>
        <w:t xml:space="preserve"> </w:t>
      </w:r>
      <w:r>
        <w:t xml:space="preserve">even one dollar is a seven-figure line item on a large plant for which the</w:t>
      </w:r>
      <w:r>
        <w:t xml:space="preserve"> </w:t>
      </w:r>
      <w:r>
        <w:t xml:space="preserve">buyer receives protection of the</w:t>
      </w:r>
      <w:r>
        <w:t xml:space="preserve"> </w:t>
      </w:r>
      <w:r>
        <w:rPr>
          <w:iCs/>
          <w:i/>
        </w:rPr>
        <w:t xml:space="preserve">tag</w:t>
      </w:r>
      <w:r>
        <w:t xml:space="preserve">, not the laminate — the tag-to-laminate</w:t>
      </w:r>
      <w:r>
        <w:t xml:space="preserve"> </w:t>
      </w:r>
      <w:r>
        <w:t xml:space="preserve">association being exactly as forgeable as the label it replaced unless the tag’s</w:t>
      </w:r>
      <w:r>
        <w:t xml:space="preserve"> </w:t>
      </w:r>
      <w:r>
        <w:t xml:space="preserve">placement is itself tamper-evident, which returns the problem to physical</w:t>
      </w:r>
      <w:r>
        <w:t xml:space="preserve"> </w:t>
      </w:r>
      <w:r>
        <w:t xml:space="preserve">binding by another road. The passive route is not a fallback; for modules it is</w:t>
      </w:r>
      <w:r>
        <w:t xml:space="preserve"> </w:t>
      </w:r>
      <w:r>
        <w:t xml:space="preserve">the main road.</w:t>
      </w:r>
    </w:p>
    <w:bookmarkEnd w:id="24"/>
    <w:bookmarkEnd w:id="25"/>
    <w:bookmarkStart w:id="27" w:name="X2bc6e087e5c41dc0b4905fa4cb9bdbe41cd2be3"/>
    <w:p>
      <w:pPr>
        <w:pStyle w:val="Heading2"/>
      </w:pPr>
      <w:r>
        <w:t xml:space="preserve">3.4 Passive Binding: The Object as Its Own Credential</w:t>
      </w:r>
    </w:p>
    <w:p>
      <w:pPr>
        <w:pStyle w:val="FirstParagraph"/>
      </w:pPr>
      <w:r>
        <w:t xml:space="preserve">A passive binding mechanism derives the asset’s credential from measurable physical</w:t>
      </w:r>
      <w:r>
        <w:t xml:space="preserve"> </w:t>
      </w:r>
      <w:r>
        <w:t xml:space="preserve">structure — no electronics, no stored secret. The general pattern has three parts: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Enrollment.</w:t>
      </w:r>
      <w:r>
        <w:t xml:space="preserve"> </w:t>
      </w:r>
      <w:r>
        <w:t xml:space="preserve">At a trusted moment (manufacture, or first inspection), measure a</w:t>
      </w:r>
      <w:r>
        <w:t xml:space="preserve"> </w:t>
      </w:r>
      <w:r>
        <w:t xml:space="preserve">structural property of the unit; reduce the measurement to a</w:t>
      </w:r>
      <w:r>
        <w:t xml:space="preserve"> </w:t>
      </w:r>
      <w:r>
        <w:rPr>
          <w:iCs/>
          <w:i/>
        </w:rPr>
        <w:t xml:space="preserve">fingerprint</w:t>
      </w:r>
      <w:r>
        <w:rPr>
          <w:iCs/>
          <w:i/>
        </w:rPr>
        <w:t xml:space="preserve"> </w:t>
      </w:r>
      <w:r>
        <w:rPr>
          <w:iCs/>
          <w:i/>
        </w:rPr>
        <w:t xml:space="preserve">template</w:t>
      </w:r>
      <w:r>
        <w:t xml:space="preserve">; commit the template (or its digest) to the identity record.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Verification.</w:t>
      </w:r>
      <w:r>
        <w:t xml:space="preserve"> </w:t>
      </w:r>
      <w:r>
        <w:t xml:space="preserve">In the field, re-measure; compare against the enrolled template</w:t>
      </w:r>
      <w:r>
        <w:t xml:space="preserve"> </w:t>
      </w:r>
      <w:r>
        <w:t xml:space="preserve">under a similarity metric with a decision threshold.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Robustness engineering.</w:t>
      </w:r>
      <w:r>
        <w:t xml:space="preserve"> </w:t>
      </w:r>
      <w:r>
        <w:t xml:space="preserve">The hard part: the fingerprint must be</w:t>
      </w:r>
      <w:r>
        <w:t xml:space="preserve"> </w:t>
      </w:r>
      <w:r>
        <w:rPr>
          <w:iCs/>
          <w:i/>
        </w:rPr>
        <w:t xml:space="preserve">stable</w:t>
      </w:r>
      <w:r>
        <w:t xml:space="preserve"> </w:t>
      </w:r>
      <w:r>
        <w:t xml:space="preserve">under</w:t>
      </w:r>
      <w:r>
        <w:t xml:space="preserve"> </w:t>
      </w:r>
      <w:r>
        <w:t xml:space="preserve">legitimate aging and measurement noise, yet</w:t>
      </w:r>
      <w:r>
        <w:t xml:space="preserve"> </w:t>
      </w:r>
      <w:r>
        <w:rPr>
          <w:iCs/>
          <w:i/>
        </w:rPr>
        <w:t xml:space="preserve">discriminating</w:t>
      </w:r>
      <w:r>
        <w:t xml:space="preserve"> </w:t>
      </w:r>
      <w:r>
        <w:t xml:space="preserve">against other units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expensive to forge</w:t>
      </w:r>
      <w:r>
        <w:t xml:space="preserve"> </w:t>
      </w:r>
      <w:r>
        <w:t xml:space="preserve">— the same triangle biometrics has negotiated for decades,</w:t>
      </w:r>
      <w:r>
        <w:t xml:space="preserve"> </w:t>
      </w:r>
      <w:r>
        <w:t xml:space="preserve">and the false-accept/false-reject formalism of that field transfers directly.</w:t>
      </w:r>
    </w:p>
    <w:p>
      <w:pPr>
        <w:pStyle w:val="FirstParagraph"/>
      </w:pPr>
      <w:r>
        <w:t xml:space="preserve">Candidate fingerprints for PV modules, roughly in order of current practicality: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Electroluminescence (EL) structure.</w:t>
      </w:r>
      <w:r>
        <w:t xml:space="preserve"> </w:t>
      </w:r>
      <w:r>
        <w:t xml:space="preserve">Under forward bias in darkness, a module’s</w:t>
      </w:r>
      <w:r>
        <w:t xml:space="preserve"> </w:t>
      </w:r>
      <w:r>
        <w:t xml:space="preserve">cells emit near-infrared light whose spatial pattern reveals crystal grain</w:t>
      </w:r>
      <w:r>
        <w:t xml:space="preserve"> </w:t>
      </w:r>
      <w:r>
        <w:t xml:space="preserve">structure, micro-cracks, and finger defects — patterns fixed at manufacture and</w:t>
      </w:r>
      <w:r>
        <w:t xml:space="preserve"> </w:t>
      </w:r>
      <w:r>
        <w:t xml:space="preserve">effectively unique per cell. EL imaging is already routine in factory QA and field</w:t>
      </w:r>
      <w:r>
        <w:t xml:space="preserve"> </w:t>
      </w:r>
      <w:r>
        <w:t xml:space="preserve">inspection, so the instrument base exists. The obstacle is stability: cracks</w:t>
      </w:r>
      <w:r>
        <w:t xml:space="preserve"> </w:t>
      </w:r>
      <w:r>
        <w:rPr>
          <w:iCs/>
          <w:i/>
        </w:rPr>
        <w:t xml:space="preserve">evolve</w:t>
      </w:r>
      <w:r>
        <w:t xml:space="preserve"> </w:t>
      </w:r>
      <w:r>
        <w:t xml:space="preserve">(transport, hail, thermal cycling), so naive template matching degrades</w:t>
      </w:r>
      <w:r>
        <w:t xml:space="preserve"> </w:t>
      </w:r>
      <w:r>
        <w:t xml:space="preserve">precisely when the asset’s history gets interesting. A workable scheme must</w:t>
      </w:r>
      <w:r>
        <w:t xml:space="preserve"> </w:t>
      </w:r>
      <w:r>
        <w:t xml:space="preserve">separate stable structural features (grain boundaries, as-built crack morphology)</w:t>
      </w:r>
      <w:r>
        <w:t xml:space="preserve"> </w:t>
      </w:r>
      <w:r>
        <w:t xml:space="preserve">from evolving damage — and, done well, this turns the liability into the product: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difference</w:t>
      </w:r>
      <w:r>
        <w:t xml:space="preserve"> </w:t>
      </w:r>
      <w:r>
        <w:t xml:space="preserve">between enrollment and verification images is itself the</w:t>
      </w:r>
      <w:r>
        <w:t xml:space="preserve"> </w:t>
      </w:r>
      <w:r>
        <w:t xml:space="preserve">degradation evidence the lifecycle record wants (Chapter 6 builds exactly this).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Electrical signatures.</w:t>
      </w:r>
      <w:r>
        <w:t xml:space="preserve"> </w:t>
      </w:r>
      <w:r>
        <w:t xml:space="preserve">Dark I–V curves, series/shunt resistance profiles, and</w:t>
      </w:r>
      <w:r>
        <w:t xml:space="preserve"> </w:t>
      </w:r>
      <w:r>
        <w:t xml:space="preserve">capacitance spectra are cheap to measure at the string or module level but are</w:t>
      </w:r>
      <w:r>
        <w:t xml:space="preserve"> </w:t>
      </w:r>
      <w:r>
        <w:t xml:space="preserve">low-dimensional — discriminating among thousands of nominally identical units is</w:t>
      </w:r>
      <w:r>
        <w:t xml:space="preserve"> </w:t>
      </w:r>
      <w:r>
        <w:t xml:space="preserve">marginal — and drift with the very degradation the system must tolerate. Useful as</w:t>
      </w:r>
      <w:r>
        <w:t xml:space="preserve"> </w:t>
      </w:r>
      <w:r>
        <w:t xml:space="preserve">corroboration, insufficient alone.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Surface and material texture.</w:t>
      </w:r>
      <w:r>
        <w:t xml:space="preserve"> </w:t>
      </w:r>
      <w:r>
        <w:t xml:space="preserve">Optical speckle from encapsulant or backsheet</w:t>
      </w:r>
      <w:r>
        <w:t xml:space="preserve"> </w:t>
      </w:r>
      <w:r>
        <w:t xml:space="preserve">texture, in the spirit of</w:t>
      </w:r>
      <w:r>
        <w:t xml:space="preserve"> </w:t>
      </w:r>
      <w:r>
        <w:t xml:space="preserve">“</w:t>
      </w:r>
      <w:r>
        <w:t xml:space="preserve">fingerprints of paper</w:t>
      </w:r>
      <w:r>
        <w:t xml:space="preserve">”</w:t>
      </w:r>
      <w:r>
        <w:t xml:space="preserve"> </w:t>
      </w:r>
      <w:r>
        <w:t xml:space="preserve">work in physical cryptography;</w:t>
      </w:r>
      <w:r>
        <w:t xml:space="preserve"> </w:t>
      </w:r>
      <w:r>
        <w:t xml:space="preserve">high entropy, but read points must be relocatable after decades of weathering,</w:t>
      </w:r>
      <w:r>
        <w:t xml:space="preserve"> </w:t>
      </w:r>
      <w:r>
        <w:t xml:space="preserve">and outdoor soiling is unforgiving.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Structural defect maps.</w:t>
      </w:r>
      <w:r>
        <w:t xml:space="preserve"> </w:t>
      </w:r>
      <w:r>
        <w:t xml:space="preserve">Magnetometry with nitrogen-vacancy centers and</w:t>
      </w:r>
      <w:r>
        <w:t xml:space="preserve"> </w:t>
      </w:r>
      <w:r>
        <w:t xml:space="preserve">related quantum-limited modalities map current-flow anomalies and material</w:t>
      </w:r>
      <w:r>
        <w:t xml:space="preserve"> </w:t>
      </w:r>
      <w:r>
        <w:t xml:space="preserve">structure at resolution and depth unavailable to optical methods alone; classical</w:t>
      </w:r>
      <w:r>
        <w:t xml:space="preserve"> </w:t>
      </w:r>
      <w:r>
        <w:t xml:space="preserve">EL and thermography provide corroboration at factory and field scale (Chapter 6,</w:t>
      </w:r>
      <w:r>
        <w:t xml:space="preserve"> </w:t>
      </w:r>
      <w:r>
        <w:t xml:space="preserve">Section 6.0). The maps capture features intrinsic to the semiconductor bulk —</w:t>
      </w:r>
      <w:r>
        <w:t xml:space="preserve"> </w:t>
      </w:r>
      <w:r>
        <w:t xml:space="preserve">the hardest layer of the device for a forger to reproduce. This is the anchor of</w:t>
      </w:r>
      <w:r>
        <w:t xml:space="preserve"> </w:t>
      </w:r>
      <w:r>
        <w:t xml:space="preserve">the patent-pending approach this book develops; Chapter 6 treats it in full,</w:t>
      </w:r>
      <w:r>
        <w:t xml:space="preserve"> </w:t>
      </w:r>
      <w:r>
        <w:t xml:space="preserve">including the sober accounting of instrument cost and throughput that any honest</w:t>
      </w:r>
      <w:r>
        <w:t xml:space="preserve"> </w:t>
      </w:r>
      <w:r>
        <w:t xml:space="preserve">proposal owes.</w:t>
      </w:r>
    </w:p>
    <w:p>
      <w:pPr>
        <w:pStyle w:val="FirstParagraph"/>
      </w:pPr>
      <w:r>
        <w:t xml:space="preserve">The four candidates deserve a closer physical look than the bullet summaries,</w:t>
      </w:r>
      <w:r>
        <w:t xml:space="preserve"> </w:t>
      </w:r>
      <w:r>
        <w:t xml:space="preserve">because their strengths are set by</w:t>
      </w:r>
      <w:r>
        <w:t xml:space="preserve"> </w:t>
      </w:r>
      <w:r>
        <w:rPr>
          <w:iCs/>
          <w:i/>
        </w:rPr>
        <w:t xml:space="preserve">where in the device</w:t>
      </w:r>
      <w:r>
        <w:t xml:space="preserve"> </w:t>
      </w:r>
      <w:r>
        <w:t xml:space="preserve">their features live.</w:t>
      </w:r>
      <w:r>
        <w:t xml:space="preserve"> </w:t>
      </w:r>
      <w:r>
        <w:t xml:space="preserve">EL structure is a junction phenomenon: the emission intensity at each point</w:t>
      </w:r>
      <w:r>
        <w:t xml:space="preserve"> </w:t>
      </w:r>
      <w:r>
        <w:t xml:space="preserve">tracks local radiative recombination, so the image is a map of electronic</w:t>
      </w:r>
      <w:r>
        <w:t xml:space="preserve"> </w:t>
      </w:r>
      <w:r>
        <w:t xml:space="preserve">quality across the cell — grain boundaries appear because recombination differs</w:t>
      </w:r>
      <w:r>
        <w:t xml:space="preserve"> </w:t>
      </w:r>
      <w:r>
        <w:t xml:space="preserve">across crystal orientations, cracks appear where the emission path is broken,</w:t>
      </w:r>
      <w:r>
        <w:t xml:space="preserve"> </w:t>
      </w:r>
      <w:r>
        <w:t xml:space="preserve">and process signatures (firing profiles, passivation variation) leave batch-</w:t>
      </w:r>
      <w:r>
        <w:t xml:space="preserve"> </w:t>
      </w:r>
      <w:r>
        <w:t xml:space="preserve">level texture on which unit-level individuality rides. Its blind spots follow</w:t>
      </w:r>
      <w:r>
        <w:t xml:space="preserve"> </w:t>
      </w:r>
      <w:r>
        <w:t xml:space="preserve">from the same physics: features that do not modulate radiative recombination —</w:t>
      </w:r>
      <w:r>
        <w:t xml:space="preserve"> </w:t>
      </w:r>
      <w:r>
        <w:t xml:space="preserve">a resistive solder bond early in its life, a buried shunt below the junction —</w:t>
      </w:r>
      <w:r>
        <w:t xml:space="preserve"> </w:t>
      </w:r>
      <w:r>
        <w:t xml:space="preserve">are dim or invisible. Electrical signatures integrate over the whole device:</w:t>
      </w:r>
      <w:r>
        <w:t xml:space="preserve"> </w:t>
      </w:r>
      <w:r>
        <w:t xml:space="preserve">every defect contributes to the dark I–V curve, but summed into a handful of</w:t>
      </w:r>
      <w:r>
        <w:t xml:space="preserve"> </w:t>
      </w:r>
      <w:r>
        <w:t xml:space="preserve">scalar parameters, which is why their entropy is low — a million modules</w:t>
      </w:r>
      <w:r>
        <w:t xml:space="preserve"> </w:t>
      </w:r>
      <w:r>
        <w:t xml:space="preserve">project onto a few distinguishable curve families. Surface texture lives at the</w:t>
      </w:r>
      <w:r>
        <w:t xml:space="preserve"> </w:t>
      </w:r>
      <w:r>
        <w:t xml:space="preserve">outermost layers, which is what makes it both cheap to read and cheap to</w:t>
      </w:r>
      <w:r>
        <w:t xml:space="preserve"> </w:t>
      </w:r>
      <w:r>
        <w:t xml:space="preserve">attack: it is the only candidate an adversary can</w:t>
      </w:r>
      <w:r>
        <w:t xml:space="preserve"> </w:t>
      </w:r>
      <w:r>
        <w:rPr>
          <w:iCs/>
          <w:i/>
        </w:rPr>
        <w:t xml:space="preserve">replace</w:t>
      </w:r>
      <w:r>
        <w:t xml:space="preserve"> </w:t>
      </w:r>
      <w:r>
        <w:t xml:space="preserve">(re-laminate a</w:t>
      </w:r>
      <w:r>
        <w:t xml:space="preserve"> </w:t>
      </w:r>
      <w:r>
        <w:t xml:space="preserve">backsheet, polish and re-texture) without touching the functional device.</w:t>
      </w:r>
      <w:r>
        <w:t xml:space="preserve"> </w:t>
      </w:r>
      <w:r>
        <w:t xml:space="preserve">Defect maps read by magnetometry live deepest — in the current paths through</w:t>
      </w:r>
      <w:r>
        <w:t xml:space="preserve"> </w:t>
      </w:r>
      <w:r>
        <w:t xml:space="preserve">the semiconductor bulk and metallization — which is the root of both their</w:t>
      </w:r>
      <w:r>
        <w:t xml:space="preserve"> </w:t>
      </w:r>
      <w:r>
        <w:t xml:space="preserve">forgery resistance and their instrumentation cost. The pattern to notice:</w:t>
      </w:r>
      <w:r>
        <w:t xml:space="preserve"> </w:t>
      </w:r>
      <w:r>
        <w:rPr>
          <w:bCs/>
          <w:b/>
        </w:rPr>
        <w:t xml:space="preserve">depth buys security and costs accessibility</w:t>
      </w:r>
      <w:r>
        <w:t xml:space="preserve">, and the composite designs of</w:t>
      </w:r>
      <w:r>
        <w:t xml:space="preserve"> </w:t>
      </w:r>
      <w:r>
        <w:t xml:space="preserve">Section 3.6 and Chapter 6 are ways of buying depth only when a transaction</w:t>
      </w:r>
      <w:r>
        <w:t xml:space="preserve"> </w:t>
      </w:r>
      <w:r>
        <w:t xml:space="preserve">justifies 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Cs/>
          <w:i/>
        </w:rPr>
        <w:t xml:space="preserve">enrollment moment</w:t>
      </w:r>
      <w:r>
        <w:t xml:space="preserve"> </w:t>
      </w:r>
      <w:r>
        <w:t xml:space="preserve">deserves separate attention for passive mechanisms,</w:t>
      </w:r>
      <w:r>
        <w:t xml:space="preserve"> </w:t>
      </w:r>
      <w:r>
        <w:t xml:space="preserve">because it is where their guarantees are weakest and their economics are</w:t>
      </w:r>
      <w:r>
        <w:t xml:space="preserve"> </w:t>
      </w:r>
      <w:r>
        <w:t xml:space="preserve">decided. Enrollment at manufacture — in-line, as part of the QA imaging the</w:t>
      </w:r>
      <w:r>
        <w:t xml:space="preserve"> </w:t>
      </w:r>
      <w:r>
        <w:t xml:space="preserve">factory already performs — costs nearly nothing, captures the device in its</w:t>
      </w:r>
      <w:r>
        <w:t xml:space="preserve"> </w:t>
      </w:r>
      <w:r>
        <w:t xml:space="preserve">best-documented state, and inherits the factory’s controlled measurement</w:t>
      </w:r>
      <w:r>
        <w:t xml:space="preserve"> </w:t>
      </w:r>
      <w:r>
        <w:t xml:space="preserve">conditions; it is the gold standard, and Section 4.3 builds the issuance</w:t>
      </w:r>
      <w:r>
        <w:t xml:space="preserve"> </w:t>
      </w:r>
      <w:r>
        <w:t xml:space="preserve">protocol around it. Enrollment in the field — the retrofit case, unavoidable</w:t>
      </w:r>
      <w:r>
        <w:t xml:space="preserve"> </w:t>
      </w:r>
      <w:r>
        <w:t xml:space="preserve">for the installed terawatt — costs a site visit, captures a device whose prior</w:t>
      </w:r>
      <w:r>
        <w:t xml:space="preserve"> </w:t>
      </w:r>
      <w:r>
        <w:t xml:space="preserve">history is unknowable, and must be honest about that: the resulting identity</w:t>
      </w:r>
      <w:r>
        <w:t xml:space="preserve"> </w:t>
      </w:r>
      <w:r>
        <w:t xml:space="preserve">attests continuity</w:t>
      </w:r>
      <w:r>
        <w:t xml:space="preserve"> </w:t>
      </w:r>
      <w:r>
        <w:rPr>
          <w:iCs/>
          <w:i/>
        </w:rPr>
        <w:t xml:space="preserve">from enrollment forward</w:t>
      </w:r>
      <w:r>
        <w:t xml:space="preserve">, nothing earlier. The two classes</w:t>
      </w:r>
      <w:r>
        <w:t xml:space="preserve"> </w:t>
      </w:r>
      <w:r>
        <w:t xml:space="preserve">must be distinguishable in the record forever (Chapter 4’s registration</w:t>
      </w:r>
      <w:r>
        <w:t xml:space="preserve"> </w:t>
      </w:r>
      <w:r>
        <w:t xml:space="preserve">classes), and the market must price them differently (Chapter 13 confirms it</w:t>
      </w:r>
      <w:r>
        <w:t xml:space="preserve"> </w:t>
      </w:r>
      <w:r>
        <w:t xml:space="preserve">will). What retrofit enrollment buys, despite the caveats, is substantial: it</w:t>
      </w:r>
      <w:r>
        <w:t xml:space="preserve"> </w:t>
      </w:r>
      <w:r>
        <w:t xml:space="preserve">stops the clock on further record loss, enables every downstream verification</w:t>
      </w:r>
      <w:r>
        <w:t xml:space="preserve"> </w:t>
      </w:r>
      <w:r>
        <w:t xml:space="preserve">the factory-enrolled fleet gets, and — where the retrofit measurement includes</w:t>
      </w:r>
      <w:r>
        <w:t xml:space="preserve"> </w:t>
      </w:r>
      <w:r>
        <w:t xml:space="preserve">condition imaging — converts the unknown prior history into a quantified</w:t>
      </w:r>
      <w:r>
        <w:t xml:space="preserve"> </w:t>
      </w:r>
      <w:r>
        <w:rPr>
          <w:iCs/>
          <w:i/>
        </w:rPr>
        <w:t xml:space="preserve">present condition</w:t>
      </w:r>
      <w:r>
        <w:t xml:space="preserve">, which is most of what a buyer or insurer actually needs.</w:t>
      </w:r>
    </w:p>
    <w:bookmarkStart w:id="26" w:name="the-template-pipeline-formally"/>
    <w:p>
      <w:pPr>
        <w:pStyle w:val="Heading3"/>
      </w:pPr>
      <w:r>
        <w:t xml:space="preserve">3.4.1 The Template Pipeline, Formally</w:t>
      </w:r>
    </w:p>
    <w:p>
      <w:pPr>
        <w:pStyle w:val="FirstParagraph"/>
      </w:pPr>
      <w:r>
        <w:t xml:space="preserve">The three-part pattern above hides a pipeline whose stages each carry design</w:t>
      </w:r>
      <w:r>
        <w:t xml:space="preserve"> </w:t>
      </w:r>
      <w:r>
        <w:t xml:space="preserve">decisions; naming them here saves Chapter 6 from re-deriving them.</w:t>
      </w:r>
      <w:r>
        <w:t xml:space="preserve"> </w:t>
      </w:r>
      <w:r>
        <w:rPr>
          <w:iCs/>
          <w:i/>
        </w:rPr>
        <w:t xml:space="preserve">Acquisition</w:t>
      </w:r>
      <w:r>
        <w:t xml:space="preserve"> </w:t>
      </w:r>
      <w:r>
        <w:t xml:space="preserve">produces a raw measurement (m) under recorded conditions (c) (bias, temperature,</w:t>
      </w:r>
      <w:r>
        <w:t xml:space="preserve"> </w:t>
      </w:r>
      <w:r>
        <w:t xml:space="preserve">geometry — recorded because comparison across conditions is a leading error</w:t>
      </w:r>
      <w:r>
        <w:t xml:space="preserve"> </w:t>
      </w:r>
      <w:r>
        <w:t xml:space="preserve">source).</w:t>
      </w:r>
      <w:r>
        <w:t xml:space="preserve"> </w:t>
      </w:r>
      <w:r>
        <w:rPr>
          <w:iCs/>
          <w:i/>
        </w:rPr>
        <w:t xml:space="preserve">Registration</w:t>
      </w:r>
      <w:r>
        <w:t xml:space="preserve"> </w:t>
      </w:r>
      <w:r>
        <w:t xml:space="preserve">maps (m) onto the object’s intrinsic coordinate frame —</w:t>
      </w:r>
      <w:r>
        <w:t xml:space="preserve"> </w:t>
      </w:r>
      <w:r>
        <w:t xml:space="preserve">for a module, the cell grid and busbar skeleton — so that templates compare</w:t>
      </w:r>
      <w:r>
        <w:t xml:space="preserve"> </w:t>
      </w:r>
      <w:r>
        <w:t xml:space="preserve">feature-to-feature rather than pixel-to-pixel; registration failures masquerade</w:t>
      </w:r>
      <w:r>
        <w:t xml:space="preserve"> </w:t>
      </w:r>
      <w:r>
        <w:t xml:space="preserve">as identity failures, and robust fiducials are worth more than sensor</w:t>
      </w:r>
      <w:r>
        <w:t xml:space="preserve"> </w:t>
      </w:r>
      <w:r>
        <w:t xml:space="preserve">resolution.</w:t>
      </w:r>
      <w:r>
        <w:t xml:space="preserve"> </w:t>
      </w:r>
      <w:r>
        <w:rPr>
          <w:iCs/>
          <w:i/>
        </w:rPr>
        <w:t xml:space="preserve">Feature extraction</w:t>
      </w:r>
      <w:r>
        <w:t xml:space="preserve"> </w:t>
      </w:r>
      <w:r>
        <w:t xml:space="preserve">reduces the registered measurement to a vector</w:t>
      </w:r>
      <w:r>
        <w:t xml:space="preserve"> </w:t>
      </w:r>
      <w:r>
        <w:t xml:space="preserve">(t) designed for three properties in tension: high entropy across units</w:t>
      </w:r>
      <w:r>
        <w:t xml:space="preserve"> </w:t>
      </w:r>
      <w:r>
        <w:t xml:space="preserve">(discrimination), low variance within a unit over time and instruments</w:t>
      </w:r>
      <w:r>
        <w:t xml:space="preserve"> </w:t>
      </w:r>
      <w:r>
        <w:t xml:space="preserve">(stability), and physical interpretability (so that Chapter 6’s evolution-</w:t>
      </w:r>
      <w:r>
        <w:t xml:space="preserve"> </w:t>
      </w:r>
      <w:r>
        <w:t xml:space="preserve">plausibility checks have meaning).</w:t>
      </w:r>
      <w:r>
        <w:t xml:space="preserve"> </w:t>
      </w:r>
      <w:r>
        <w:rPr>
          <w:iCs/>
          <w:i/>
        </w:rPr>
        <w:t xml:space="preserve">Comparison</w:t>
      </w:r>
      <w:r>
        <w:t xml:space="preserve"> </w:t>
      </w:r>
      <w:r>
        <w:t xml:space="preserve">computes a similarity</w:t>
      </w:r>
      <w:r>
        <w:t xml:space="preserve"> </w:t>
      </w:r>
      <w:r>
        <w:t xml:space="preserve">(s(t, t’)) against the enrolled template and applies the threshold (</w:t>
      </w:r>
      <w:r>
        <w:t xml:space="preserve">)</w:t>
      </w:r>
      <w:r>
        <w:t xml:space="preserve"> </w:t>
      </w:r>
      <w:r>
        <w:t xml:space="preserve">whose FAR/FRR trade Section 3.1.1 introduced — with (</w:t>
      </w:r>
      <w:r>
        <w:t xml:space="preserve">) set per use case,</w:t>
      </w:r>
      <w:r>
        <w:t xml:space="preserve"> </w:t>
      </w:r>
      <w:r>
        <w:t xml:space="preserve">not per mechanism: the same fingerprint system legitimately runs a loose</w:t>
      </w:r>
      <w:r>
        <w:t xml:space="preserve"> </w:t>
      </w:r>
      <w:r>
        <w:t xml:space="preserve">threshold at a warehouse gate and a tight one at an adjudication.</w:t>
      </w:r>
    </w:p>
    <w:p>
      <w:pPr>
        <w:pStyle w:val="BodyText"/>
      </w:pPr>
      <w:r>
        <w:t xml:space="preserve">Two quantities summarize a mechanism’s quality and appear in Appendix B. The</w:t>
      </w:r>
      <w:r>
        <w:t xml:space="preserve"> </w:t>
      </w:r>
      <w:r>
        <w:rPr>
          <w:iCs/>
          <w:i/>
        </w:rPr>
        <w:t xml:space="preserve">effective entropy</w:t>
      </w:r>
      <w:r>
        <w:t xml:space="preserve"> </w:t>
      </w:r>
      <w:r>
        <w:t xml:space="preserve">of the template — how many bits of device-individuality</w:t>
      </w:r>
      <w:r>
        <w:t xml:space="preserve"> </w:t>
      </w:r>
      <w:r>
        <w:t xml:space="preserve">survive extraction — bounds discrimination: a dark I–V trace yields a handful of</w:t>
      </w:r>
      <w:r>
        <w:t xml:space="preserve"> </w:t>
      </w:r>
      <w:r>
        <w:t xml:space="preserve">stable bits (hence</w:t>
      </w:r>
      <w:r>
        <w:t xml:space="preserve"> </w:t>
      </w:r>
      <w:r>
        <w:t xml:space="preserve">“</w:t>
      </w:r>
      <w:r>
        <w:t xml:space="preserve">insufficient alone</w:t>
      </w:r>
      <w:r>
        <w:t xml:space="preserve">”</w:t>
      </w:r>
      <w:r>
        <w:t xml:space="preserve"> </w:t>
      </w:r>
      <w:r>
        <w:t xml:space="preserve">above); an EL grain map yields hundreds.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stability margin</w:t>
      </w:r>
      <w:r>
        <w:t xml:space="preserve"> </w:t>
      </w:r>
      <w:r>
        <w:t xml:space="preserve">— the gap between within-unit drift and between-unit</w:t>
      </w:r>
      <w:r>
        <w:t xml:space="preserve"> </w:t>
      </w:r>
      <w:r>
        <w:t xml:space="preserve">distance over the service life — is the quantity nobody yet has twenty-year data</w:t>
      </w:r>
      <w:r>
        <w:t xml:space="preserve"> </w:t>
      </w:r>
      <w:r>
        <w:t xml:space="preserve">for, which Chapter 6 flags as open problem M1 and hedges with supersession. The</w:t>
      </w:r>
      <w:r>
        <w:t xml:space="preserve"> </w:t>
      </w:r>
      <w:r>
        <w:t xml:space="preserve">formalism, incidentally, is the PUF literature’s, transplanted: a passive</w:t>
      </w:r>
      <w:r>
        <w:t xml:space="preserve"> </w:t>
      </w:r>
      <w:r>
        <w:t xml:space="preserve">fingerprint is best understood as a</w:t>
      </w:r>
      <w:r>
        <w:t xml:space="preserve"> </w:t>
      </w:r>
      <w:r>
        <w:rPr>
          <w:iCs/>
          <w:i/>
        </w:rPr>
        <w:t xml:space="preserve">non-electronic PUF read by an external</w:t>
      </w:r>
      <w:r>
        <w:rPr>
          <w:iCs/>
          <w:i/>
        </w:rPr>
        <w:t xml:space="preserve"> </w:t>
      </w:r>
      <w:r>
        <w:rPr>
          <w:iCs/>
          <w:i/>
        </w:rPr>
        <w:t xml:space="preserve">instrument</w:t>
      </w:r>
      <w:r>
        <w:t xml:space="preserve">, and that community’s error-correction and helper-data machinery —</w:t>
      </w:r>
      <w:r>
        <w:t xml:space="preserve"> </w:t>
      </w:r>
      <w:r>
        <w:t xml:space="preserve">along with its sobering history of modeling attacks — transfers with the name.</w:t>
      </w:r>
    </w:p>
    <w:p>
      <w:pPr>
        <w:pStyle w:val="BodyText"/>
      </w:pPr>
      <w:r>
        <w:t xml:space="preserve">The forgery economics deserve emphasis because they differ fundamentally from active</w:t>
      </w:r>
      <w:r>
        <w:t xml:space="preserve"> </w:t>
      </w:r>
      <w:r>
        <w:t xml:space="preserve">binding. Extracting a key from a secure element is an attack on one chip, and a</w:t>
      </w:r>
      <w:r>
        <w:t xml:space="preserve"> </w:t>
      </w:r>
      <w:r>
        <w:t xml:space="preserve">success is silent. Forging a structural fingerprint means</w:t>
      </w:r>
      <w:r>
        <w:t xml:space="preserve"> </w:t>
      </w:r>
      <w:r>
        <w:rPr>
          <w:iCs/>
          <w:i/>
        </w:rPr>
        <w:t xml:space="preserve">manufacturing a</w:t>
      </w:r>
      <w:r>
        <w:rPr>
          <w:iCs/>
          <w:i/>
        </w:rPr>
        <w:t xml:space="preserve"> </w:t>
      </w:r>
      <w:r>
        <w:rPr>
          <w:iCs/>
          <w:i/>
        </w:rPr>
        <w:t xml:space="preserve">semiconductor device whose internal defect distribution matches a published template</w:t>
      </w:r>
      <w:r>
        <w:t xml:space="preserve"> </w:t>
      </w:r>
      <w:r>
        <w:t xml:space="preserve">— an act that current process control cannot achieve even for the legitimate</w:t>
      </w:r>
      <w:r>
        <w:t xml:space="preserve"> </w:t>
      </w:r>
      <w:r>
        <w:t xml:space="preserve">manufacturer, since the defect distribution is precisely what production does not</w:t>
      </w:r>
      <w:r>
        <w:t xml:space="preserve"> </w:t>
      </w:r>
      <w:r>
        <w:t xml:space="preserve">control. Section 8.3 formalizes this asymmetry; it is the strongest single argument</w:t>
      </w:r>
      <w:r>
        <w:t xml:space="preserve"> </w:t>
      </w:r>
      <w:r>
        <w:t xml:space="preserve">for structural binding of high-value passive assets.</w:t>
      </w:r>
    </w:p>
    <w:p>
      <w:pPr>
        <w:pStyle w:val="BodyText"/>
      </w:pPr>
      <w:r>
        <w:t xml:space="preserve">A precedent from outside the sector calibrates confidence. The</w:t>
      </w:r>
      <w:r>
        <w:t xml:space="preserve"> </w:t>
      </w:r>
      <w:r>
        <w:t xml:space="preserve">“</w:t>
      </w:r>
      <w:r>
        <w:t xml:space="preserve">fingerprints of</w:t>
      </w:r>
      <w:r>
        <w:t xml:space="preserve"> </w:t>
      </w:r>
      <w:r>
        <w:t xml:space="preserve">paper</w:t>
      </w:r>
      <w:r>
        <w:t xml:space="preserve">”</w:t>
      </w:r>
      <w:r>
        <w:t xml:space="preserve"> </w:t>
      </w:r>
      <w:r>
        <w:t xml:space="preserve">line of work showed two decades ago that ordinary paper’s fiber structure,</w:t>
      </w:r>
      <w:r>
        <w:t xml:space="preserve"> </w:t>
      </w:r>
      <w:r>
        <w:t xml:space="preserve">read by commodity optics, yields fingerprints with enormous entropy, robustness</w:t>
      </w:r>
      <w:r>
        <w:t xml:space="preserve"> </w:t>
      </w:r>
      <w:r>
        <w:t xml:space="preserve">to handling and soiling, and no two sheets alike — and that the result</w:t>
      </w:r>
      <w:r>
        <w:t xml:space="preserve"> </w:t>
      </w:r>
      <w:r>
        <w:t xml:space="preserve">generalized to plastics and packaging. Nobody has demonstrated economical forgery</w:t>
      </w:r>
      <w:r>
        <w:t xml:space="preserve"> </w:t>
      </w:r>
      <w:r>
        <w:t xml:space="preserve">of such structural fingerprints since, across twenty years of anti-counterfeiting</w:t>
      </w:r>
      <w:r>
        <w:t xml:space="preserve"> </w:t>
      </w:r>
      <w:r>
        <w:t xml:space="preserve">deployment. Semiconducting laminates are a harder measurement environment than</w:t>
      </w:r>
      <w:r>
        <w:t xml:space="preserve"> </w:t>
      </w:r>
      <w:r>
        <w:t xml:space="preserve">paper but a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substrate for the argument: their structure is</w:t>
      </w:r>
      <w:r>
        <w:t xml:space="preserve"> </w:t>
      </w:r>
      <w:r>
        <w:t xml:space="preserve">three-dimensional, electrically functional, and bound into the object’s</w:t>
      </w:r>
      <w:r>
        <w:t xml:space="preserve"> </w:t>
      </w:r>
      <w:r>
        <w:t xml:space="preserve">performance, so the forger must reproduce not merely an appearance but a</w:t>
      </w:r>
      <w:r>
        <w:t xml:space="preserve"> </w:t>
      </w:r>
      <w:r>
        <w:t xml:space="preserve">behavior. The reader should hold the analogy loosely — Chapter 6 does the</w:t>
      </w:r>
      <w:r>
        <w:t xml:space="preserve"> </w:t>
      </w:r>
      <w:r>
        <w:t xml:space="preserve">domain-specific work — but the direction of the evidence is uniform: structural</w:t>
      </w:r>
      <w:r>
        <w:t xml:space="preserve"> </w:t>
      </w:r>
      <w:r>
        <w:t xml:space="preserve">individuality is cheap to read and expensive to fake, which is exactly the</w:t>
      </w:r>
      <w:r>
        <w:t xml:space="preserve"> </w:t>
      </w:r>
      <w:r>
        <w:t xml:space="preserve">asymmetry an identity system wants.</w:t>
      </w:r>
    </w:p>
    <w:bookmarkEnd w:id="26"/>
    <w:bookmarkEnd w:id="27"/>
    <w:bookmarkStart w:id="29" w:name="X6da7eaeff06d87dc5625044729ae8b84f4d903c"/>
    <w:p>
      <w:pPr>
        <w:pStyle w:val="Heading2"/>
      </w:pPr>
      <w:r>
        <w:t xml:space="preserve">3.5 Names and Claims: DIDs and Verifiable Credentials for Hardware</w:t>
      </w:r>
    </w:p>
    <w:p>
      <w:pPr>
        <w:pStyle w:val="FirstParagraph"/>
      </w:pPr>
      <w:r>
        <w:t xml:space="preserve">Binding attaches a record to an object; something must still say</w:t>
      </w:r>
      <w:r>
        <w:t xml:space="preserve"> </w:t>
      </w:r>
      <w:r>
        <w:rPr>
          <w:iCs/>
          <w:i/>
        </w:rPr>
        <w:t xml:space="preserve">what the identifier</w:t>
      </w:r>
      <w:r>
        <w:rPr>
          <w:iCs/>
          <w:i/>
        </w:rPr>
        <w:t xml:space="preserve"> </w:t>
      </w:r>
      <w:r>
        <w:rPr>
          <w:iCs/>
          <w:i/>
        </w:rPr>
        <w:t xml:space="preserve">looks like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how statements about it are expressed</w:t>
      </w:r>
      <w:r>
        <w:t xml:space="preserve"> </w:t>
      </w:r>
      <w:r>
        <w:t xml:space="preserve">so that parties who share</w:t>
      </w:r>
      <w:r>
        <w:t xml:space="preserve"> </w:t>
      </w:r>
      <w:r>
        <w:t xml:space="preserve">nothing but standards can interoperate. The W3C’s decentralized identifier (DID) and</w:t>
      </w:r>
      <w:r>
        <w:t xml:space="preserve"> </w:t>
      </w:r>
      <w:r>
        <w:t xml:space="preserve">verifiable credential (VC) specifications are the serious candidates, designed</w:t>
      </w:r>
      <w:r>
        <w:t xml:space="preserve"> </w:t>
      </w:r>
      <w:r>
        <w:t xml:space="preserve">originally around persons and organizations. Applying them to hardware is mostly</w:t>
      </w:r>
      <w:r>
        <w:t xml:space="preserve"> </w:t>
      </w:r>
      <w:r>
        <w:t xml:space="preserve">straightforward and instructive where it is not.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DID</w:t>
      </w:r>
      <w:r>
        <w:t xml:space="preserve"> </w:t>
      </w:r>
      <w:r>
        <w:t xml:space="preserve">is a URI (e.g.,</w:t>
      </w:r>
      <w:r>
        <w:t xml:space="preserve"> </w:t>
      </w:r>
      <w:r>
        <w:rPr>
          <w:rStyle w:val="VerbatimChar"/>
        </w:rPr>
        <w:t xml:space="preserve">did:method:identifier</w:t>
      </w:r>
      <w:r>
        <w:t xml:space="preserve">) resolvable — via a method</w:t>
      </w:r>
      <w:r>
        <w:t xml:space="preserve"> </w:t>
      </w:r>
      <w:r>
        <w:t xml:space="preserve">specification — to a</w:t>
      </w:r>
      <w:r>
        <w:t xml:space="preserve"> </w:t>
      </w:r>
      <w:r>
        <w:rPr>
          <w:iCs/>
          <w:i/>
        </w:rPr>
        <w:t xml:space="preserve">DID document</w:t>
      </w:r>
      <w:r>
        <w:t xml:space="preserve"> </w:t>
      </w:r>
      <w:r>
        <w:t xml:space="preserve">listing public keys and service endpoints. For an</w:t>
      </w:r>
      <w:r>
        <w:t xml:space="preserve"> </w:t>
      </w:r>
      <w:r>
        <w:t xml:space="preserve">asset, the natural design registers a DID per unit, with the DID document holding the</w:t>
      </w:r>
      <w:r>
        <w:t xml:space="preserve"> </w:t>
      </w:r>
      <w:r>
        <w:t xml:space="preserve">active-binding public key (where one exists), pointers to the passive-fingerprint</w:t>
      </w:r>
      <w:r>
        <w:t xml:space="preserve"> </w:t>
      </w:r>
      <w:r>
        <w:t xml:space="preserve">enrollment digest, and the ledger address of the lifecycle record. The DID</w:t>
      </w:r>
      <w:r>
        <w:t xml:space="preserve"> </w:t>
      </w:r>
      <w:r>
        <w:rPr>
          <w:iCs/>
          <w:i/>
        </w:rPr>
        <w:t xml:space="preserve">method</w:t>
      </w:r>
      <w:r>
        <w:t xml:space="preserve"> </w:t>
      </w:r>
      <w:r>
        <w:t xml:space="preserve">would resolve against the consortium ledger, making the ledger the registry of</w:t>
      </w:r>
      <w:r>
        <w:t xml:space="preserve"> </w:t>
      </w:r>
      <w:r>
        <w:t xml:space="preserve">Chapter 2’s registrar role.</w:t>
      </w:r>
    </w:p>
    <w:p>
      <w:pPr>
        <w:pStyle w:val="BodyText"/>
      </w:pPr>
      <w:r>
        <w:t xml:space="preserve">Where the person-centric assumptions creak, the failures are informative: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self-sovereignty.</w:t>
      </w:r>
      <w:r>
        <w:t xml:space="preserve"> </w:t>
      </w:r>
      <w:r>
        <w:t xml:space="preserve">The ideology of DIDs is that the subject controls the</w:t>
      </w:r>
      <w:r>
        <w:t xml:space="preserve"> </w:t>
      </w:r>
      <w:r>
        <w:t xml:space="preserve">identifier. A laminate controls nothing. The</w:t>
      </w:r>
      <w:r>
        <w:t xml:space="preserve"> </w:t>
      </w:r>
      <w:r>
        <w:rPr>
          <w:iCs/>
          <w:i/>
        </w:rPr>
        <w:t xml:space="preserve">controller</w:t>
      </w:r>
      <w:r>
        <w:t xml:space="preserve"> </w:t>
      </w:r>
      <w:r>
        <w:t xml:space="preserve">of an asset DID is</w:t>
      </w:r>
      <w:r>
        <w:t xml:space="preserve"> </w:t>
      </w:r>
      <w:r>
        <w:t xml:space="preserve">necessarily some party — and it must change at every custody transfer of</w:t>
      </w:r>
      <w:r>
        <w:t xml:space="preserve"> </w:t>
      </w:r>
      <w:r>
        <w:t xml:space="preserve">Figure 1.1. Controller succession, an afterthought in person-centric DID methods,</w:t>
      </w:r>
      <w:r>
        <w:t xml:space="preserve"> </w:t>
      </w:r>
      <w:r>
        <w:t xml:space="preserve">becomes a first-class lifecycle event (Chapter 5 gives it a schema).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rotation without a subject.</w:t>
      </w:r>
      <w:r>
        <w:t xml:space="preserve"> </w:t>
      </w:r>
      <w:r>
        <w:t xml:space="preserve">A person whose key is compromised rotates it. A</w:t>
      </w:r>
      <w:r>
        <w:t xml:space="preserve"> </w:t>
      </w:r>
      <w:r>
        <w:t xml:space="preserve">module’s</w:t>
      </w:r>
      <w:r>
        <w:t xml:space="preserve"> </w:t>
      </w:r>
      <w:r>
        <w:t xml:space="preserve">“</w:t>
      </w:r>
      <w:r>
        <w:t xml:space="preserve">key</w:t>
      </w:r>
      <w:r>
        <w:t xml:space="preserve">”</w:t>
      </w:r>
      <w:r>
        <w:t xml:space="preserve"> </w:t>
      </w:r>
      <w:r>
        <w:t xml:space="preserve">is its structure; passive fingerprints are re-</w:t>
      </w:r>
      <w:r>
        <w:rPr>
          <w:iCs/>
          <w:i/>
        </w:rPr>
        <w:t xml:space="preserve">enrolled</w:t>
      </w:r>
      <w:r>
        <w:t xml:space="preserve"> </w:t>
      </w:r>
      <w:r>
        <w:t xml:space="preserve">(a new</w:t>
      </w:r>
      <w:r>
        <w:t xml:space="preserve"> </w:t>
      </w:r>
      <w:r>
        <w:t xml:space="preserve">measurement supersedes, with provenance, the old) rather than rotated, and the DID</w:t>
      </w:r>
      <w:r>
        <w:t xml:space="preserve"> </w:t>
      </w:r>
      <w:r>
        <w:t xml:space="preserve">document must represent both live and superseded bindings with their intervals of</w:t>
      </w:r>
      <w:r>
        <w:t xml:space="preserve"> </w:t>
      </w:r>
      <w:r>
        <w:t xml:space="preserve">validity — which is also exactly the hook Chapter 9 needs for algorithm migration.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Resolution over decades.</w:t>
      </w:r>
      <w:r>
        <w:t xml:space="preserve"> </w:t>
      </w:r>
      <w:r>
        <w:t xml:space="preserve">A DID is only as persistent as its method’s</w:t>
      </w:r>
      <w:r>
        <w:t xml:space="preserve"> </w:t>
      </w:r>
      <w:r>
        <w:t xml:space="preserve">infrastructure. This re-raises Section 1.3’s institutional-lifetime problem one</w:t>
      </w:r>
      <w:r>
        <w:t xml:space="preserve"> </w:t>
      </w:r>
      <w:r>
        <w:t xml:space="preserve">level up, and is among the standardization gaps Chapter 14 lists.</w:t>
      </w:r>
    </w:p>
    <w:p>
      <w:pPr>
        <w:pStyle w:val="FirstParagraph"/>
      </w:pPr>
      <w:r>
        <w:t xml:space="preserve">The resolution problem deserves the extra paragraph, because it is the one that</w:t>
      </w:r>
      <w:r>
        <w:t xml:space="preserve"> </w:t>
      </w:r>
      <w:r>
        <w:t xml:space="preserve">person-centric deployments have quietly failed to solve and that a thirty-year</w:t>
      </w:r>
      <w:r>
        <w:t xml:space="preserve"> </w:t>
      </w:r>
      <w:r>
        <w:t xml:space="preserve">asset registry cannot defer. A DID’s promise is that</w:t>
      </w:r>
      <w:r>
        <w:t xml:space="preserve"> </w:t>
      </w:r>
      <w:r>
        <w:rPr>
          <w:rStyle w:val="VerbatimChar"/>
        </w:rPr>
        <w:t xml:space="preserve">did:method:identifier</w:t>
      </w:r>
      <w:r>
        <w:t xml:space="preserve"> </w:t>
      </w:r>
      <w:r>
        <w:t xml:space="preserve">resolves — today, and in 2050 — to an authoritative document. But resolution</w:t>
      </w:r>
      <w:r>
        <w:t xml:space="preserve"> </w:t>
      </w:r>
      <w:r>
        <w:t xml:space="preserve">runs through the method’s infrastructure: a ledger that must still have readable</w:t>
      </w:r>
      <w:r>
        <w:t xml:space="preserve"> </w:t>
      </w:r>
      <w:r>
        <w:t xml:space="preserve">replicas, a specification that must still have conforming implementations, a</w:t>
      </w:r>
      <w:r>
        <w:t xml:space="preserve"> </w:t>
      </w:r>
      <w:r>
        <w:t xml:space="preserve">community that must still exist. Several early DID methods are already</w:t>
      </w:r>
      <w:r>
        <w:t xml:space="preserve"> </w:t>
      </w:r>
      <w:r>
        <w:t xml:space="preserve">effectively unresolvable, their ledgers abandoned — harmless for the</w:t>
      </w:r>
      <w:r>
        <w:t xml:space="preserve"> </w:t>
      </w:r>
      <w:r>
        <w:t xml:space="preserve">experimental credentials they carried, instructive for us. The design consequence</w:t>
      </w:r>
      <w:r>
        <w:t xml:space="preserve"> </w:t>
      </w:r>
      <w:r>
        <w:t xml:space="preserve">adopted here is</w:t>
      </w:r>
      <w:r>
        <w:t xml:space="preserve"> </w:t>
      </w:r>
      <w:r>
        <w:rPr>
          <w:iCs/>
          <w:i/>
        </w:rPr>
        <w:t xml:space="preserve">resolution independence of verification</w:t>
      </w:r>
      <w:r>
        <w:t xml:space="preserve">: every verification</w:t>
      </w:r>
      <w:r>
        <w:t xml:space="preserve"> </w:t>
      </w:r>
      <w:r>
        <w:t xml:space="preserve">workflow in this book (Chapter 6’s Steps 1–4, Appendix A’s verifier) is</w:t>
      </w:r>
      <w:r>
        <w:t xml:space="preserve"> </w:t>
      </w:r>
      <w:r>
        <w:t xml:space="preserve">constructed so that a verifier holding the asset’s record bundle — events,</w:t>
      </w:r>
      <w:r>
        <w:t xml:space="preserve"> </w:t>
      </w:r>
      <w:r>
        <w:t xml:space="preserve">payloads, proofs, anchors — can verify everything</w:t>
      </w:r>
      <w:r>
        <w:t xml:space="preserve"> </w:t>
      </w:r>
      <w:r>
        <w:rPr>
          <w:iCs/>
          <w:i/>
        </w:rPr>
        <w:t xml:space="preserve">without live resolution</w:t>
      </w:r>
      <w:r>
        <w:t xml:space="preserve">,</w:t>
      </w:r>
      <w:r>
        <w:t xml:space="preserve"> </w:t>
      </w:r>
      <w:r>
        <w:t xml:space="preserve">treating the DID as a name within the bundle rather than a service to call.</w:t>
      </w:r>
      <w:r>
        <w:t xml:space="preserve"> </w:t>
      </w:r>
      <w:r>
        <w:t xml:space="preserve">Live resolution is a convenience of the healthy years; the evidence must not</w:t>
      </w:r>
      <w:r>
        <w:t xml:space="preserve"> </w:t>
      </w:r>
      <w:r>
        <w:t xml:space="preserve">depend on it. The bundle format that makes records portable across resolver</w:t>
      </w:r>
      <w:r>
        <w:t xml:space="preserve"> </w:t>
      </w:r>
      <w:r>
        <w:t xml:space="preserve">death is one more item on Chapter 14’s standardization list (S2), and its</w:t>
      </w:r>
      <w:r>
        <w:t xml:space="preserve"> </w:t>
      </w:r>
      <w:r>
        <w:t xml:space="preserve">absence from current standards is among this book’s specific criticisms of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A concrete sketch fixes ideas. An asset DID document, in the consortium method</w:t>
      </w:r>
      <w:r>
        <w:t xml:space="preserve"> </w:t>
      </w:r>
      <w:r>
        <w:t xml:space="preserve">this book assumes, resolves to something of this shape (illustrative, not</w:t>
      </w:r>
      <w:r>
        <w:t xml:space="preserve"> </w:t>
      </w:r>
      <w:r>
        <w:t xml:space="preserve">normative — the standardized form is Chapter 14’s item S2):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"did:derc:asset:a3f92c..."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"did:derc:role:owner-r4471"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"did:derc:role:mfr-m0021"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"2027-03-14"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"2027-09-02"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"successionEvent"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"evt:7f31..."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"did:derc:role:owner-r4471"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"2027-09-02"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"successionEvent"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"evt:9a04..."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"StructuralTemplate/EL-v2"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"templateDigest"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"b1946ac9..."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"enrolled"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"2027-03-14"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"supersedes"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"StructuralTemplate/QDM-v1"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"templateDigest"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"5d41402a..."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"enrolled"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"2027-03-14"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"coRegistration"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"c0ffee11..."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"lifecycleRecord"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"ledger:derc-main/asset/a3f92c..."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"algorithmPolicy"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"policy:2027-baseline"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 field earns its place in a later chapter:</w:t>
      </w:r>
      <w:r>
        <w:t xml:space="preserve"> </w:t>
      </w:r>
      <w:r>
        <w:rPr>
          <w:rStyle w:val="VerbatimChar"/>
        </w:rPr>
        <w:t xml:space="preserve">controllerHistory</w:t>
      </w:r>
      <w:r>
        <w:t xml:space="preserve"> </w:t>
      </w:r>
      <w:r>
        <w:t xml:space="preserve">is the</w:t>
      </w:r>
      <w:r>
        <w:t xml:space="preserve"> </w:t>
      </w:r>
      <w:r>
        <w:t xml:space="preserve">succession machinery Chapter 5 events feed; the</w:t>
      </w:r>
      <w:r>
        <w:t xml:space="preserve"> </w:t>
      </w:r>
      <w:r>
        <w:rPr>
          <w:rStyle w:val="VerbatimChar"/>
        </w:rPr>
        <w:t xml:space="preserve">binding</w:t>
      </w:r>
      <w:r>
        <w:t xml:space="preserve"> </w:t>
      </w:r>
      <w:r>
        <w:t xml:space="preserve">array holds live and</w:t>
      </w:r>
      <w:r>
        <w:t xml:space="preserve"> </w:t>
      </w:r>
      <w:r>
        <w:t xml:space="preserve">superseded templates with the co-registration reference that Chapter 6’s</w:t>
      </w:r>
      <w:r>
        <w:t xml:space="preserve"> </w:t>
      </w:r>
      <w:r>
        <w:t xml:space="preserve">cross-modal locking requires;</w:t>
      </w:r>
      <w:r>
        <w:t xml:space="preserve"> </w:t>
      </w:r>
      <w:r>
        <w:rPr>
          <w:rStyle w:val="VerbatimChar"/>
        </w:rPr>
        <w:t xml:space="preserve">algorithmPolicy</w:t>
      </w:r>
      <w:r>
        <w:t xml:space="preserve"> </w:t>
      </w:r>
      <w:r>
        <w:t xml:space="preserve">is Chapter 9’s migration hook.</w:t>
      </w:r>
      <w:r>
        <w:t xml:space="preserve"> </w:t>
      </w:r>
      <w:r>
        <w:t xml:space="preserve">The reader should notice what is absent — no owner names, no site address, no</w:t>
      </w:r>
      <w:r>
        <w:t xml:space="preserve"> </w:t>
      </w:r>
      <w:r>
        <w:t xml:space="preserve">commercial terms — which is Chapter 10’s privacy design showing through the</w:t>
      </w:r>
      <w:r>
        <w:t xml:space="preserve"> </w:t>
      </w:r>
      <w:r>
        <w:t xml:space="preserve">naming layer.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verifiable credential</w:t>
      </w:r>
      <w:r>
        <w:t xml:space="preserve"> </w:t>
      </w:r>
      <w:r>
        <w:t xml:space="preserve">is a signed, schema-conformant set of claims by an issuer</w:t>
      </w:r>
      <w:r>
        <w:t xml:space="preserve"> </w:t>
      </w:r>
      <w:r>
        <w:t xml:space="preserve">about a subject — precisely the right container for the sector’s existing paper:</w:t>
      </w:r>
      <w:r>
        <w:t xml:space="preserve"> </w:t>
      </w:r>
      <w:r>
        <w:t xml:space="preserve">flash-test certificates (issuer: manufacturer), commissioning reports (issuer: EPC),</w:t>
      </w:r>
      <w:r>
        <w:t xml:space="preserve"> </w:t>
      </w:r>
      <w:r>
        <w:t xml:space="preserve">inspection findings (issuer: independent engineer), warranty registrations. VCs give</w:t>
      </w:r>
      <w:r>
        <w:t xml:space="preserve"> </w:t>
      </w:r>
      <w:r>
        <w:t xml:space="preserve">these documents cryptographic authorship and integrity, selective disclosure</w:t>
      </w:r>
      <w:r>
        <w:t xml:space="preserve"> </w:t>
      </w:r>
      <w:r>
        <w:t xml:space="preserve">(Chapter 10 leans on this), and machine-checkable schemas — while the ledger supplies</w:t>
      </w:r>
      <w:r>
        <w:t xml:space="preserve"> </w:t>
      </w:r>
      <w:r>
        <w:t xml:space="preserve">what VCs alone lack: ordering, timestamping against consensus time, non-suppression</w:t>
      </w:r>
      <w:r>
        <w:t xml:space="preserve"> </w:t>
      </w:r>
      <w:r>
        <w:t xml:space="preserve">(a revoked-then-hidden credential is visible as a gap), and a registry to bind the</w:t>
      </w:r>
      <w:r>
        <w:t xml:space="preserve"> </w:t>
      </w:r>
      <w:r>
        <w:t xml:space="preserve">credential’s</w:t>
      </w:r>
      <w:r>
        <w:t xml:space="preserve"> </w:t>
      </w:r>
      <w:r>
        <w:rPr>
          <w:iCs/>
          <w:i/>
        </w:rPr>
        <w:t xml:space="preserve">subject</w:t>
      </w:r>
      <w:r>
        <w:t xml:space="preserve"> </w:t>
      </w:r>
      <w:r>
        <w:t xml:space="preserve">to a physical unit. The complementarity is exact, and</w:t>
      </w:r>
      <w:r>
        <w:t xml:space="preserve"> </w:t>
      </w:r>
      <w:r>
        <w:t xml:space="preserve">Figure 3.2 assembles the pieces into the reference stack the rest of the book assumes.</w:t>
      </w:r>
    </w:p>
    <w:bookmarkStart w:id="28" w:name="a-credentials-life-walked-through"/>
    <w:p>
      <w:pPr>
        <w:pStyle w:val="Heading3"/>
      </w:pPr>
      <w:r>
        <w:t xml:space="preserve">3.5.1 A Credential’s Life, Walked Through</w:t>
      </w:r>
    </w:p>
    <w:p>
      <w:pPr>
        <w:pStyle w:val="FirstParagraph"/>
      </w:pPr>
      <w:r>
        <w:t xml:space="preserve">Because verifiable credentials will carry most of the sector’s existing</w:t>
      </w:r>
      <w:r>
        <w:t xml:space="preserve"> </w:t>
      </w:r>
      <w:r>
        <w:t xml:space="preserve">paperwork in Part II, one credential’s full lifecycle is worth walking end to</w:t>
      </w:r>
      <w:r>
        <w:t xml:space="preserve"> </w:t>
      </w:r>
      <w:r>
        <w:t xml:space="preserve">end — the flash-test certificate, the sector’s most-forged document.</w:t>
      </w:r>
    </w:p>
    <w:p>
      <w:pPr>
        <w:pStyle w:val="BodyText"/>
      </w:pPr>
      <w:r>
        <w:rPr>
          <w:iCs/>
          <w:i/>
        </w:rPr>
        <w:t xml:space="preserve">Issuance.</w:t>
      </w:r>
      <w:r>
        <w:t xml:space="preserve"> </w:t>
      </w:r>
      <w:r>
        <w:t xml:space="preserve">The flash tester (an instrument with its own DID and calibration</w:t>
      </w:r>
      <w:r>
        <w:t xml:space="preserve"> </w:t>
      </w:r>
      <w:r>
        <w:t xml:space="preserve">history) measures the module; the manufacturer’s issuing service constructs a</w:t>
      </w:r>
      <w:r>
        <w:t xml:space="preserve"> </w:t>
      </w:r>
      <w:r>
        <w:t xml:space="preserve">credential whose subject is the module’s DID, whose claims are the measured</w:t>
      </w:r>
      <w:r>
        <w:t xml:space="preserve"> </w:t>
      </w:r>
      <w:r>
        <w:t xml:space="preserve">parameters under standard test conditions, and whose issuer field is the</w:t>
      </w:r>
      <w:r>
        <w:t xml:space="preserve"> </w:t>
      </w:r>
      <w:r>
        <w:t xml:space="preserve">manufacturer’s role DID; the credential is signed under the algorithm policy of</w:t>
      </w:r>
      <w:r>
        <w:t xml:space="preserve"> </w:t>
      </w:r>
      <w:r>
        <w:t xml:space="preserve">the day. Critically, the credential also references the instrument’s attestation</w:t>
      </w:r>
      <w:r>
        <w:t xml:space="preserve"> </w:t>
      </w:r>
      <w:r>
        <w:t xml:space="preserve">of the raw measurement — so the human-institutional claim (</w:t>
      </w:r>
      <w:r>
        <w:t xml:space="preserve">“</w:t>
      </w:r>
      <w:r>
        <w:t xml:space="preserve">we certify 402.1 W</w:t>
      </w:r>
      <w:r>
        <w:t xml:space="preserve">”</w:t>
      </w:r>
      <w:r>
        <w:t xml:space="preserve">)</w:t>
      </w:r>
      <w:r>
        <w:t xml:space="preserve"> </w:t>
      </w:r>
      <w:r>
        <w:t xml:space="preserve">and the machine claim (</w:t>
      </w:r>
      <w:r>
        <w:t xml:space="preserve">“</w:t>
      </w:r>
      <w:r>
        <w:t xml:space="preserve">I measured 402.1 W</w:t>
      </w:r>
      <w:r>
        <w:t xml:space="preserve">”</w:t>
      </w:r>
      <w:r>
        <w:t xml:space="preserve">) are separately attributable, and a</w:t>
      </w:r>
      <w:r>
        <w:t xml:space="preserve"> </w:t>
      </w:r>
      <w:r>
        <w:t xml:space="preserve">dispute can distinguish instrument error from institutional fraud.</w:t>
      </w:r>
    </w:p>
    <w:p>
      <w:pPr>
        <w:pStyle w:val="BodyText"/>
      </w:pPr>
      <w:r>
        <w:rPr>
          <w:iCs/>
          <w:i/>
        </w:rPr>
        <w:t xml:space="preserve">Anchoring.</w:t>
      </w:r>
      <w:r>
        <w:t xml:space="preserve"> </w:t>
      </w:r>
      <w:r>
        <w:t xml:space="preserve">The credential’s digest rides the registration event onto the</w:t>
      </w:r>
      <w:r>
        <w:t xml:space="preserve"> </w:t>
      </w:r>
      <w:r>
        <w:t xml:space="preserve">ledger. The credential itself is a payload — off-chain, access-controlled — but</w:t>
      </w:r>
      <w:r>
        <w:t xml:space="preserve"> </w:t>
      </w:r>
      <w:r>
        <w:t xml:space="preserve">its existence, timing, and issuer are now facts no one can quietly amend. A</w:t>
      </w:r>
      <w:r>
        <w:t xml:space="preserve"> </w:t>
      </w:r>
      <w:r>
        <w:t xml:space="preserve">forger can still fabricate a plausible-looking certificate; what the forger</w:t>
      </w:r>
      <w:r>
        <w:t xml:space="preserve"> </w:t>
      </w:r>
      <w:r>
        <w:t xml:space="preserve">cannot do is retro-insert its digest into an anchored history, which means every</w:t>
      </w:r>
      <w:r>
        <w:t xml:space="preserve"> </w:t>
      </w:r>
      <w:r>
        <w:t xml:space="preserve">forged certificate is detectably</w:t>
      </w:r>
      <w:r>
        <w:t xml:space="preserve"> </w:t>
      </w:r>
      <w:r>
        <w:rPr>
          <w:iCs/>
          <w:i/>
        </w:rPr>
        <w:t xml:space="preserve">absent</w:t>
      </w:r>
      <w:r>
        <w:t xml:space="preserve"> </w:t>
      </w:r>
      <w:r>
        <w:t xml:space="preserve">from the record it claims membership</w:t>
      </w:r>
      <w:r>
        <w:t xml:space="preserve"> </w:t>
      </w:r>
      <w:r>
        <w:t xml:space="preserve">in. This absence-detection is the ledger’s whole contribution to the VC layer,</w:t>
      </w:r>
      <w:r>
        <w:t xml:space="preserve"> </w:t>
      </w:r>
      <w:r>
        <w:t xml:space="preserve">and it is decisive: document fraud in the sector has always relied on the</w:t>
      </w:r>
      <w:r>
        <w:t xml:space="preserve"> </w:t>
      </w:r>
      <w:r>
        <w:t xml:space="preserve">impossibility of checking a document against a complete, trustworthy index.</w:t>
      </w:r>
    </w:p>
    <w:p>
      <w:pPr>
        <w:pStyle w:val="BodyText"/>
      </w:pPr>
      <w:r>
        <w:rPr>
          <w:iCs/>
          <w:i/>
        </w:rPr>
        <w:t xml:space="preserve">Presentation.</w:t>
      </w:r>
      <w:r>
        <w:t xml:space="preserve"> </w:t>
      </w:r>
      <w:r>
        <w:t xml:space="preserve">Years later, the owner presents the credential to an insurer —</w:t>
      </w:r>
      <w:r>
        <w:t xml:space="preserve"> </w:t>
      </w:r>
      <w:r>
        <w:t xml:space="preserve">selectively: the power bin and measurement date, say, without the full I–V trace</w:t>
      </w:r>
      <w:r>
        <w:t xml:space="preserve"> </w:t>
      </w:r>
      <w:r>
        <w:t xml:space="preserve">the manufacturer considers proprietary. The VC data model’s selective-disclosure</w:t>
      </w:r>
      <w:r>
        <w:t xml:space="preserve"> </w:t>
      </w:r>
      <w:r>
        <w:t xml:space="preserve">mechanisms make the redacted presentation verifiable against the original</w:t>
      </w:r>
      <w:r>
        <w:t xml:space="preserve"> </w:t>
      </w:r>
      <w:r>
        <w:t xml:space="preserve">signature, and Chapter 10 leans on exactly this to reconcile evidence with</w:t>
      </w:r>
      <w:r>
        <w:t xml:space="preserve"> </w:t>
      </w:r>
      <w:r>
        <w:t xml:space="preserve">confidentiality.</w:t>
      </w:r>
    </w:p>
    <w:p>
      <w:pPr>
        <w:pStyle w:val="BodyText"/>
      </w:pPr>
      <w:r>
        <w:rPr>
          <w:iCs/>
          <w:i/>
        </w:rPr>
        <w:t xml:space="preserve">Revocation and correction.</w:t>
      </w:r>
      <w:r>
        <w:t xml:space="preserve"> </w:t>
      </w:r>
      <w:r>
        <w:t xml:space="preserve">The manufacturer discovers a miscalibrated tester</w:t>
      </w:r>
      <w:r>
        <w:t xml:space="preserve"> </w:t>
      </w:r>
      <w:r>
        <w:t xml:space="preserve">and must retract a week of certificates. Revocation is itself an event — a</w:t>
      </w:r>
      <w:r>
        <w:t xml:space="preserve"> </w:t>
      </w:r>
      <w:r>
        <w:t xml:space="preserve">signed, anchored statement referencing the affected credentials and the reason —</w:t>
      </w:r>
      <w:r>
        <w:t xml:space="preserve"> </w:t>
      </w:r>
      <w:r>
        <w:t xml:space="preserve">and the corrected reissues reference both the originals and the revocation. No</w:t>
      </w:r>
      <w:r>
        <w:t xml:space="preserve"> </w:t>
      </w:r>
      <w:r>
        <w:t xml:space="preserve">history is erased; the record shows a measurement, a discovered fault, and a</w:t>
      </w:r>
      <w:r>
        <w:t xml:space="preserve"> </w:t>
      </w:r>
      <w:r>
        <w:t xml:space="preserve">correction, each attributed and timed, which is precisely what an evidential</w:t>
      </w:r>
      <w:r>
        <w:t xml:space="preserve"> </w:t>
      </w:r>
      <w:r>
        <w:t xml:space="preserve">system should show. Contrast the status quo, where the same correction is an</w:t>
      </w:r>
      <w:r>
        <w:t xml:space="preserve"> </w:t>
      </w:r>
      <w:r>
        <w:t xml:space="preserve">email asking recipients to discard the old PDF.</w:t>
      </w:r>
    </w:p>
    <w:p>
      <w:pPr>
        <w:pStyle w:val="BodyText"/>
      </w:pPr>
      <w:r>
        <w:rPr>
          <w:iCs/>
          <w:i/>
        </w:rPr>
        <w:t xml:space="preserve">Issuer death.</w:t>
      </w:r>
      <w:r>
        <w:t xml:space="preserve"> </w:t>
      </w:r>
      <w:r>
        <w:t xml:space="preserve">The manufacturer eventually dissolves. Its issuer key expires</w:t>
      </w:r>
      <w:r>
        <w:t xml:space="preserve"> </w:t>
      </w:r>
      <w:r>
        <w:t xml:space="preserve">with it, but every credential it ever issued remains verifiable — signature</w:t>
      </w:r>
      <w:r>
        <w:t xml:space="preserve"> </w:t>
      </w:r>
      <w:r>
        <w:t xml:space="preserve">against the algorithm policy of its era, existence against the anchored history,</w:t>
      </w:r>
      <w:r>
        <w:t xml:space="preserve"> </w:t>
      </w:r>
      <w:r>
        <w:t xml:space="preserve">authority against the accreditation register showing the issuer’s status at</w:t>
      </w:r>
      <w:r>
        <w:t xml:space="preserve"> </w:t>
      </w:r>
      <w:r>
        <w:t xml:space="preserve">issuance time. The credential has outlived the institution, which is Section</w:t>
      </w:r>
      <w:r>
        <w:t xml:space="preserve"> </w:t>
      </w:r>
      <w:r>
        <w:t xml:space="preserve">1.3’s requirement, met.</w:t>
      </w:r>
    </w:p>
    <w:p>
      <w:pPr>
        <w:pStyle w:val="BodyText"/>
      </w:pPr>
      <w:r>
        <w:t xml:space="preserve">The same lifecycle serves the sector’s other paper with the nouns changed:</w:t>
      </w:r>
      <w:r>
        <w:t xml:space="preserve"> </w:t>
      </w:r>
      <w:r>
        <w:t xml:space="preserve">commissioning reports (issuer: EPC; co-issuer: owner’s engineer), inspection</w:t>
      </w:r>
      <w:r>
        <w:t xml:space="preserve"> </w:t>
      </w:r>
      <w:r>
        <w:t xml:space="preserve">findings (issuer: independent engineer; instrument attestations attached),</w:t>
      </w:r>
      <w:r>
        <w:t xml:space="preserve"> </w:t>
      </w:r>
      <w:r>
        <w:t xml:space="preserve">warranty registrations (issuer: manufacturer; subject: module-and-site pair),</w:t>
      </w:r>
      <w:r>
        <w:t xml:space="preserve"> </w:t>
      </w:r>
      <w:r>
        <w:t xml:space="preserve">recycler declarations (issuer: accredited recycler; mass-balance claims). What</w:t>
      </w:r>
      <w:r>
        <w:t xml:space="preserve"> </w:t>
      </w:r>
      <w:r>
        <w:t xml:space="preserve">the pattern replaces, in every case, is a PDF whose authority was its</w:t>
      </w:r>
      <w:r>
        <w:t xml:space="preserve"> </w:t>
      </w:r>
      <w:r>
        <w:t xml:space="preserve">letterhead.</w:t>
      </w:r>
    </w:p>
    <w:p>
      <w:pPr>
        <w:pStyle w:val="BodyText"/>
      </w:pPr>
      <w:r>
        <w:t xml:space="preserve">One dependency should be named before it bites in Part II: credentials are only</w:t>
      </w:r>
      <w:r>
        <w:t xml:space="preserve"> </w:t>
      </w:r>
      <w:r>
        <w:t xml:space="preserve">as interoperable as their</w:t>
      </w:r>
      <w:r>
        <w:t xml:space="preserve"> </w:t>
      </w:r>
      <w:r>
        <w:rPr>
          <w:iCs/>
          <w:i/>
        </w:rPr>
        <w:t xml:space="preserve">claim vocabularies</w:t>
      </w:r>
      <w:r>
        <w:t xml:space="preserve">. A flash-test VC is useful across</w:t>
      </w:r>
      <w:r>
        <w:t xml:space="preserve"> </w:t>
      </w:r>
      <w:r>
        <w:t xml:space="preserve">organizational boundaries only if</w:t>
      </w:r>
      <w:r>
        <w:t xml:space="preserve"> </w:t>
      </w:r>
      <w:r>
        <w:t xml:space="preserve">“</w:t>
      </w:r>
      <w:r>
        <w:t xml:space="preserve">maximum power at STC</w:t>
      </w:r>
      <w:r>
        <w:t xml:space="preserve">”</w:t>
      </w:r>
      <w:r>
        <w:t xml:space="preserve"> </w:t>
      </w:r>
      <w:r>
        <w:t xml:space="preserve">means the same field,</w:t>
      </w:r>
      <w:r>
        <w:t xml:space="preserve"> </w:t>
      </w:r>
      <w:r>
        <w:t xml:space="preserve">unit, and measurement procedure to every consumer — which is a standards</w:t>
      </w:r>
      <w:r>
        <w:t xml:space="preserve"> </w:t>
      </w:r>
      <w:r>
        <w:t xml:space="preserve">problem, not a cryptography problem. The sector is better positioned here than</w:t>
      </w:r>
      <w:r>
        <w:t xml:space="preserve"> </w:t>
      </w:r>
      <w:r>
        <w:t xml:space="preserve">most: IEC test procedures already define the semantics of nearly every claim the</w:t>
      </w:r>
      <w:r>
        <w:t xml:space="preserve"> </w:t>
      </w:r>
      <w:r>
        <w:t xml:space="preserve">credentials need to carry (61215 qualification results, 60904 measurement</w:t>
      </w:r>
      <w:r>
        <w:t xml:space="preserve"> </w:t>
      </w:r>
      <w:r>
        <w:t xml:space="preserve">methods, 62446 commissioning tests), so the vocabulary work is largely</w:t>
      </w:r>
      <w:r>
        <w:t xml:space="preserve"> </w:t>
      </w:r>
      <w:r>
        <w:rPr>
          <w:iCs/>
          <w:i/>
        </w:rPr>
        <w:t xml:space="preserve">transcription</w:t>
      </w:r>
      <w:r>
        <w:t xml:space="preserve"> </w:t>
      </w:r>
      <w:r>
        <w:t xml:space="preserve">of existing normative documents into schema form rather than</w:t>
      </w:r>
      <w:r>
        <w:t xml:space="preserve"> </w:t>
      </w:r>
      <w:r>
        <w:t xml:space="preserve">invention. Where the transcription has not happened — degradation-rate claims,</w:t>
      </w:r>
      <w:r>
        <w:t xml:space="preserve"> </w:t>
      </w:r>
      <w:r>
        <w:t xml:space="preserve">battery state-of-health, structural-template metadata — every consortium</w:t>
      </w:r>
      <w:r>
        <w:t xml:space="preserve"> </w:t>
      </w:r>
      <w:r>
        <w:t xml:space="preserve">currently invents its own fields, and Chapter 14 lists the harmonization as</w:t>
      </w:r>
      <w:r>
        <w:t xml:space="preserve"> </w:t>
      </w:r>
      <w:r>
        <w:t xml:space="preserve">standardization gap S1’s payload half. The architecture tolerates the interim</w:t>
      </w:r>
      <w:r>
        <w:t xml:space="preserve"> </w:t>
      </w:r>
      <w:r>
        <w:t xml:space="preserve">untidiness by versioning payload schemas per event type (Chapter 5), but</w:t>
      </w:r>
      <w:r>
        <w:t xml:space="preserve"> </w:t>
      </w:r>
      <w:r>
        <w:t xml:space="preserve">tolerance is not endorsement, and procurement teams evaluating systems in this</w:t>
      </w:r>
      <w:r>
        <w:t xml:space="preserve"> </w:t>
      </w:r>
      <w:r>
        <w:t xml:space="preserve">space should ask to see the schema registry before the consensus benchmark.</w:t>
      </w:r>
    </w:p>
    <w:p>
      <w:pPr>
        <w:pStyle w:val="BodyText"/>
      </w:pPr>
      <w:r>
        <w:rPr>
          <w:bCs/>
          <w:b/>
        </w:rPr>
        <w:t xml:space="preserve">Figure 3.2</w:t>
      </w:r>
      <w:r>
        <w:t xml:space="preserve"> </w:t>
      </w:r>
      <w:r>
        <w:t xml:space="preserve">The layered identity stack assumed throughout Parts II–IV. Standards</w:t>
      </w:r>
      <w:r>
        <w:t xml:space="preserve"> </w:t>
      </w:r>
      <w:r>
        <w:t xml:space="preserve">supply the naming and claim formats; the ledger supplies ordering and permanence; the</w:t>
      </w:r>
      <w:r>
        <w:t xml:space="preserve"> </w:t>
      </w:r>
      <w:r>
        <w:t xml:space="preserve">binding layer attaches the whole construction to matter.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L4 [Claims layer]</w:t>
      </w:r>
      <w:r>
        <w:br/>
      </w:r>
      <w:r>
        <w:rPr>
          <w:rStyle w:val="VerbatimChar"/>
        </w:rPr>
        <w:t xml:space="preserve">        VC1[Verifiable credentials:&lt;br&gt;test reports, commissioning,&lt;br&gt;inspections, warranty]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L3 [Naming layer]</w:t>
      </w:r>
      <w:r>
        <w:br/>
      </w:r>
      <w:r>
        <w:rPr>
          <w:rStyle w:val="VerbatimChar"/>
        </w:rPr>
        <w:t xml:space="preserve">        DID[Asset DIDs + DID documents:&lt;br&gt;controller, binding references,&lt;br&gt;succession history]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L2 [Record layer — Ch. 2, 4, 5]</w:t>
      </w:r>
      <w:r>
        <w:br/>
      </w:r>
      <w:r>
        <w:rPr>
          <w:rStyle w:val="VerbatimChar"/>
        </w:rPr>
        <w:t xml:space="preserve">        LED[Consortium ledger:&lt;br&gt;registry, lifecycle state machine,&lt;br&gt;anchored to public chain]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L1 [Binding layer — this chapter, Ch. 6]</w:t>
      </w:r>
      <w:r>
        <w:br/>
      </w:r>
      <w:r>
        <w:rPr>
          <w:rStyle w:val="VerbatimChar"/>
        </w:rPr>
        <w:t xml:space="preserve">        AB[Active: device keys&lt;br&gt;in secure elements]</w:t>
      </w:r>
      <w:r>
        <w:br/>
      </w:r>
      <w:r>
        <w:rPr>
          <w:rStyle w:val="VerbatimChar"/>
        </w:rPr>
        <w:t xml:space="preserve">        PB[Passive: structural&lt;br&gt;fingerprints / defect maps]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VC1 --&gt; DID</w:t>
      </w:r>
      <w:r>
        <w:br/>
      </w:r>
      <w:r>
        <w:rPr>
          <w:rStyle w:val="VerbatimChar"/>
        </w:rPr>
        <w:t xml:space="preserve">    DID --&gt; LED</w:t>
      </w:r>
      <w:r>
        <w:br/>
      </w:r>
      <w:r>
        <w:rPr>
          <w:rStyle w:val="VerbatimChar"/>
        </w:rPr>
        <w:t xml:space="preserve">    LED --&gt; AB</w:t>
      </w:r>
      <w:r>
        <w:br/>
      </w:r>
      <w:r>
        <w:rPr>
          <w:rStyle w:val="VerbatimChar"/>
        </w:rPr>
        <w:t xml:space="preserve">    LED --&gt; PB</w:t>
      </w:r>
      <w:r>
        <w:br/>
      </w:r>
      <w:r>
        <w:rPr>
          <w:rStyle w:val="VerbatimChar"/>
        </w:rPr>
        <w:t xml:space="preserve">    AB --&gt; HW[Physical asset]</w:t>
      </w:r>
      <w:r>
        <w:br/>
      </w:r>
      <w:r>
        <w:rPr>
          <w:rStyle w:val="VerbatimChar"/>
        </w:rPr>
        <w:t xml:space="preserve">    PB --&gt; HW</w:t>
      </w:r>
    </w:p>
    <w:bookmarkEnd w:id="28"/>
    <w:bookmarkEnd w:id="29"/>
    <w:bookmarkStart w:id="31" w:name="composite-identity-in-practice"/>
    <w:p>
      <w:pPr>
        <w:pStyle w:val="Heading2"/>
      </w:pPr>
      <w:r>
        <w:t xml:space="preserve">3.6 Composite Identity in Practice</w:t>
      </w:r>
    </w:p>
    <w:p>
      <w:pPr>
        <w:pStyle w:val="FirstParagraph"/>
      </w:pPr>
      <w:r>
        <w:t xml:space="preserve">Real deployments compose mechanisms, because the mechanisms fail differently. The</w:t>
      </w:r>
      <w:r>
        <w:t xml:space="preserve"> </w:t>
      </w:r>
      <w:r>
        <w:t xml:space="preserve">composition rule this book adopts — developed operationally in Chapters 4 and 11 —</w:t>
      </w:r>
      <w:r>
        <w:t xml:space="preserve"> </w:t>
      </w:r>
      <w:r>
        <w:t xml:space="preserve">is:</w:t>
      </w:r>
      <w:r>
        <w:t xml:space="preserve"> </w:t>
      </w:r>
      <w:r>
        <w:rPr>
          <w:iCs/>
          <w:i/>
        </w:rPr>
        <w:t xml:space="preserve">locate cheaply, verify proportionally</w:t>
      </w:r>
      <w:r>
        <w:t xml:space="preserve">. A printed QR code locates the identity</w:t>
      </w:r>
      <w:r>
        <w:t xml:space="preserve"> </w:t>
      </w:r>
      <w:r>
        <w:t xml:space="preserve">record in seconds and proves nothing. Routine custody transitions verify against the</w:t>
      </w:r>
      <w:r>
        <w:t xml:space="preserve"> </w:t>
      </w:r>
      <w:r>
        <w:t xml:space="preserve">cheap layer appropriate to the asset class (challenge–response for an inverter; a</w:t>
      </w:r>
      <w:r>
        <w:t xml:space="preserve"> </w:t>
      </w:r>
      <w:r>
        <w:t xml:space="preserve">handheld EL spot-check against enrolled structure for a sampled subset of modules).</w:t>
      </w:r>
      <w:r>
        <w:t xml:space="preserve"> </w:t>
      </w:r>
      <w:r>
        <w:t xml:space="preserve">High-stakes transitions — warranty adjudication, plant acquisition, insurance</w:t>
      </w:r>
      <w:r>
        <w:t xml:space="preserve"> </w:t>
      </w:r>
      <w:r>
        <w:t xml:space="preserve">underwriting after a catastrophe claim — escalate to full structural verification of</w:t>
      </w:r>
      <w:r>
        <w:t xml:space="preserve"> </w:t>
      </w:r>
      <w:r>
        <w:t xml:space="preserve">statistically chosen samples, with the sampling design itself recorded on the ledger</w:t>
      </w:r>
      <w:r>
        <w:t xml:space="preserve"> </w:t>
      </w:r>
      <w:r>
        <w:t xml:space="preserve">so that the verification’s rigor is later provable. Identity assurance, like every</w:t>
      </w:r>
      <w:r>
        <w:t xml:space="preserve"> </w:t>
      </w:r>
      <w:r>
        <w:t xml:space="preserve">other engineering quantity in this book, is purchased in proportion to the value at</w:t>
      </w:r>
      <w:r>
        <w:t xml:space="preserve"> </w:t>
      </w:r>
      <w:r>
        <w:t xml:space="preserve">risk.</w:t>
      </w:r>
    </w:p>
    <w:p>
      <w:pPr>
        <w:pStyle w:val="BodyText"/>
      </w:pPr>
      <w:r>
        <w:t xml:space="preserve">Table 3.3 makes the escalation ladder explicit for the module case; the tier</w:t>
      </w:r>
      <w:r>
        <w:t xml:space="preserve"> </w:t>
      </w:r>
      <w:r>
        <w:t xml:space="preserve">labels (V0–V3) recur in Chapters 6, 7, and 11, where the enrollment side gets a</w:t>
      </w:r>
      <w:r>
        <w:t xml:space="preserve"> </w:t>
      </w:r>
      <w:r>
        <w:t xml:space="preserve">matching ladder.</w:t>
      </w:r>
    </w:p>
    <w:p>
      <w:pPr>
        <w:pStyle w:val="BodyText"/>
      </w:pPr>
      <w:r>
        <w:rPr>
          <w:bCs/>
          <w:b/>
        </w:rPr>
        <w:t xml:space="preserve">Table 3.3</w:t>
      </w:r>
      <w:r>
        <w:t xml:space="preserve"> </w:t>
      </w:r>
      <w:r>
        <w:t xml:space="preserve">Verification escalation ladder for PV modules under composite</w:t>
      </w:r>
      <w:r>
        <w:t xml:space="preserve"> </w:t>
      </w:r>
      <w:r>
        <w:t xml:space="preserve">identity. Costs are order-of-magnitude, per unit verified, in 2026 USD.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/ time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pass 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 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/ barcode scan → DID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cents /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record to check (nothing about the object)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transfer, receiving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+ label vs. record fields; dual-signed custody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&lt;$1 / &lt;1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Paperwork coherent; both parties committed to the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Structural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at transitions; suspicion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Handheld EL against enrolled stable-structure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$5–20 /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laminate matches enrollment at the checked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 Full 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Adjudication, acquisition, catastrophe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Challenge-parameterized multi-modal verification (Ch.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$50–300 / tens of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across modalities and operating points; condition delta quantified</w:t>
            </w:r>
          </w:p>
        </w:tc>
      </w:tr>
    </w:tbl>
    <w:p>
      <w:pPr>
        <w:pStyle w:val="BodyText"/>
      </w:pPr>
      <w:r>
        <w:t xml:space="preserve">Two features of the ladder do the economic work. First, the expensive tiers are</w:t>
      </w:r>
      <w:r>
        <w:t xml:space="preserve"> </w:t>
      </w:r>
      <w:r>
        <w:rPr>
          <w:iCs/>
          <w:i/>
        </w:rPr>
        <w:t xml:space="preserve">sampled</w:t>
      </w:r>
      <w:r>
        <w:t xml:space="preserve">, and the sample is chosen by the verifier against a pre-committed</w:t>
      </w:r>
      <w:r>
        <w:t xml:space="preserve"> </w:t>
      </w:r>
      <w:r>
        <w:t xml:space="preserve">design — so a lot of 1,000 modules gets V3 assurance at 30 × V3 cost, not</w:t>
      </w:r>
      <w:r>
        <w:t xml:space="preserve"> </w:t>
      </w:r>
      <w:r>
        <w:t xml:space="preserve">1,000 ×, with statistics carrying the rest. Second, each tier’s</w:t>
      </w:r>
      <w:r>
        <w:t xml:space="preserve"> </w:t>
      </w:r>
      <w:r>
        <w:rPr>
          <w:iCs/>
          <w:i/>
        </w:rPr>
        <w:t xml:space="preserve">failure</w:t>
      </w:r>
      <w:r>
        <w:t xml:space="preserve"> </w:t>
      </w:r>
      <w:r>
        <w:t xml:space="preserve">escalates to the next rather than to an argument: a V1 mismatch triggers V2 on</w:t>
      </w:r>
      <w:r>
        <w:t xml:space="preserve"> </w:t>
      </w:r>
      <w:r>
        <w:t xml:space="preserve">the spot, a V2 miss triggers V3 and a ledger flag, and the escalation trail is</w:t>
      </w:r>
      <w:r>
        <w:t xml:space="preserve"> </w:t>
      </w:r>
      <w:r>
        <w:t xml:space="preserve">itself evidence. Fraud, to succeed, must now survive every tier it might</w:t>
      </w:r>
      <w:r>
        <w:t xml:space="preserve"> </w:t>
      </w:r>
      <w:r>
        <w:t xml:space="preserve">trigger, while honest assets almost never climb past V1 — an asymmetry of costs</w:t>
      </w:r>
      <w:r>
        <w:t xml:space="preserve"> </w:t>
      </w:r>
      <w:r>
        <w:t xml:space="preserve">that lands, for once, on the right party.</w:t>
      </w:r>
    </w:p>
    <w:p>
      <w:pPr>
        <w:pStyle w:val="BodyText"/>
      </w:pPr>
      <w:r>
        <w:t xml:space="preserve">A worked instance shows the ladder running. A broker receives a 22-pallet lot of</w:t>
      </w:r>
      <w:r>
        <w:t xml:space="preserve"> </w:t>
      </w:r>
      <w:r>
        <w:t xml:space="preserve">used modules with ledger-documented histories. Receiving staff V0-scan every</w:t>
      </w:r>
      <w:r>
        <w:t xml:space="preserve"> </w:t>
      </w:r>
      <w:r>
        <w:t xml:space="preserve">unit while unloading (forty minutes, resolving each QR to a DID and confirming</w:t>
      </w:r>
      <w:r>
        <w:t xml:space="preserve"> </w:t>
      </w:r>
      <w:r>
        <w:t xml:space="preserve">the lot manifest) and V1-check the paperwork coherence — at which point two</w:t>
      </w:r>
      <w:r>
        <w:t xml:space="preserve"> </w:t>
      </w:r>
      <w:r>
        <w:t xml:space="preserve">units resolve to DIDs whose records show state</w:t>
      </w:r>
      <w:r>
        <w:t xml:space="preserve"> </w:t>
      </w:r>
      <w:r>
        <w:rPr>
          <w:rStyle w:val="VerbatimChar"/>
        </w:rPr>
        <w:t xml:space="preserve">Decommissioned</w:t>
      </w:r>
      <w:r>
        <w:t xml:space="preserve">: an immediate,</w:t>
      </w:r>
      <w:r>
        <w:t xml:space="preserve"> </w:t>
      </w:r>
      <w:r>
        <w:t xml:space="preserve">free catch of either paperwork error or laundering, impossible in a</w:t>
      </w:r>
      <w:r>
        <w:t xml:space="preserve"> </w:t>
      </w:r>
      <w:r>
        <w:t xml:space="preserve">label-only world. The broker’s policy escalates the lot: a technician draws a</w:t>
      </w:r>
      <w:r>
        <w:t xml:space="preserve"> </w:t>
      </w:r>
      <w:r>
        <w:t xml:space="preserve">V2 sample of 25 units by seeded random selection committed to the ledger before</w:t>
      </w:r>
      <w:r>
        <w:t xml:space="preserve"> </w:t>
      </w:r>
      <w:r>
        <w:t xml:space="preserve">unpacking, and images them with a handheld EL rig against enrolled templates.</w:t>
      </w:r>
      <w:r>
        <w:t xml:space="preserve"> </w:t>
      </w:r>
      <w:r>
        <w:t xml:space="preserve">Twenty-three match; two show template mismatch at the checked cells. Those two</w:t>
      </w:r>
      <w:r>
        <w:t xml:space="preserve"> </w:t>
      </w:r>
      <w:r>
        <w:t xml:space="preserve">go to V3 — full multi-modal verification — which confirms one as a genuine</w:t>
      </w:r>
      <w:r>
        <w:t xml:space="preserve"> </w:t>
      </w:r>
      <w:r>
        <w:t xml:space="preserve">match degraded by an undocumented repair (re-enrollment event filed, provenance</w:t>
      </w:r>
      <w:r>
        <w:t xml:space="preserve"> </w:t>
      </w:r>
      <w:r>
        <w:t xml:space="preserve">discount applied) and one as a substituted unit (flagged, quarantined, dispute</w:t>
      </w:r>
      <w:r>
        <w:t xml:space="preserve"> </w:t>
      </w:r>
      <w:r>
        <w:t xml:space="preserve">event opened against the seller). Total verification spend: a few hundred</w:t>
      </w:r>
      <w:r>
        <w:t xml:space="preserve"> </w:t>
      </w:r>
      <w:r>
        <w:t xml:space="preserve">dollars against a six-figure lot, targeted almost entirely at the anomalies.</w:t>
      </w:r>
      <w:r>
        <w:t xml:space="preserve"> </w:t>
      </w:r>
      <w:r>
        <w:t xml:space="preserve">The same lot under status-quo practice would have been priced blind, and both</w:t>
      </w:r>
      <w:r>
        <w:t xml:space="preserve"> </w:t>
      </w:r>
      <w:r>
        <w:t xml:space="preserve">problem units would have shipped to a customer.</w:t>
      </w:r>
    </w:p>
    <w:p>
      <w:pPr>
        <w:pStyle w:val="BodyText"/>
      </w:pPr>
      <w:r>
        <w:t xml:space="preserve">The composite pattern also answers a question that pure-mechanism thinking gets</w:t>
      </w:r>
      <w:r>
        <w:t xml:space="preserve"> </w:t>
      </w:r>
      <w:r>
        <w:t xml:space="preserve">wrong:</w:t>
      </w:r>
      <w:r>
        <w:t xml:space="preserve"> </w:t>
      </w:r>
      <w:r>
        <w:rPr>
          <w:iCs/>
          <w:i/>
        </w:rPr>
        <w:t xml:space="preserve">what happens when a mechanism fails honestly?</w:t>
      </w:r>
      <w:r>
        <w:t xml:space="preserve"> </w:t>
      </w:r>
      <w:r>
        <w:t xml:space="preserve">Labels weather off;</w:t>
      </w:r>
      <w:r>
        <w:t xml:space="preserve"> </w:t>
      </w:r>
      <w:r>
        <w:t xml:space="preserve">secure elements die; a template’s cells get shaded by new rooftop clutter. In a</w:t>
      </w:r>
      <w:r>
        <w:t xml:space="preserve"> </w:t>
      </w:r>
      <w:r>
        <w:t xml:space="preserve">single-mechanism scheme each is an identity crisis. In the composite scheme each</w:t>
      </w:r>
      <w:r>
        <w:t xml:space="preserve"> </w:t>
      </w:r>
      <w:r>
        <w:t xml:space="preserve">is a recoverable degradation: the surviving mechanisms re-anchor the identity,</w:t>
      </w:r>
      <w:r>
        <w:t xml:space="preserve"> </w:t>
      </w:r>
      <w:r>
        <w:t xml:space="preserve">the failed one is re-provisioned or re-enrolled with a supersession event, and</w:t>
      </w:r>
      <w:r>
        <w:t xml:space="preserve"> </w:t>
      </w:r>
      <w:r>
        <w:t xml:space="preserve">the incident leaves a record. Identity, once again, behaves less like a</w:t>
      </w:r>
      <w:r>
        <w:t xml:space="preserve"> </w:t>
      </w:r>
      <w:r>
        <w:t xml:space="preserve">certificate and more like a</w:t>
      </w:r>
      <w:r>
        <w:t xml:space="preserve"> </w:t>
      </w:r>
      <w:r>
        <w:rPr>
          <w:iCs/>
          <w:i/>
        </w:rPr>
        <w:t xml:space="preserve">thread of documented continuity</w:t>
      </w:r>
      <w:r>
        <w:t xml:space="preserve"> </w:t>
      </w:r>
      <w:r>
        <w:t xml:space="preserve">— the theme</w:t>
      </w:r>
      <w:r>
        <w:t xml:space="preserve"> </w:t>
      </w:r>
      <w:r>
        <w:t xml:space="preserve">Chapter 6 elevates to a design principle.</w:t>
      </w:r>
    </w:p>
    <w:bookmarkStart w:id="30" w:name="X33ce4e787b72d4f8d5a7b5af5f7c84b774a0b10"/>
    <w:p>
      <w:pPr>
        <w:pStyle w:val="Heading3"/>
      </w:pPr>
      <w:r>
        <w:t xml:space="preserve">3.6.1 Identity for Aggregates: Strings, Plants, and Fleets</w:t>
      </w:r>
    </w:p>
    <w:p>
      <w:pPr>
        <w:pStyle w:val="FirstParagraph"/>
      </w:pPr>
      <w:r>
        <w:t xml:space="preserve">The chapter has treated the unit; deployments also need names for collections,</w:t>
      </w:r>
      <w:r>
        <w:t xml:space="preserve"> </w:t>
      </w:r>
      <w:r>
        <w:t xml:space="preserve">and the design rule from Section 1.2.2 — full identity at the custody-and-</w:t>
      </w:r>
      <w:r>
        <w:t xml:space="preserve"> </w:t>
      </w:r>
      <w:r>
        <w:t xml:space="preserve">liability level, aggregation upward as events — resolves most of the questions</w:t>
      </w:r>
      <w:r>
        <w:t xml:space="preserve"> </w:t>
      </w:r>
      <w:r>
        <w:t xml:space="preserve">mechanically. A</w:t>
      </w:r>
      <w:r>
        <w:t xml:space="preserve"> </w:t>
      </w:r>
      <w:r>
        <w:rPr>
          <w:iCs/>
          <w:i/>
        </w:rPr>
        <w:t xml:space="preserve">string</w:t>
      </w:r>
      <w:r>
        <w:t xml:space="preserve"> </w:t>
      </w:r>
      <w:r>
        <w:t xml:space="preserve">is a wiring fact: it exists as installation-event</w:t>
      </w:r>
      <w:r>
        <w:t xml:space="preserve"> </w:t>
      </w:r>
      <w:r>
        <w:t xml:space="preserve">payload (this module, this position, this string identifier) and changes by</w:t>
      </w:r>
      <w:r>
        <w:t xml:space="preserve"> </w:t>
      </w:r>
      <w:r>
        <w:t xml:space="preserve">maintenance event; it needs no DID because nothing is ever warranted, sold, or</w:t>
      </w:r>
      <w:r>
        <w:t xml:space="preserve"> </w:t>
      </w:r>
      <w:r>
        <w:t xml:space="preserve">adjudicated at string granularity that cannot be expressed over its members. A</w:t>
      </w:r>
      <w:r>
        <w:t xml:space="preserve"> </w:t>
      </w:r>
      <w:r>
        <w:rPr>
          <w:iCs/>
          <w:i/>
        </w:rPr>
        <w:t xml:space="preserve">plant</w:t>
      </w:r>
      <w:r>
        <w:t xml:space="preserve"> </w:t>
      </w:r>
      <w:r>
        <w:t xml:space="preserve">is different: it is a legal and commercial object — it holds</w:t>
      </w:r>
      <w:r>
        <w:t xml:space="preserve"> </w:t>
      </w:r>
      <w:r>
        <w:t xml:space="preserve">interconnection agreements, is bought and sold as an entity, and is the subject</w:t>
      </w:r>
      <w:r>
        <w:t xml:space="preserve"> </w:t>
      </w:r>
      <w:r>
        <w:t xml:space="preserve">of insurance policies — so it earns a DID of its own, whose relationship to its</w:t>
      </w:r>
      <w:r>
        <w:t xml:space="preserve"> </w:t>
      </w:r>
      <w:r>
        <w:t xml:space="preserve">component assets is a time-varying membership recorded by installation and</w:t>
      </w:r>
      <w:r>
        <w:t xml:space="preserve"> </w:t>
      </w:r>
      <w:r>
        <w:t xml:space="preserve">removal events. Plant-level verification then has a precise meaning: verify the</w:t>
      </w:r>
      <w:r>
        <w:t xml:space="preserve"> </w:t>
      </w:r>
      <w:r>
        <w:t xml:space="preserve">plant DID’s record, then verify membership-consistency (every member’s record</w:t>
      </w:r>
      <w:r>
        <w:t xml:space="preserve"> </w:t>
      </w:r>
      <w:r>
        <w:t xml:space="preserve">places it at this plant now), then sample members per the V-ladder. A</w:t>
      </w:r>
      <w:r>
        <w:t xml:space="preserve"> </w:t>
      </w:r>
      <w:r>
        <w:rPr>
          <w:iCs/>
          <w:i/>
        </w:rPr>
        <w:t xml:space="preserve">fleet</w:t>
      </w:r>
      <w:r>
        <w:t xml:space="preserve"> </w:t>
      </w:r>
      <w:r>
        <w:t xml:space="preserve">—</w:t>
      </w:r>
      <w:r>
        <w:t xml:space="preserve"> </w:t>
      </w:r>
      <w:r>
        <w:t xml:space="preserve">an owner’s holdings across plants — is a portfolio view, not an identity:</w:t>
      </w:r>
      <w:r>
        <w:t xml:space="preserve"> </w:t>
      </w:r>
      <w:r>
        <w:t xml:space="preserve">Chapter 10’s privacy analysis specifically wants fleet composition to be</w:t>
      </w:r>
      <w:r>
        <w:t xml:space="preserve"> </w:t>
      </w:r>
      <w:r>
        <w:t xml:space="preserve">non-obvious from public data, so fleets exist as queries under the owner’s</w:t>
      </w:r>
      <w:r>
        <w:t xml:space="preserve"> </w:t>
      </w:r>
      <w:r>
        <w:t xml:space="preserve">authorization, never as on-ledger objects. The general test for</w:t>
      </w:r>
      <w:r>
        <w:t xml:space="preserve"> </w:t>
      </w:r>
      <w:r>
        <w:t xml:space="preserve">“</w:t>
      </w:r>
      <w:r>
        <w:t xml:space="preserve">does this</w:t>
      </w:r>
      <w:r>
        <w:t xml:space="preserve"> </w:t>
      </w:r>
      <w:r>
        <w:t xml:space="preserve">collection get a DID?</w:t>
      </w:r>
      <w:r>
        <w:t xml:space="preserve">”</w:t>
      </w:r>
      <w:r>
        <w:t xml:space="preserve"> </w:t>
      </w:r>
      <w:r>
        <w:t xml:space="preserve">is the same every time: does any external party ever</w:t>
      </w:r>
      <w:r>
        <w:t xml:space="preserve"> </w:t>
      </w:r>
      <w:r>
        <w:t xml:space="preserve">need to verify a claim about the collection</w:t>
      </w:r>
      <w:r>
        <w:t xml:space="preserve"> </w:t>
      </w:r>
      <w:r>
        <w:rPr>
          <w:iCs/>
          <w:i/>
        </w:rPr>
        <w:t xml:space="preserve">as such</w:t>
      </w:r>
      <w:r>
        <w:t xml:space="preserve">? Plants yes, strings no,</w:t>
      </w:r>
      <w:r>
        <w:t xml:space="preserve"> </w:t>
      </w:r>
      <w:r>
        <w:t xml:space="preserve">fleets no — and battery packs versus cells, Chapter 12’s version of the same</w:t>
      </w:r>
      <w:r>
        <w:t xml:space="preserve"> </w:t>
      </w:r>
      <w:r>
        <w:t xml:space="preserve">question, will use the same test.</w:t>
      </w:r>
    </w:p>
    <w:bookmarkEnd w:id="30"/>
    <w:bookmarkEnd w:id="31"/>
    <w:bookmarkStart w:id="32" w:name="chapter-summary"/>
    <w:p>
      <w:pPr>
        <w:pStyle w:val="Heading2"/>
      </w:pPr>
      <w:r>
        <w:t xml:space="preserve">3.7 Chapter Summary</w:t>
      </w:r>
    </w:p>
    <w:p>
      <w:pPr>
        <w:pStyle w:val="FirstParagraph"/>
      </w:pPr>
      <w:r>
        <w:t xml:space="preserve">Binding is the layer distributed ledgers cannot provide and the layer on which every</w:t>
      </w:r>
      <w:r>
        <w:t xml:space="preserve"> </w:t>
      </w:r>
      <w:r>
        <w:t xml:space="preserve">guarantee in Part I ultimately rests, and this chapter has assembled its full</w:t>
      </w:r>
      <w:r>
        <w:t xml:space="preserve"> </w:t>
      </w:r>
      <w:r>
        <w:t xml:space="preserve">apparatus. The verification function (V) is statistical (FAR/FRR under a</w:t>
      </w:r>
      <w:r>
        <w:t xml:space="preserve"> </w:t>
      </w:r>
      <w:r>
        <w:t xml:space="preserve">threshold, published as a curve), adversarial (soundness priced in forger cost,</w:t>
      </w:r>
      <w:r>
        <w:t xml:space="preserve"> </w:t>
      </w:r>
      <w:r>
        <w:t xml:space="preserve">never in collision chance), and instrumented (the verifier’s own attested</w:t>
      </w:r>
      <w:r>
        <w:t xml:space="preserve"> </w:t>
      </w:r>
      <w:r>
        <w:t xml:space="preserve">instrument is part of the trusted base). Active binding — device keys in</w:t>
      </w:r>
      <w:r>
        <w:t xml:space="preserve"> </w:t>
      </w:r>
      <w:r>
        <w:t xml:space="preserve">tamper-resistant hardware, verified by challenge–response — is mature, proven at</w:t>
      </w:r>
      <w:r>
        <w:t xml:space="preserve"> </w:t>
      </w:r>
      <w:r>
        <w:t xml:space="preserve">national scale by the meter fleets, and fits every DER asset class that carries</w:t>
      </w:r>
      <w:r>
        <w:t xml:space="preserve"> </w:t>
      </w:r>
      <w:r>
        <w:t xml:space="preserve">electronics, which is most classes by value and few by count; its lifecycle</w:t>
      </w:r>
      <w:r>
        <w:t xml:space="preserve"> </w:t>
      </w:r>
      <w:r>
        <w:t xml:space="preserve">(provisioning ceremony, operational attestation, supersession at element</w:t>
      </w:r>
      <w:r>
        <w:t xml:space="preserve"> </w:t>
      </w:r>
      <w:r>
        <w:t xml:space="preserve">replacement) mirrors the passive patterns closely enough that one verification</w:t>
      </w:r>
      <w:r>
        <w:t xml:space="preserve"> </w:t>
      </w:r>
      <w:r>
        <w:t xml:space="preserve">logic serves both. The module, passive and numerous, requires the object itself</w:t>
      </w:r>
      <w:r>
        <w:t xml:space="preserve"> </w:t>
      </w:r>
      <w:r>
        <w:t xml:space="preserve">to serve as credential: enrollment and re-verification of structural</w:t>
      </w:r>
      <w:r>
        <w:t xml:space="preserve"> </w:t>
      </w:r>
      <w:r>
        <w:t xml:space="preserve">fingerprints through the acquisition–registration–extraction–comparison</w:t>
      </w:r>
      <w:r>
        <w:t xml:space="preserve"> </w:t>
      </w:r>
      <w:r>
        <w:t xml:space="preserve">pipeline, of which electroluminescence structure is the practical present,</w:t>
      </w:r>
      <w:r>
        <w:t xml:space="preserve"> </w:t>
      </w:r>
      <w:r>
        <w:t xml:space="preserve">structural defect mapping the high-assurance direction Chapter 6 develops,</w:t>
      </w:r>
      <w:r>
        <w:t xml:space="preserve"> </w:t>
      </w:r>
      <w:r>
        <w:t xml:space="preserve">and depth-versus-accessibility the organizing trade. DIDs and verifiable</w:t>
      </w:r>
      <w:r>
        <w:t xml:space="preserve"> </w:t>
      </w:r>
      <w:r>
        <w:t xml:space="preserve">credentials supply workable naming and claim formats once their person-centric</w:t>
      </w:r>
      <w:r>
        <w:t xml:space="preserve"> </w:t>
      </w:r>
      <w:r>
        <w:t xml:space="preserve">assumptions — self-sovereign control, key rotation, indefinite resolution — are</w:t>
      </w:r>
      <w:r>
        <w:t xml:space="preserve"> </w:t>
      </w:r>
      <w:r>
        <w:t xml:space="preserve">reworked for objects whose controllers change, whose</w:t>
      </w:r>
      <w:r>
        <w:t xml:space="preserve"> </w:t>
      </w:r>
      <w:r>
        <w:t xml:space="preserve">“</w:t>
      </w:r>
      <w:r>
        <w:t xml:space="preserve">keys</w:t>
      </w:r>
      <w:r>
        <w:t xml:space="preserve">”</w:t>
      </w:r>
      <w:r>
        <w:t xml:space="preserve"> </w:t>
      </w:r>
      <w:r>
        <w:t xml:space="preserve">are their physical</w:t>
      </w:r>
      <w:r>
        <w:t xml:space="preserve"> </w:t>
      </w:r>
      <w:r>
        <w:t xml:space="preserve">structure, and whose records must verify without live resolution. Composition,</w:t>
      </w:r>
      <w:r>
        <w:t xml:space="preserve"> </w:t>
      </w:r>
      <w:r>
        <w:t xml:space="preserve">not mechanism choice, is the deployment answer: locate cheaply, verify</w:t>
      </w:r>
      <w:r>
        <w:t xml:space="preserve"> </w:t>
      </w:r>
      <w:r>
        <w:t xml:space="preserve">proportionally up the V0–V3 ladder, escalate failures rather than argue them,</w:t>
      </w:r>
      <w:r>
        <w:t xml:space="preserve"> </w:t>
      </w:r>
      <w:r>
        <w:t xml:space="preserve">and grant collective identity only where external parties verify claims about</w:t>
      </w:r>
      <w:r>
        <w:t xml:space="preserve"> </w:t>
      </w:r>
      <w:r>
        <w:t xml:space="preserve">the collective as such. The reference stack of Figure 3.2 — claims over names</w:t>
      </w:r>
      <w:r>
        <w:t xml:space="preserve"> </w:t>
      </w:r>
      <w:r>
        <w:t xml:space="preserve">over records over bindings — is the architecture whose record layer Chapter 4</w:t>
      </w:r>
      <w:r>
        <w:t xml:space="preserve"> </w:t>
      </w:r>
      <w:r>
        <w:t xml:space="preserve">now designs in detail.</w:t>
      </w:r>
    </w:p>
    <w:bookmarkEnd w:id="32"/>
    <w:bookmarkStart w:id="33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5"/>
        </w:numPr>
        <w:pStyle w:val="Compact"/>
      </w:pPr>
      <w:r>
        <w:t xml:space="preserve">Grieves, M., and J. Vickers.</w:t>
      </w:r>
      <w:r>
        <w:t xml:space="preserve"> </w:t>
      </w:r>
      <w:r>
        <w:t xml:space="preserve">“</w:t>
      </w:r>
      <w:r>
        <w:t xml:space="preserve">Digital Twin: Mitigating Unpredictable, Undesirable</w:t>
      </w:r>
      <w:r>
        <w:t xml:space="preserve"> </w:t>
      </w:r>
      <w:r>
        <w:t xml:space="preserve">Emergent Behavior in Complex Systems.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Transdisciplinary Perspectives on</w:t>
      </w:r>
      <w:r>
        <w:rPr>
          <w:iCs/>
          <w:i/>
        </w:rPr>
        <w:t xml:space="preserve"> </w:t>
      </w:r>
      <w:r>
        <w:rPr>
          <w:iCs/>
          <w:i/>
        </w:rPr>
        <w:t xml:space="preserve">Complex Systems</w:t>
      </w:r>
      <w:r>
        <w:t xml:space="preserve">, 85–113. Springer, 2017. The origin of the twin concept in</w:t>
      </w:r>
      <w:r>
        <w:t xml:space="preserve"> </w:t>
      </w:r>
      <w:r>
        <w:t xml:space="preserve">lifecycle management; read alongside the AAS specifications for the current</w:t>
      </w:r>
      <w:r>
        <w:t xml:space="preserve"> </w:t>
      </w:r>
      <w:r>
        <w:t xml:space="preserve">industrial form.</w:t>
      </w:r>
    </w:p>
    <w:p>
      <w:pPr>
        <w:numPr>
          <w:ilvl w:val="0"/>
          <w:numId w:val="1005"/>
        </w:numPr>
        <w:pStyle w:val="Compact"/>
      </w:pPr>
      <w:r>
        <w:t xml:space="preserve">World Wide Web Consortium.</w:t>
      </w:r>
      <w:r>
        <w:t xml:space="preserve"> </w:t>
      </w:r>
      <w:r>
        <w:rPr>
          <w:iCs/>
          <w:i/>
        </w:rPr>
        <w:t xml:space="preserve">Decentralized Identifiers (DIDs) v1.0.</w:t>
      </w:r>
      <w:r>
        <w:t xml:space="preserve"> </w:t>
      </w:r>
      <w:r>
        <w:t xml:space="preserve">W3C</w:t>
      </w:r>
      <w:r>
        <w:t xml:space="preserve"> </w:t>
      </w:r>
      <w:r>
        <w:t xml:space="preserve">Recommendation, 19 July 2022.</w:t>
      </w:r>
    </w:p>
    <w:p>
      <w:pPr>
        <w:numPr>
          <w:ilvl w:val="0"/>
          <w:numId w:val="1005"/>
        </w:numPr>
        <w:pStyle w:val="Compact"/>
      </w:pPr>
      <w:r>
        <w:t xml:space="preserve">World Wide Web Consortium.</w:t>
      </w:r>
      <w:r>
        <w:t xml:space="preserve"> </w:t>
      </w:r>
      <w:r>
        <w:rPr>
          <w:iCs/>
          <w:i/>
        </w:rPr>
        <w:t xml:space="preserve">Verifiable Credentials Data Model v2.0.</w:t>
      </w:r>
      <w:r>
        <w:t xml:space="preserve"> </w:t>
      </w:r>
      <w:r>
        <w:t xml:space="preserve">W3C</w:t>
      </w:r>
      <w:r>
        <w:t xml:space="preserve"> </w:t>
      </w:r>
      <w:r>
        <w:t xml:space="preserve">Recommendation, 2025.</w:t>
      </w:r>
    </w:p>
    <w:p>
      <w:pPr>
        <w:numPr>
          <w:ilvl w:val="0"/>
          <w:numId w:val="1005"/>
        </w:numPr>
        <w:pStyle w:val="Compact"/>
      </w:pPr>
      <w:r>
        <w:t xml:space="preserve">Gassend, B., D. Clarke, M. van Dijk, and S. Devadas.</w:t>
      </w:r>
      <w:r>
        <w:t xml:space="preserve"> </w:t>
      </w:r>
      <w:r>
        <w:t xml:space="preserve">“</w:t>
      </w:r>
      <w:r>
        <w:t xml:space="preserve">Silicon Physical Random</w:t>
      </w:r>
      <w:r>
        <w:t xml:space="preserve"> </w:t>
      </w:r>
      <w:r>
        <w:t xml:space="preserve">Functions.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9th ACM Conference on Computer and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Communications Security (CCS ’02)</w:t>
      </w:r>
      <w:r>
        <w:t xml:space="preserve">, 148–160. ACM, 2002.</w:t>
      </w:r>
    </w:p>
    <w:p>
      <w:pPr>
        <w:numPr>
          <w:ilvl w:val="0"/>
          <w:numId w:val="1005"/>
        </w:numPr>
        <w:pStyle w:val="Compact"/>
      </w:pPr>
      <w:r>
        <w:t xml:space="preserve">Buchanan, J. D. R., et al. </w:t>
      </w:r>
      <w:r>
        <w:t xml:space="preserve">“</w:t>
      </w:r>
      <w:r>
        <w:t xml:space="preserve">Fingerprinting Documents and Packaging.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436</w:t>
      </w:r>
      <w:r>
        <w:t xml:space="preserve"> </w:t>
      </w:r>
      <w:r>
        <w:t xml:space="preserve">(2005): 475.</w:t>
      </w:r>
    </w:p>
    <w:p>
      <w:pPr>
        <w:numPr>
          <w:ilvl w:val="0"/>
          <w:numId w:val="1005"/>
        </w:numPr>
        <w:pStyle w:val="Compact"/>
      </w:pPr>
      <w:r>
        <w:t xml:space="preserve">Trusted Computing Group.</w:t>
      </w:r>
      <w:r>
        <w:t xml:space="preserve"> </w:t>
      </w:r>
      <w:r>
        <w:rPr>
          <w:iCs/>
          <w:i/>
        </w:rPr>
        <w:t xml:space="preserve">TPM 2.0 Library Specification.</w:t>
      </w:r>
      <w:r>
        <w:t xml:space="preserve"> </w:t>
      </w:r>
      <w:r>
        <w:t xml:space="preserve">TCG, latest revision.</w:t>
      </w:r>
    </w:p>
    <w:p>
      <w:pPr>
        <w:numPr>
          <w:ilvl w:val="0"/>
          <w:numId w:val="1005"/>
        </w:numPr>
        <w:pStyle w:val="Compact"/>
      </w:pPr>
      <w:r>
        <w:t xml:space="preserve">Köntges, M., et al. </w:t>
      </w:r>
      <w:r>
        <w:rPr>
          <w:iCs/>
          <w:i/>
        </w:rPr>
        <w:t xml:space="preserve">Review of Failures of Photovoltaic Modules</w:t>
      </w:r>
      <w:r>
        <w:t xml:space="preserve"> </w:t>
      </w:r>
      <w:r>
        <w:t xml:space="preserve">(EL imaging and</w:t>
      </w:r>
      <w:r>
        <w:t xml:space="preserve"> </w:t>
      </w:r>
      <w:r>
        <w:t xml:space="preserve">crack morphology context). IEA-PVPS Task 13 Report T13-01:2014.</w:t>
      </w:r>
    </w:p>
    <w:p>
      <w:pPr>
        <w:numPr>
          <w:ilvl w:val="0"/>
          <w:numId w:val="1005"/>
        </w:numPr>
        <w:pStyle w:val="Compact"/>
      </w:pPr>
      <w:r>
        <w:t xml:space="preserve">Degen, C. L., F. Reinhard, and P. Cappellaro.</w:t>
      </w:r>
      <w:r>
        <w:t xml:space="preserve"> </w:t>
      </w:r>
      <w:r>
        <w:t xml:space="preserve">“</w:t>
      </w:r>
      <w:r>
        <w:t xml:space="preserve">Quantum Sensing.</w:t>
      </w:r>
      <w:r>
        <w:t xml:space="preserve">”</w:t>
      </w:r>
      <w:r>
        <w:t xml:space="preserve"> </w:t>
      </w:r>
      <w:r>
        <w:rPr>
          <w:iCs/>
          <w:i/>
        </w:rPr>
        <w:t xml:space="preserve">Reviews of</w:t>
      </w:r>
      <w:r>
        <w:rPr>
          <w:iCs/>
          <w:i/>
        </w:rPr>
        <w:t xml:space="preserve"> </w:t>
      </w:r>
      <w:r>
        <w:rPr>
          <w:iCs/>
          <w:i/>
        </w:rPr>
        <w:t xml:space="preserve">Modern Physics</w:t>
      </w:r>
      <w:r>
        <w:t xml:space="preserve"> </w:t>
      </w:r>
      <w:r>
        <w:t xml:space="preserve">89, no. 3 (2017): 035002.</w:t>
      </w:r>
    </w:p>
    <w:p>
      <w:pPr>
        <w:numPr>
          <w:ilvl w:val="0"/>
          <w:numId w:val="1005"/>
        </w:numPr>
        <w:pStyle w:val="Compact"/>
      </w:pPr>
      <w:r>
        <w:t xml:space="preserve">Bundesamt für Sicherheit in der Informationstechnik.</w:t>
      </w:r>
      <w:r>
        <w:t xml:space="preserve"> </w:t>
      </w:r>
      <w:r>
        <w:rPr>
          <w:iCs/>
          <w:i/>
        </w:rPr>
        <w:t xml:space="preserve">Protection Profile for</w:t>
      </w:r>
      <w:r>
        <w:rPr>
          <w:iCs/>
          <w:i/>
        </w:rPr>
        <w:t xml:space="preserve"> </w:t>
      </w:r>
      <w:r>
        <w:rPr>
          <w:iCs/>
          <w:i/>
        </w:rPr>
        <w:t xml:space="preserve">the Gateway of a Smart Metering System (BSI-CC-PP-0073).</w:t>
      </w:r>
      <w:r>
        <w:t xml:space="preserve"> </w:t>
      </w:r>
      <w:r>
        <w:t xml:space="preserve">Bonn: BSI. The</w:t>
      </w:r>
      <w:r>
        <w:t xml:space="preserve"> </w:t>
      </w:r>
      <w:r>
        <w:t xml:space="preserve">metering-fleet precedent of Section 3.3.1.</w:t>
      </w:r>
    </w:p>
    <w:p>
      <w:pPr>
        <w:numPr>
          <w:ilvl w:val="0"/>
          <w:numId w:val="1005"/>
        </w:numPr>
        <w:pStyle w:val="Compact"/>
      </w:pPr>
      <w:r>
        <w:t xml:space="preserve">Plattform Industrie 4.0 / IDTA.</w:t>
      </w:r>
      <w:r>
        <w:t xml:space="preserve"> </w:t>
      </w:r>
      <w:r>
        <w:rPr>
          <w:iCs/>
          <w:i/>
        </w:rPr>
        <w:t xml:space="preserve">Asset Administration Shell Specifications.</w:t>
      </w:r>
      <w:r>
        <w:t xml:space="preserve"> </w:t>
      </w:r>
      <w:r>
        <w:t xml:space="preserve">The industrial digital-twin data models discussed in Section 3.2.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2026-07-03T09:17:36Z</dcterms:created>
  <dcterms:modified xsi:type="dcterms:W3CDTF">2026-07-03T09:17:36Z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