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art-ii-architecture"/>
    <w:p>
      <w:pPr>
        <w:pStyle w:val="Heading1"/>
      </w:pPr>
      <w:r>
        <w:t xml:space="preserve">Part II — Architecture</w:t>
      </w:r>
    </w:p>
    <w:bookmarkEnd w:id="20"/>
    <w:bookmarkStart w:id="37" w:name="X4fe3bb41ae9b7dde23442dbe7df377ddad96bbc"/>
    <w:p>
      <w:pPr>
        <w:pStyle w:val="Heading1"/>
      </w:pPr>
      <w:r>
        <w:t xml:space="preserve">Designing an Immutable Identity Layer for Energy Hardware</w:t>
      </w:r>
    </w:p>
    <w:bookmarkStart w:id="21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Part I ended with a reference stack: claims over names over records over bindings.</w:t>
      </w:r>
      <w:r>
        <w:t xml:space="preserve"> </w:t>
      </w:r>
      <w:r>
        <w:t xml:space="preserve">This chapter designs the record layer of that stack as an engineer would — starting</w:t>
      </w:r>
      <w:r>
        <w:t xml:space="preserve"> </w:t>
      </w:r>
      <w:r>
        <w:t xml:space="preserve">from workload numbers rather than platform enthusiasms. It derives the on-chain/</w:t>
      </w:r>
      <w:r>
        <w:t xml:space="preserve"> </w:t>
      </w:r>
      <w:r>
        <w:t xml:space="preserve">off-chain partition from the data volumes energy hardware actually produces, and</w:t>
      </w:r>
      <w:r>
        <w:t xml:space="preserve"> </w:t>
      </w:r>
      <w:r>
        <w:t xml:space="preserve">converts the workload into a requirements table with derivations; specifies</w:t>
      </w:r>
      <w:r>
        <w:t xml:space="preserve"> </w:t>
      </w:r>
      <w:r>
        <w:t xml:space="preserve">manufacture-time identity issuance, where the whole system’s trust originates,</w:t>
      </w:r>
      <w:r>
        <w:t xml:space="preserve"> </w:t>
      </w:r>
      <w:r>
        <w:t xml:space="preserve">down to the enrollment station’s exception paths; details the anchoring</w:t>
      </w:r>
      <w:r>
        <w:t xml:space="preserve"> </w:t>
      </w:r>
      <w:r>
        <w:t xml:space="preserve">mechanism whose public commitments outlive every institution in the system;</w:t>
      </w:r>
      <w:r>
        <w:t xml:space="preserve"> </w:t>
      </w:r>
      <w:r>
        <w:t xml:space="preserve">designs the oracle layer that carries physical measurements onto the ledger,</w:t>
      </w:r>
      <w:r>
        <w:t xml:space="preserve"> </w:t>
      </w:r>
      <w:r>
        <w:t xml:space="preserve">including the instrument trust grades a real fleet forces; walks the decision</w:t>
      </w:r>
      <w:r>
        <w:t xml:space="preserve"> </w:t>
      </w:r>
      <w:r>
        <w:t xml:space="preserve">discipline of Section 4.6 — the conditions under which the honest answer is</w:t>
      </w:r>
      <w:r>
        <w:t xml:space="preserve"> </w:t>
      </w:r>
      <w:r>
        <w:t xml:space="preserve">that no ledger is needed at all — through two worked negatives; and closes</w:t>
      </w:r>
      <w:r>
        <w:t xml:space="preserve"> </w:t>
      </w:r>
      <w:r>
        <w:t xml:space="preserve">with the deployment topology, because logical architecture that never lands on</w:t>
      </w:r>
      <w:r>
        <w:t xml:space="preserve"> </w:t>
      </w:r>
      <w:r>
        <w:t xml:space="preserve">servers decides nothing.</w:t>
      </w:r>
    </w:p>
    <w:bookmarkEnd w:id="21"/>
    <w:bookmarkStart w:id="23" w:name="the-workload-quantified-first"/>
    <w:p>
      <w:pPr>
        <w:pStyle w:val="Heading2"/>
      </w:pPr>
      <w:r>
        <w:t xml:space="preserve">4.1 The Workload, Quantified First</w:t>
      </w:r>
    </w:p>
    <w:p>
      <w:pPr>
        <w:pStyle w:val="FirstParagraph"/>
      </w:pPr>
      <w:r>
        <w:t xml:space="preserve">Architecture follows workload. The first-wave projects of Section 1.5 mostly</w:t>
      </w:r>
      <w:r>
        <w:t xml:space="preserve"> </w:t>
      </w:r>
      <w:r>
        <w:t xml:space="preserve">inverted this order — platform first, workload discovered in production — and</w:t>
      </w:r>
      <w:r>
        <w:t xml:space="preserve"> </w:t>
      </w:r>
      <w:r>
        <w:t xml:space="preserve">paid for it twice: once in re-architecture when the volumes arrived, and once</w:t>
      </w:r>
      <w:r>
        <w:t xml:space="preserve"> </w:t>
      </w:r>
      <w:r>
        <w:t xml:space="preserve">in credibility when the re-architecture became the story. This chapter</w:t>
      </w:r>
      <w:r>
        <w:t xml:space="preserve"> </w:t>
      </w:r>
      <w:r>
        <w:t xml:space="preserve">therefore begins with numbers that any reader can check against their own</w:t>
      </w:r>
      <w:r>
        <w:t xml:space="preserve"> </w:t>
      </w:r>
      <w:r>
        <w:t xml:space="preserve">fleet. Table 4.1 estimates the data a single utility-scale PV plant generates,</w:t>
      </w:r>
      <w:r>
        <w:t xml:space="preserve"> </w:t>
      </w:r>
      <w:r>
        <w:t xml:space="preserve">separated into the two categories that Section 3.2 distinguished: sparse</w:t>
      </w:r>
      <w:r>
        <w:t xml:space="preserve"> </w:t>
      </w:r>
      <w:r>
        <w:t xml:space="preserve">evidential events and continuous operational telemetry. The specific values</w:t>
      </w:r>
      <w:r>
        <w:t xml:space="preserve"> </w:t>
      </w:r>
      <w:r>
        <w:t xml:space="preserve">carry error bars of at least a factor of two in either direction — inspection</w:t>
      </w:r>
      <w:r>
        <w:t xml:space="preserve"> </w:t>
      </w:r>
      <w:r>
        <w:t xml:space="preserve">policies, image resolutions, and telemetry cadences vary — but the</w:t>
      </w:r>
      <w:r>
        <w:t xml:space="preserve"> </w:t>
      </w:r>
      <w:r>
        <w:rPr>
          <w:iCs/>
          <w:i/>
        </w:rPr>
        <w:t xml:space="preserve">ratios</w:t>
      </w:r>
      <w:r>
        <w:t xml:space="preserve"> </w:t>
      </w:r>
      <w:r>
        <w:t xml:space="preserve">between rows, which is what the architecture is built on, are robust</w:t>
      </w:r>
      <w:r>
        <w:t xml:space="preserve"> </w:t>
      </w:r>
      <w:r>
        <w:t xml:space="preserve">across any plausible parameter choice.</w:t>
      </w:r>
    </w:p>
    <w:p>
      <w:pPr>
        <w:pStyle w:val="BodyText"/>
      </w:pPr>
      <w:r>
        <w:rPr>
          <w:bCs/>
          <w:b/>
        </w:rPr>
        <w:t xml:space="preserve">Table 4.1</w:t>
      </w:r>
      <w:r>
        <w:t xml:space="preserve"> </w:t>
      </w:r>
      <w:r>
        <w:t xml:space="preserve">Approximate data workload for a 100 MW PV plant (~250,000 modules,</w:t>
      </w:r>
      <w:r>
        <w:t xml:space="preserve"> </w:t>
      </w:r>
      <w:r>
        <w:t xml:space="preserve">~800 string inverters), by record category.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over 25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events (install, transfer, maintenance…)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~0.1–1 per unit-year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~10–60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records: EL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5–20 MB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+ sampled 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~1–50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records: defect maps (Ch.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10–100 MB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+ escalated 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~2–25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Inverter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kB/reading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1–15 min per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~10–100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 / SCADA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~10+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only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rarely</w:t>
      </w:r>
      <w:r>
        <w:t xml:space="preserve">”</w:t>
      </w:r>
      <w:r>
        <w:t xml:space="preserve"> </w:t>
      </w:r>
      <w:r>
        <w:t xml:space="preserve">in the telemetry row deserves its qualification, because the</w:t>
      </w:r>
      <w:r>
        <w:t xml:space="preserve"> </w:t>
      </w:r>
      <w:r>
        <w:t xml:space="preserve">exceptions define a useful pattern. Telemetry becomes evidential at</w:t>
      </w:r>
      <w:r>
        <w:t xml:space="preserve"> </w:t>
      </w:r>
      <w:r>
        <w:rPr>
          <w:iCs/>
          <w:i/>
        </w:rPr>
        <w:t xml:space="preserve">decision</w:t>
      </w:r>
      <w:r>
        <w:rPr>
          <w:iCs/>
          <w:i/>
        </w:rPr>
        <w:t xml:space="preserve"> </w:t>
      </w:r>
      <w:r>
        <w:rPr>
          <w:iCs/>
          <w:i/>
        </w:rPr>
        <w:t xml:space="preserve">boundaries</w:t>
      </w:r>
      <w:r>
        <w:t xml:space="preserve">: the week of production data bracketing a warranty claim, the</w:t>
      </w:r>
      <w:r>
        <w:t xml:space="preserve"> </w:t>
      </w:r>
      <w:r>
        <w:t xml:space="preserve">irradiance-and-output series that substantiates a performance-guarantee</w:t>
      </w:r>
      <w:r>
        <w:t xml:space="preserve"> </w:t>
      </w:r>
      <w:r>
        <w:t xml:space="preserve">shortfall, the state-of-charge history surrounding a battery incident. The</w:t>
      </w:r>
      <w:r>
        <w:t xml:space="preserve"> </w:t>
      </w:r>
      <w:r>
        <w:t xml:space="preserve">architecture’s answer is not to ledger the stream but to let any party</w:t>
      </w:r>
      <w:r>
        <w:t xml:space="preserve"> </w:t>
      </w:r>
      <w:r>
        <w:rPr>
          <w:iCs/>
          <w:i/>
        </w:rPr>
        <w:t xml:space="preserve">promote</w:t>
      </w:r>
      <w:r>
        <w:t xml:space="preserve"> </w:t>
      </w:r>
      <w:r>
        <w:t xml:space="preserve">a telemetry extract into evidence when a boundary approaches: the</w:t>
      </w:r>
      <w:r>
        <w:t xml:space="preserve"> </w:t>
      </w:r>
      <w:r>
        <w:t xml:space="preserve">extract is serialized canonically, digested, committed as a condition-record</w:t>
      </w:r>
      <w:r>
        <w:t xml:space="preserve"> </w:t>
      </w:r>
      <w:r>
        <w:t xml:space="preserve">payload with the promoting party’s signature, and thereafter enjoys every</w:t>
      </w:r>
      <w:r>
        <w:t xml:space="preserve"> </w:t>
      </w:r>
      <w:r>
        <w:t xml:space="preserve">guarantee the evidential stream has — while the other 99.99% of the stream</w:t>
      </w:r>
      <w:r>
        <w:t xml:space="preserve"> </w:t>
      </w:r>
      <w:r>
        <w:t xml:space="preserve">lives and dies in the operational tier. Promotion is cheap, deliberate, and</w:t>
      </w:r>
      <w:r>
        <w:t xml:space="preserve"> </w:t>
      </w:r>
      <w:r>
        <w:t xml:space="preserve">attributable, which is exactly what an evidence rule should be. (Wind’s</w:t>
      </w:r>
      <w:r>
        <w:t xml:space="preserve"> </w:t>
      </w:r>
      <w:r>
        <w:t xml:space="preserve">load-milestone aggregates in Chapter 12 industrialize the same idea on a</w:t>
      </w:r>
      <w:r>
        <w:t xml:space="preserve"> </w:t>
      </w:r>
      <w:r>
        <w:t xml:space="preserve">schedule.)</w:t>
      </w:r>
    </w:p>
    <w:p>
      <w:pPr>
        <w:pStyle w:val="BodyText"/>
      </w:pPr>
      <w:r>
        <w:t xml:space="preserve">Two conclusions are immediate and drive everything else in the chapter. First, the</w:t>
      </w:r>
      <w:r>
        <w:t xml:space="preserve"> </w:t>
      </w:r>
      <w:r>
        <w:rPr>
          <w:iCs/>
          <w:i/>
        </w:rPr>
        <w:t xml:space="preserve">evidential event stream</w:t>
      </w:r>
      <w:r>
        <w:t xml:space="preserve"> </w:t>
      </w:r>
      <w:r>
        <w:t xml:space="preserve">— the records that need consensus ordering and immutability</w:t>
      </w:r>
      <w:r>
        <w:t xml:space="preserve"> </w:t>
      </w:r>
      <w:r>
        <w:t xml:space="preserve">— is small: kilobyte-scale entries at per-unit frequencies of roughly once a year.</w:t>
      </w:r>
      <w:r>
        <w:t xml:space="preserve"> </w:t>
      </w:r>
      <w:r>
        <w:t xml:space="preserve">Aggregated even across a national fleet of millions of devices this is tens of</w:t>
      </w:r>
      <w:r>
        <w:t xml:space="preserve"> </w:t>
      </w:r>
      <w:r>
        <w:t xml:space="preserve">transactions per second, comfortably within BFT consortium throughput (Chapter 7 does</w:t>
      </w:r>
      <w:r>
        <w:t xml:space="preserve"> </w:t>
      </w:r>
      <w:r>
        <w:t xml:space="preserve">this arithmetic carefully). Second, the</w:t>
      </w:r>
      <w:r>
        <w:t xml:space="preserve"> </w:t>
      </w:r>
      <w:r>
        <w:rPr>
          <w:iCs/>
          <w:i/>
        </w:rPr>
        <w:t xml:space="preserve">payloads</w:t>
      </w:r>
      <w:r>
        <w:t xml:space="preserve"> </w:t>
      </w:r>
      <w:r>
        <w:t xml:space="preserve">— images, defect maps, telemetry —</w:t>
      </w:r>
      <w:r>
        <w:t xml:space="preserve"> </w:t>
      </w:r>
      <w:r>
        <w:t xml:space="preserve">are five to seven orders of magnitude larger and must not touch the ledger. Any</w:t>
      </w:r>
      <w:r>
        <w:t xml:space="preserve"> </w:t>
      </w:r>
      <w:r>
        <w:t xml:space="preserve">design that stores a megabyte on a replicated ledger is misdesigned; any design that</w:t>
      </w:r>
      <w:r>
        <w:t xml:space="preserve"> </w:t>
      </w:r>
      <w:r>
        <w:t xml:space="preserve">fails to</w:t>
      </w:r>
      <w:r>
        <w:t xml:space="preserve"> </w:t>
      </w:r>
      <w:r>
        <w:rPr>
          <w:iCs/>
          <w:i/>
        </w:rPr>
        <w:t xml:space="preserve">commit</w:t>
      </w:r>
      <w:r>
        <w:t xml:space="preserve"> </w:t>
      </w:r>
      <w:r>
        <w:t xml:space="preserve">to that megabyte on the ledger loses the integrity guarantee. The</w:t>
      </w:r>
      <w:r>
        <w:t xml:space="preserve"> </w:t>
      </w:r>
      <w:r>
        <w:t xml:space="preserve">resolution is the oldest pattern in the field, applied with discipline.</w:t>
      </w:r>
    </w:p>
    <w:bookmarkStart w:id="22" w:name="from-workload-to-requirements"/>
    <w:p>
      <w:pPr>
        <w:pStyle w:val="Heading3"/>
      </w:pPr>
      <w:r>
        <w:t xml:space="preserve">4.1.1 From Workload to Requirements</w:t>
      </w:r>
    </w:p>
    <w:p>
      <w:pPr>
        <w:pStyle w:val="FirstParagraph"/>
      </w:pPr>
      <w:r>
        <w:t xml:space="preserve">Before drawing boxes, the workload converts into a requirements statement — the</w:t>
      </w:r>
      <w:r>
        <w:t xml:space="preserve"> </w:t>
      </w:r>
      <w:r>
        <w:t xml:space="preserve">document a procurement process should demand and rarely gets. Table 4.2 states</w:t>
      </w:r>
      <w:r>
        <w:t xml:space="preserve"> </w:t>
      </w:r>
      <w:r>
        <w:t xml:space="preserve">the identity layer’s non-functional requirements with their derivations, because</w:t>
      </w:r>
      <w:r>
        <w:t xml:space="preserve"> </w:t>
      </w:r>
      <w:r>
        <w:t xml:space="preserve">a requirement without a derivation is a preference.</w:t>
      </w:r>
    </w:p>
    <w:p>
      <w:pPr>
        <w:pStyle w:val="BodyText"/>
      </w:pPr>
      <w:r>
        <w:rPr>
          <w:bCs/>
          <w:b/>
        </w:rPr>
        <w:t xml:space="preserve">Table 4.2</w:t>
      </w:r>
      <w:r>
        <w:t xml:space="preserve"> </w:t>
      </w:r>
      <w:r>
        <w:t xml:space="preserve">Non-functional requirements for the identity layer, derived from</w:t>
      </w:r>
      <w:r>
        <w:t xml:space="preserve"> </w:t>
      </w:r>
      <w:r>
        <w:t xml:space="preserve">the Part I analysis and the Table 4.1 workload.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Deterministic; ≤ 1 min at custody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Loading-dock dwell times; legal character of transfers (§2.3)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~10² tx/s sustained; 10³–10⁴ burst via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4.1 aggregated nationally; burst analysis (§7.2)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 for headers/proofs; verification never blocked on consortium 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is the product (§6.6); resolution independence (§3.5)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evidential stream ≥ 40 yr, format-migratable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life + dispute tail (§1.3)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 organizationally independent replicas; annual loss probability &lt; 10⁻⁶ per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Adverse-interest custody argument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Envelope: consortium-visible; payload: authorized parties; public: digests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Three-zone requirement (Ch.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agility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algorithms versioned per record; migration without record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9 patterns P1–P4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USD 0.10 marginal per module at Tier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economics (§1.3); factory-QA integration (§4.3)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Schema/parameter changes in weeks; emergency key revocation in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experience (Ch. 11); F9/F10 response (Ch. 8)</w:t>
            </w:r>
          </w:p>
        </w:tc>
      </w:tr>
    </w:tbl>
    <w:p>
      <w:pPr>
        <w:pStyle w:val="BodyText"/>
      </w:pPr>
      <w:r>
        <w:t xml:space="preserve">Two of these rows kill more platform candidates than any benchmark. The</w:t>
      </w:r>
      <w:r>
        <w:t xml:space="preserve"> </w:t>
      </w:r>
      <w:r>
        <w:rPr>
          <w:iCs/>
          <w:i/>
        </w:rPr>
        <w:t xml:space="preserve">durability</w:t>
      </w:r>
      <w:r>
        <w:t xml:space="preserve"> </w:t>
      </w:r>
      <w:r>
        <w:t xml:space="preserve">row eliminates every design whose record format, key registry, or</w:t>
      </w:r>
      <w:r>
        <w:t xml:space="preserve"> </w:t>
      </w:r>
      <w:r>
        <w:t xml:space="preserve">resolution service is proprietary to a vendor — not because vendors are</w:t>
      </w:r>
      <w:r>
        <w:t xml:space="preserve"> </w:t>
      </w:r>
      <w:r>
        <w:t xml:space="preserve">malicious but because forty years exceeds the design life of vendors. And the</w:t>
      </w:r>
      <w:r>
        <w:t xml:space="preserve"> </w:t>
      </w:r>
      <w:r>
        <w:rPr>
          <w:iCs/>
          <w:i/>
        </w:rPr>
        <w:t xml:space="preserve">enrollment cost</w:t>
      </w:r>
      <w:r>
        <w:t xml:space="preserve"> </w:t>
      </w:r>
      <w:r>
        <w:t xml:space="preserve">row eliminates every design that requires new per-unit</w:t>
      </w:r>
      <w:r>
        <w:t xml:space="preserve"> </w:t>
      </w:r>
      <w:r>
        <w:t xml:space="preserve">hardware or per-unit human handling at manufacture, which is most of what has</w:t>
      </w:r>
      <w:r>
        <w:t xml:space="preserve"> </w:t>
      </w:r>
      <w:r>
        <w:t xml:space="preserve">been marketed as</w:t>
      </w:r>
      <w:r>
        <w:t xml:space="preserve"> </w:t>
      </w:r>
      <w:r>
        <w:t xml:space="preserve">“</w:t>
      </w:r>
      <w:r>
        <w:t xml:space="preserve">blockchain asset tracking.</w:t>
      </w:r>
      <w:r>
        <w:t xml:space="preserve">”</w:t>
      </w:r>
      <w:r>
        <w:t xml:space="preserve"> </w:t>
      </w:r>
      <w:r>
        <w:t xml:space="preserve">An architecture that survives</w:t>
      </w:r>
      <w:r>
        <w:t xml:space="preserve"> </w:t>
      </w:r>
      <w:r>
        <w:t xml:space="preserve">both rows has, in practice, already committed to the shape this chapter draws:</w:t>
      </w:r>
      <w:r>
        <w:t xml:space="preserve"> </w:t>
      </w:r>
      <w:r>
        <w:t xml:space="preserve">open formats, consortium operation, commitments on-chain, bulk data off-chain,</w:t>
      </w:r>
      <w:r>
        <w:t xml:space="preserve"> </w:t>
      </w:r>
      <w:r>
        <w:t xml:space="preserve">and enrollment folded into measurements the factory already makes.</w:t>
      </w:r>
    </w:p>
    <w:bookmarkEnd w:id="22"/>
    <w:bookmarkEnd w:id="23"/>
    <w:bookmarkStart w:id="25" w:name="the-on-chainoff-chain-partition"/>
    <w:p>
      <w:pPr>
        <w:pStyle w:val="Heading2"/>
      </w:pPr>
      <w:r>
        <w:t xml:space="preserve">4.2 The On-Chain/Off-Chain Partition</w:t>
      </w:r>
    </w:p>
    <w:p>
      <w:pPr>
        <w:pStyle w:val="FirstParagraph"/>
      </w:pPr>
      <w:r>
        <w:t xml:space="preserve">The rule this book applies:</w:t>
      </w:r>
      <w:r>
        <w:t xml:space="preserve"> </w:t>
      </w:r>
      <w:r>
        <w:rPr>
          <w:bCs/>
          <w:b/>
        </w:rPr>
        <w:t xml:space="preserve">the ledger stores commitments, references, and state;</w:t>
      </w:r>
      <w:r>
        <w:rPr>
          <w:bCs/>
          <w:b/>
        </w:rPr>
        <w:t xml:space="preserve"> </w:t>
      </w:r>
      <w:r>
        <w:rPr>
          <w:bCs/>
          <w:b/>
        </w:rPr>
        <w:t xml:space="preserve">off-chain stores hold content.</w:t>
      </w:r>
      <w:r>
        <w:t xml:space="preserve"> </w:t>
      </w:r>
      <w:r>
        <w:t xml:space="preserve">The rule admits no exceptions for convenience —</w:t>
      </w:r>
      <w:r>
        <w:t xml:space="preserve"> </w:t>
      </w:r>
      <w:r>
        <w:t xml:space="preserve">not for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payloads, not for fields a dashboard would like to query, not</w:t>
      </w:r>
      <w:r>
        <w:t xml:space="preserve"> </w:t>
      </w:r>
      <w:r>
        <w:t xml:space="preserve">for data someone promises will never grow — because every exception becomes a</w:t>
      </w:r>
      <w:r>
        <w:t xml:space="preserve"> </w:t>
      </w:r>
      <w:r>
        <w:t xml:space="preserve">precedent, and the precedents compound into exactly the bloated,</w:t>
      </w:r>
      <w:r>
        <w:t xml:space="preserve"> </w:t>
      </w:r>
      <w:r>
        <w:t xml:space="preserve">part-evidential, part-operational hybrid that neither chapter of requirements</w:t>
      </w:r>
      <w:r>
        <w:t xml:space="preserve"> </w:t>
      </w:r>
      <w:r>
        <w:t xml:space="preserve">can then be verified against. Concretely, each evidential record on the</w:t>
      </w:r>
      <w:r>
        <w:t xml:space="preserve"> </w:t>
      </w:r>
      <w:r>
        <w:t xml:space="preserve">consortium ledger carries:</w:t>
      </w:r>
    </w:p>
    <w:p>
      <w:pPr>
        <w:numPr>
          <w:ilvl w:val="0"/>
          <w:numId w:val="1001"/>
        </w:numPr>
        <w:pStyle w:val="Compact"/>
      </w:pPr>
      <w:r>
        <w:t xml:space="preserve">the asset DID and event type (schema of Chapter 5), the pair that every</w:t>
      </w:r>
      <w:r>
        <w:t xml:space="preserve"> </w:t>
      </w:r>
      <w:r>
        <w:t xml:space="preserve">index and every verification traversal keys on;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of the canonical serialization of the full event payload;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content reference</w:t>
      </w:r>
      <w:r>
        <w:t xml:space="preserve"> </w:t>
      </w:r>
      <w:r>
        <w:t xml:space="preserve">— a locator for the payload in one or more off-chain</w:t>
      </w:r>
      <w:r>
        <w:t xml:space="preserve"> </w:t>
      </w:r>
      <w:r>
        <w:t xml:space="preserve">stores, deliberately separated from the digest so that storage can migrate over</w:t>
      </w:r>
      <w:r>
        <w:t xml:space="preserve"> </w:t>
      </w:r>
      <w:r>
        <w:t xml:space="preserve">decades without touching the evidence;</w:t>
      </w:r>
    </w:p>
    <w:p>
      <w:pPr>
        <w:numPr>
          <w:ilvl w:val="0"/>
          <w:numId w:val="1001"/>
        </w:numPr>
        <w:pStyle w:val="Compact"/>
      </w:pPr>
      <w:r>
        <w:t xml:space="preserve">the submitter’s signature and the oracle attestations of Section 4.5, each</w:t>
      </w:r>
      <w:r>
        <w:t xml:space="preserve"> </w:t>
      </w:r>
      <w:r>
        <w:t xml:space="preserve">carrying its algorithm-policy reference so that verification decades later</w:t>
      </w:r>
      <w:r>
        <w:t xml:space="preserve"> </w:t>
      </w:r>
      <w:r>
        <w:t xml:space="preserve">evaluates the signature against the rules in force when it was made.</w:t>
      </w:r>
    </w:p>
    <w:p>
      <w:pPr>
        <w:pStyle w:val="FirstParagraph"/>
      </w:pPr>
      <w:r>
        <w:t xml:space="preserve">Verification then composes: fetch payload from any store, hash it, compare against</w:t>
      </w:r>
      <w:r>
        <w:t xml:space="preserve"> </w:t>
      </w:r>
      <w:r>
        <w:t xml:space="preserve">the on-chain digest, check the digest’s inclusion in an anchored block (Section 2.2’s</w:t>
      </w:r>
      <w:r>
        <w:t xml:space="preserve"> </w:t>
      </w:r>
      <w:r>
        <w:t xml:space="preserve">Merkle machinery). The payload store needs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, not trustworthiness — a</w:t>
      </w:r>
      <w:r>
        <w:t xml:space="preserve"> </w:t>
      </w:r>
      <w:r>
        <w:t xml:space="preserve">malicious store can withhold data but cannot alter it undetectably. This</w:t>
      </w:r>
      <w:r>
        <w:t xml:space="preserve"> </w:t>
      </w:r>
      <w:r>
        <w:t xml:space="preserve">one-way dependency is what makes the whole partition safe to operate across</w:t>
      </w:r>
      <w:r>
        <w:t xml:space="preserve"> </w:t>
      </w:r>
      <w:r>
        <w:t xml:space="preserve">organizational boundaries: the consortium never has to audit a store’s</w:t>
      </w:r>
      <w:r>
        <w:t xml:space="preserve"> </w:t>
      </w:r>
      <w:r>
        <w:t xml:space="preserve">software, vet its administrators, or trust its operator’s intentions, because</w:t>
      </w:r>
      <w:r>
        <w:t xml:space="preserve"> </w:t>
      </w:r>
      <w:r>
        <w:t xml:space="preserve">the store holds no authority — only obligations, which the retrievability</w:t>
      </w:r>
      <w:r>
        <w:t xml:space="preserve"> </w:t>
      </w:r>
      <w:r>
        <w:t xml:space="preserve">regime below measures.</w:t>
      </w:r>
    </w:p>
    <w:p>
      <w:pPr>
        <w:pStyle w:val="BodyText"/>
      </w:pPr>
      <w:r>
        <w:t xml:space="preserve">Withholding, however, is a real failure mode with a thirty-year horizon, and it gets</w:t>
      </w:r>
      <w:r>
        <w:t xml:space="preserve"> </w:t>
      </w:r>
      <w:r>
        <w:t xml:space="preserve">a design answer, not a shrug. The pilot architecture of Chapter 11 uses</w:t>
      </w:r>
      <w:r>
        <w:t xml:space="preserve"> </w:t>
      </w:r>
      <w:r>
        <w:rPr>
          <w:bCs/>
          <w:b/>
        </w:rPr>
        <w:t xml:space="preserve">replicated</w:t>
      </w:r>
      <w:r>
        <w:rPr>
          <w:bCs/>
          <w:b/>
        </w:rPr>
        <w:t xml:space="preserve"> </w:t>
      </w:r>
      <w:r>
        <w:rPr>
          <w:bCs/>
          <w:b/>
        </w:rPr>
        <w:t xml:space="preserve">custody with divergent interests</w:t>
      </w:r>
      <w:r>
        <w:t xml:space="preserve">: every evidential payload is held by at least the</w:t>
      </w:r>
      <w:r>
        <w:t xml:space="preserve"> </w:t>
      </w:r>
      <w:r>
        <w:t xml:space="preserve">party who benefits from it (the owner), a party adverse to it (the warranty-issuing</w:t>
      </w:r>
      <w:r>
        <w:t xml:space="preserve"> </w:t>
      </w:r>
      <w:r>
        <w:t xml:space="preserve">manufacturer), and a neutral archival service under consortium contract, with</w:t>
      </w:r>
      <w:r>
        <w:t xml:space="preserve"> </w:t>
      </w:r>
      <w:r>
        <w:t xml:space="preserve">periodic</w:t>
      </w:r>
      <w:r>
        <w:t xml:space="preserve"> </w:t>
      </w:r>
      <w:r>
        <w:rPr>
          <w:iCs/>
          <w:i/>
        </w:rPr>
        <w:t xml:space="preserve">proof-of-retrievability</w:t>
      </w:r>
      <w:r>
        <w:t xml:space="preserve"> </w:t>
      </w:r>
      <w:r>
        <w:t xml:space="preserve">challenges — a store must respond to random</w:t>
      </w:r>
      <w:r>
        <w:t xml:space="preserve"> </w:t>
      </w:r>
      <w:r>
        <w:t xml:space="preserve">challenge reads, and the challenge results themselves are logged as ledger events.</w:t>
      </w:r>
      <w:r>
        <w:t xml:space="preserve"> </w:t>
      </w:r>
      <w:r>
        <w:t xml:space="preserve">Content-addressed storage networks can supplement this arrangement; they should not</w:t>
      </w:r>
      <w:r>
        <w:t xml:space="preserve"> </w:t>
      </w:r>
      <w:r>
        <w:t xml:space="preserve">replace it, because</w:t>
      </w:r>
      <w:r>
        <w:t xml:space="preserve"> </w:t>
      </w:r>
      <w:r>
        <w:t xml:space="preserve">“</w:t>
      </w:r>
      <w:r>
        <w:t xml:space="preserve">someone, somewhere, probably pins it</w:t>
      </w:r>
      <w:r>
        <w:t xml:space="preserve">”</w:t>
      </w:r>
      <w:r>
        <w:t xml:space="preserve"> </w:t>
      </w:r>
      <w:r>
        <w:t xml:space="preserve">is not an evidential</w:t>
      </w:r>
      <w:r>
        <w:t xml:space="preserve"> </w:t>
      </w:r>
      <w:r>
        <w:t xml:space="preserve">custody policy.</w:t>
      </w:r>
    </w:p>
    <w:p>
      <w:pPr>
        <w:pStyle w:val="BodyText"/>
      </w:pPr>
      <w:r>
        <w:rPr>
          <w:bCs/>
          <w:b/>
        </w:rPr>
        <w:t xml:space="preserve">Figure 4.1</w:t>
      </w:r>
      <w:r>
        <w:t xml:space="preserve"> </w:t>
      </w:r>
      <w:r>
        <w:t xml:space="preserve">The partition and its verification path. Solid arrows are the write</w:t>
      </w:r>
      <w:r>
        <w:t xml:space="preserve"> </w:t>
      </w:r>
      <w:r>
        <w:t xml:space="preserve">path at event time; dashed arrows are the read/verification path years later.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WRITE [Event time]</w:t>
      </w:r>
      <w:r>
        <w:br/>
      </w:r>
      <w:r>
        <w:rPr>
          <w:rStyle w:val="VerbatimChar"/>
        </w:rPr>
        <w:t xml:space="preserve">        E[Event payload:&lt;br&gt;report, image,&lt;br&gt;defect map] --&gt; C[Canonical&lt;br&gt;serialization]</w:t>
      </w:r>
      <w:r>
        <w:br/>
      </w:r>
      <w:r>
        <w:rPr>
          <w:rStyle w:val="VerbatimChar"/>
        </w:rPr>
        <w:t xml:space="preserve">        C --&gt; D[Digest]</w:t>
      </w:r>
      <w:r>
        <w:br/>
      </w:r>
      <w:r>
        <w:rPr>
          <w:rStyle w:val="VerbatimChar"/>
        </w:rPr>
        <w:t xml:space="preserve">        C --&gt; S1[(Owner store)]</w:t>
      </w:r>
      <w:r>
        <w:br/>
      </w:r>
      <w:r>
        <w:rPr>
          <w:rStyle w:val="VerbatimChar"/>
        </w:rPr>
        <w:t xml:space="preserve">        C --&gt; S2[(Manufacturer store)]</w:t>
      </w:r>
      <w:r>
        <w:br/>
      </w:r>
      <w:r>
        <w:rPr>
          <w:rStyle w:val="VerbatimChar"/>
        </w:rPr>
        <w:t xml:space="preserve">        C --&gt; S3[(Archival store)]</w:t>
      </w:r>
      <w:r>
        <w:br/>
      </w:r>
      <w:r>
        <w:rPr>
          <w:rStyle w:val="VerbatimChar"/>
        </w:rPr>
        <w:t xml:space="preserve">        D --&gt; TX[Ledger transaction:&lt;br&gt;DID, type, digest,&lt;br&gt;refs, signatures]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TX --&gt; LED[Consortium ledger]</w:t>
      </w:r>
      <w:r>
        <w:br/>
      </w:r>
      <w:r>
        <w:rPr>
          <w:rStyle w:val="VerbatimChar"/>
        </w:rPr>
        <w:t xml:space="preserve">    LED --&gt; ANC[Public-chain anchor]</w:t>
      </w:r>
      <w:r>
        <w:br/>
      </w:r>
      <w:r>
        <w:rPr>
          <w:rStyle w:val="VerbatimChar"/>
        </w:rPr>
        <w:t xml:space="preserve">    subgraph READ [Verification time, years later]</w:t>
      </w:r>
      <w:r>
        <w:br/>
      </w:r>
      <w:r>
        <w:rPr>
          <w:rStyle w:val="VerbatimChar"/>
        </w:rPr>
        <w:t xml:space="preserve">        V[Verifier]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 -.-&gt; S3</w:t>
      </w:r>
      <w:r>
        <w:br/>
      </w:r>
      <w:r>
        <w:rPr>
          <w:rStyle w:val="VerbatimChar"/>
        </w:rPr>
        <w:t xml:space="preserve">    V -.-&gt; LED</w:t>
      </w:r>
      <w:r>
        <w:br/>
      </w:r>
      <w:r>
        <w:rPr>
          <w:rStyle w:val="VerbatimChar"/>
        </w:rPr>
        <w:t xml:space="preserve">    V -.-&gt; ANC</w:t>
      </w:r>
    </w:p>
    <w:p>
      <w:pPr>
        <w:pStyle w:val="FirstParagraph"/>
      </w:pPr>
      <w:r>
        <w:t xml:space="preserve">One subtlety earns a paragraph because it costs projects months when missed:</w:t>
      </w:r>
      <w:r>
        <w:t xml:space="preserve"> </w:t>
      </w:r>
      <w:r>
        <w:rPr>
          <w:bCs/>
          <w:b/>
        </w:rPr>
        <w:t xml:space="preserve">canonical serialization</w:t>
      </w:r>
      <w:r>
        <w:t xml:space="preserve">. A digest commits to bytes, and</w:t>
      </w:r>
      <w:r>
        <w:t xml:space="preserve"> </w:t>
      </w:r>
      <w:r>
        <w:t xml:space="preserve">“</w:t>
      </w:r>
      <w:r>
        <w:t xml:space="preserve">the same</w:t>
      </w:r>
      <w:r>
        <w:t xml:space="preserve">”</w:t>
      </w:r>
      <w:r>
        <w:t xml:space="preserve"> </w:t>
      </w:r>
      <w:r>
        <w:t xml:space="preserve">JSON document</w:t>
      </w:r>
      <w:r>
        <w:t xml:space="preserve"> </w:t>
      </w:r>
      <w:r>
        <w:t xml:space="preserve">has many byte representations. The event schema must fix one — a deterministic field</w:t>
      </w:r>
      <w:r>
        <w:t xml:space="preserve"> </w:t>
      </w:r>
      <w:r>
        <w:t xml:space="preserve">order, encoding, and number representation (the pilot uses deterministic CBOR) — and</w:t>
      </w:r>
      <w:r>
        <w:t xml:space="preserve"> </w:t>
      </w:r>
      <w:r>
        <w:t xml:space="preserve">the canonicalization procedure must itself be versioned in the record, because in</w:t>
      </w:r>
      <w:r>
        <w:t xml:space="preserve"> </w:t>
      </w:r>
      <w:r>
        <w:t xml:space="preserve">year 19 someone will need to re-derive the digest of a year-2 event with year-2 rules.</w:t>
      </w:r>
    </w:p>
    <w:bookmarkStart w:id="24" w:name="content-references-and-storage-migration"/>
    <w:p>
      <w:pPr>
        <w:pStyle w:val="Heading3"/>
      </w:pPr>
      <w:r>
        <w:t xml:space="preserve">4.2.1 Content References and Storage Migration</w:t>
      </w:r>
    </w:p>
    <w:p>
      <w:pPr>
        <w:pStyle w:val="FirstParagraph"/>
      </w:pPr>
      <w:r>
        <w:t xml:space="preserve">The deliberate separation of</w:t>
      </w:r>
      <w:r>
        <w:t xml:space="preserve"> </w:t>
      </w:r>
      <w:r>
        <w:rPr>
          <w:iCs/>
          <w:i/>
        </w:rPr>
        <w:t xml:space="preserve">digest</w:t>
      </w:r>
      <w:r>
        <w:t xml:space="preserve"> </w:t>
      </w:r>
      <w:r>
        <w:t xml:space="preserve">(what the payload is) from</w:t>
      </w:r>
      <w:r>
        <w:t xml:space="preserve"> </w:t>
      </w:r>
      <w:r>
        <w:rPr>
          <w:iCs/>
          <w:i/>
        </w:rPr>
        <w:t xml:space="preserve">content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</w:t>
      </w:r>
      <w:r>
        <w:t xml:space="preserve"> </w:t>
      </w:r>
      <w:r>
        <w:t xml:space="preserve">(where a copy currently lives) is the design’s concession to time,</w:t>
      </w:r>
      <w:r>
        <w:t xml:space="preserve"> </w:t>
      </w:r>
      <w:r>
        <w:t xml:space="preserve">and its mechanics deserve specification. A content reference in this</w:t>
      </w:r>
      <w:r>
        <w:t xml:space="preserve"> </w:t>
      </w:r>
      <w:r>
        <w:t xml:space="preserve">architecture is a structured locator: a custody-store identifier (itself a DID —</w:t>
      </w:r>
      <w:r>
        <w:t xml:space="preserve"> </w:t>
      </w:r>
      <w:r>
        <w:t xml:space="preserve">stores are parties with obligations), a retrieval protocol hint, and an opaque</w:t>
      </w:r>
      <w:r>
        <w:t xml:space="preserve"> </w:t>
      </w:r>
      <w:r>
        <w:t xml:space="preserve">store-local handle. References are</w:t>
      </w:r>
      <w:r>
        <w:t xml:space="preserve"> </w:t>
      </w:r>
      <w:r>
        <w:rPr>
          <w:iCs/>
          <w:i/>
        </w:rPr>
        <w:t xml:space="preserve">mutable metadata</w:t>
      </w:r>
      <w:r>
        <w:t xml:space="preserve"> </w:t>
      </w:r>
      <w:r>
        <w:t xml:space="preserve">maintained off the</w:t>
      </w:r>
      <w:r>
        <w:t xml:space="preserve"> </w:t>
      </w:r>
      <w:r>
        <w:t xml:space="preserve">critical path: when a store migrates from one object system to another, or a</w:t>
      </w:r>
      <w:r>
        <w:t xml:space="preserve"> </w:t>
      </w:r>
      <w:r>
        <w:t xml:space="preserve">custodian exits and its holdings transfer, the references update through</w:t>
      </w:r>
      <w:r>
        <w:t xml:space="preserve"> </w:t>
      </w:r>
      <w:r>
        <w:t xml:space="preserve">ordinary signed custody-administration events, while the digests — the</w:t>
      </w:r>
      <w:r>
        <w:t xml:space="preserve"> </w:t>
      </w:r>
      <w:r>
        <w:t xml:space="preserve">evidence — never change. A verifier resolves references best-effort and in any</w:t>
      </w:r>
      <w:r>
        <w:t xml:space="preserve"> </w:t>
      </w:r>
      <w:r>
        <w:t xml:space="preserve">order;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copy that hashes correctly is as good as every other, which is the</w:t>
      </w:r>
      <w:r>
        <w:t xml:space="preserve"> </w:t>
      </w:r>
      <w:r>
        <w:t xml:space="preserve">liberating property of content addressing: the architecture needs to know what</w:t>
      </w:r>
      <w:r>
        <w:t xml:space="preserve"> </w:t>
      </w:r>
      <w:r>
        <w:t xml:space="preserve">is true, not which server is honest.</w:t>
      </w:r>
    </w:p>
    <w:p>
      <w:pPr>
        <w:pStyle w:val="BodyText"/>
      </w:pPr>
      <w:r>
        <w:t xml:space="preserve">Format longevity is the quieter half of payload durability, and it is a</w:t>
      </w:r>
      <w:r>
        <w:t xml:space="preserve"> </w:t>
      </w:r>
      <w:r>
        <w:t xml:space="preserve">curation obligation, not a cryptographic one. A defect map committed in 2027</w:t>
      </w:r>
      <w:r>
        <w:t xml:space="preserve"> </w:t>
      </w:r>
      <w:r>
        <w:t xml:space="preserve">must be</w:t>
      </w:r>
      <w:r>
        <w:t xml:space="preserve"> </w:t>
      </w:r>
      <w:r>
        <w:rPr>
          <w:iCs/>
          <w:i/>
        </w:rPr>
        <w:t xml:space="preserve">interpretable</w:t>
      </w:r>
      <w:r>
        <w:t xml:space="preserve"> </w:t>
      </w:r>
      <w:r>
        <w:t xml:space="preserve">in 2050: its digest guarantees the bytes, but the bytes</w:t>
      </w:r>
      <w:r>
        <w:t xml:space="preserve"> </w:t>
      </w:r>
      <w:r>
        <w:t xml:space="preserve">are useless if no software can parse the format or no document defines the</w:t>
      </w:r>
      <w:r>
        <w:t xml:space="preserve"> </w:t>
      </w:r>
      <w:r>
        <w:t xml:space="preserve">measurement geometry. The custody policy therefore requires that every payload</w:t>
      </w:r>
      <w:r>
        <w:t xml:space="preserve"> </w:t>
      </w:r>
      <w:r>
        <w:t xml:space="preserve">class carry a self-describing envelope (format identifier, schema version,</w:t>
      </w:r>
      <w:r>
        <w:t xml:space="preserve"> </w:t>
      </w:r>
      <w:r>
        <w:t xml:space="preserve">units, coordinate conventions) and that the consortium’s schema registry</w:t>
      </w:r>
      <w:r>
        <w:t xml:space="preserve"> </w:t>
      </w:r>
      <w:r>
        <w:t xml:space="preserve">archive the format specifications themselves as first-class payloads —</w:t>
      </w:r>
      <w:r>
        <w:t xml:space="preserve"> </w:t>
      </w:r>
      <w:r>
        <w:t xml:space="preserve">specifications, being documents, get digests and replicas like everything</w:t>
      </w:r>
      <w:r>
        <w:t xml:space="preserve"> </w:t>
      </w:r>
      <w:r>
        <w:t xml:space="preserve">else. Where a format is proprietary (instrument vendors are fond of this), the</w:t>
      </w:r>
      <w:r>
        <w:t xml:space="preserve"> </w:t>
      </w:r>
      <w:r>
        <w:t xml:space="preserve">accreditation criteria for I-A instruments require either an open export</w:t>
      </w:r>
      <w:r>
        <w:t xml:space="preserve"> </w:t>
      </w:r>
      <w:r>
        <w:t xml:space="preserve">format or a specification escrow. Digital preservation practice adds the</w:t>
      </w:r>
      <w:r>
        <w:t xml:space="preserve"> </w:t>
      </w:r>
      <w:r>
        <w:t xml:space="preserve">last rule: prefer boring formats. Losslessly compressed raster images with</w:t>
      </w:r>
      <w:r>
        <w:t xml:space="preserve"> </w:t>
      </w:r>
      <w:r>
        <w:t xml:space="preserve">documented metadata will be readable in 2060; this decade’s clever</w:t>
      </w:r>
      <w:r>
        <w:t xml:space="preserve"> </w:t>
      </w:r>
      <w:r>
        <w:t xml:space="preserve">container format may not be.</w:t>
      </w:r>
    </w:p>
    <w:p>
      <w:pPr>
        <w:pStyle w:val="BodyText"/>
      </w:pPr>
      <w:r>
        <w:t xml:space="preserve">The custody policy quantifies</w:t>
      </w:r>
      <w:r>
        <w:t xml:space="preserve"> </w:t>
      </w:r>
      <w:r>
        <w:t xml:space="preserve">“</w:t>
      </w:r>
      <w:r>
        <w:t xml:space="preserve">replicated with divergent interests.</w:t>
      </w:r>
      <w:r>
        <w:t xml:space="preserve">”</w:t>
      </w:r>
      <w:r>
        <w:t xml:space="preserve"> </w:t>
      </w:r>
      <w:r>
        <w:t xml:space="preserve">Each</w:t>
      </w:r>
      <w:r>
        <w:t xml:space="preserve"> </w:t>
      </w:r>
      <w:r>
        <w:t xml:space="preserve">payload class carries a minimum replica set defined by role, not by name: one</w:t>
      </w:r>
      <w:r>
        <w:t xml:space="preserve"> </w:t>
      </w:r>
      <w:r>
        <w:t xml:space="preserve">copy with the</w:t>
      </w:r>
      <w:r>
        <w:t xml:space="preserve"> </w:t>
      </w:r>
      <w:r>
        <w:rPr>
          <w:iCs/>
          <w:i/>
        </w:rPr>
        <w:t xml:space="preserve">beneficiary</w:t>
      </w:r>
      <w:r>
        <w:t xml:space="preserve"> </w:t>
      </w:r>
      <w:r>
        <w:t xml:space="preserve">of the record, one with a party</w:t>
      </w:r>
      <w:r>
        <w:t xml:space="preserve"> </w:t>
      </w:r>
      <w:r>
        <w:rPr>
          <w:iCs/>
          <w:i/>
        </w:rPr>
        <w:t xml:space="preserve">adverse</w:t>
      </w:r>
      <w:r>
        <w:t xml:space="preserve"> </w:t>
      </w:r>
      <w:r>
        <w:t xml:space="preserve">to it,</w:t>
      </w:r>
      <w:r>
        <w:t xml:space="preserve"> </w:t>
      </w:r>
      <w:r>
        <w:t xml:space="preserve">one with a</w:t>
      </w:r>
      <w:r>
        <w:t xml:space="preserve"> </w:t>
      </w:r>
      <w:r>
        <w:rPr>
          <w:iCs/>
          <w:i/>
        </w:rPr>
        <w:t xml:space="preserve">neutral archival</w:t>
      </w:r>
      <w:r>
        <w:t xml:space="preserve"> </w:t>
      </w:r>
      <w:r>
        <w:t xml:space="preserve">custodian under consortium contract — plus, for</w:t>
      </w:r>
      <w:r>
        <w:t xml:space="preserve"> </w:t>
      </w:r>
      <w:r>
        <w:t xml:space="preserve">high-value classes, a cold export to write-once media on a fixed cadence. The</w:t>
      </w:r>
      <w:r>
        <w:t xml:space="preserve"> </w:t>
      </w:r>
      <w:r>
        <w:t xml:space="preserve">weekly proof-of-retrievability challenge works as follows: the audit contract</w:t>
      </w:r>
      <w:r>
        <w:t xml:space="preserve"> </w:t>
      </w:r>
      <w:r>
        <w:t xml:space="preserve">derives, from the anchored randomness of the interval, a sample of payload</w:t>
      </w:r>
      <w:r>
        <w:t xml:space="preserve"> </w:t>
      </w:r>
      <w:r>
        <w:t xml:space="preserve">digests per store; the store must return, within the response window, either</w:t>
      </w:r>
      <w:r>
        <w:t xml:space="preserve"> </w:t>
      </w:r>
      <w:r>
        <w:t xml:space="preserve">the payload bytes or a compact retrievability proof over them; responses are</w:t>
      </w:r>
      <w:r>
        <w:t xml:space="preserve"> </w:t>
      </w:r>
      <w:r>
        <w:t xml:space="preserve">hashed against the ledger’s digests, and the outcome — pass, fail, or timeout —</w:t>
      </w:r>
      <w:r>
        <w:t xml:space="preserve"> </w:t>
      </w:r>
      <w:r>
        <w:t xml:space="preserve">is written as an audit event against the store’s DID. Three consecutive</w:t>
      </w:r>
      <w:r>
        <w:t xml:space="preserve"> </w:t>
      </w:r>
      <w:r>
        <w:t xml:space="preserve">failures trigger the re-replication procedure: the surviving stores fan out</w:t>
      </w:r>
      <w:r>
        <w:t xml:space="preserve"> </w:t>
      </w:r>
      <w:r>
        <w:t xml:space="preserve">copies to a replacement custodian, and the failed store’s SLA machinery</w:t>
      </w:r>
      <w:r>
        <w:t xml:space="preserve"> </w:t>
      </w:r>
      <w:r>
        <w:t xml:space="preserve">(Chapter 10’s governance) takes over from there. None of this is exotic; all of</w:t>
      </w:r>
      <w:r>
        <w:t xml:space="preserve"> </w:t>
      </w:r>
      <w:r>
        <w:t xml:space="preserve">it must be</w:t>
      </w:r>
      <w:r>
        <w:t xml:space="preserve"> </w:t>
      </w:r>
      <w:r>
        <w:rPr>
          <w:iCs/>
          <w:i/>
        </w:rPr>
        <w:t xml:space="preserve">contractual and mechanical</w:t>
      </w:r>
      <w:r>
        <w:t xml:space="preserve"> </w:t>
      </w:r>
      <w:r>
        <w:t xml:space="preserve">rather than aspirational, because the</w:t>
      </w:r>
      <w:r>
        <w:t xml:space="preserve"> </w:t>
      </w:r>
      <w:r>
        <w:t xml:space="preserve">failure it defends against — quiet archival rot discovered at dispute time —</w:t>
      </w:r>
      <w:r>
        <w:t xml:space="preserve"> </w:t>
      </w:r>
      <w:r>
        <w:t xml:space="preserve">is the single most common way long-horizon record systems actually fail.</w:t>
      </w:r>
    </w:p>
    <w:p>
      <w:pPr>
        <w:pStyle w:val="BodyText"/>
      </w:pPr>
      <w:r>
        <w:t xml:space="preserve">The economics close comfortably. At Table 4.1’s volumes, a 100 MW plant’s</w:t>
      </w:r>
      <w:r>
        <w:t xml:space="preserve"> </w:t>
      </w:r>
      <w:r>
        <w:t xml:space="preserve">lifetime evidential payloads run tens of terabytes; three-way replicated</w:t>
      </w:r>
      <w:r>
        <w:t xml:space="preserve"> </w:t>
      </w:r>
      <w:r>
        <w:t xml:space="preserve">object storage plus periodic cold export prices in the low hundreds of</w:t>
      </w:r>
      <w:r>
        <w:t xml:space="preserve"> </w:t>
      </w:r>
      <w:r>
        <w:t xml:space="preserve">thousands of dollars over 25 years (Chapter 7 itemizes), which is dominated by</w:t>
      </w:r>
      <w:r>
        <w:t xml:space="preserve"> </w:t>
      </w:r>
      <w:r>
        <w:t xml:space="preserve">— and should be compared against — the cost of a single major dispute</w:t>
      </w:r>
      <w:r>
        <w:t xml:space="preserve"> </w:t>
      </w:r>
      <w:r>
        <w:t xml:space="preserve">conducted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 evidence. The design also deliberately leaves room for</w:t>
      </w:r>
      <w:r>
        <w:t xml:space="preserve"> </w:t>
      </w:r>
      <w:r>
        <w:t xml:space="preserve">content-addressed storage networks as a</w:t>
      </w:r>
      <w:r>
        <w:t xml:space="preserve"> </w:t>
      </w:r>
      <w:r>
        <w:rPr>
          <w:iCs/>
          <w:i/>
        </w:rPr>
        <w:t xml:space="preserve">fourth, supplementary</w:t>
      </w:r>
      <w:r>
        <w:t xml:space="preserve"> </w:t>
      </w:r>
      <w:r>
        <w:t xml:space="preserve">replica class</w:t>
      </w:r>
      <w:r>
        <w:t xml:space="preserve"> </w:t>
      </w:r>
      <w:r>
        <w:t xml:space="preserve">where deployments want them: their global deduplication and retrieval</w:t>
      </w:r>
      <w:r>
        <w:t xml:space="preserve"> </w:t>
      </w:r>
      <w:r>
        <w:t xml:space="preserve">convenience are real, and their weakness — no enforceable custody obligation —</w:t>
      </w:r>
      <w:r>
        <w:t xml:space="preserve"> </w:t>
      </w:r>
      <w:r>
        <w:t xml:space="preserve">is exactly what the contracted replica set already covers.</w:t>
      </w:r>
    </w:p>
    <w:p>
      <w:pPr>
        <w:pStyle w:val="BodyText"/>
      </w:pPr>
      <w:r>
        <w:t xml:space="preserve">Confidentiality at the payload layer needs one design decision made early and</w:t>
      </w:r>
      <w:r>
        <w:t xml:space="preserve"> </w:t>
      </w:r>
      <w:r>
        <w:t xml:space="preserve">consciously: payloads are encrypted at rest in every custody store, and the</w:t>
      </w:r>
      <w:r>
        <w:t xml:space="preserve"> </w:t>
      </w:r>
      <w:r>
        <w:t xml:space="preserve">question is who holds the keys across forty years. The pattern adopted here is</w:t>
      </w:r>
      <w:r>
        <w:t xml:space="preserve"> </w:t>
      </w:r>
      <w:r>
        <w:rPr>
          <w:iCs/>
          <w:i/>
        </w:rPr>
        <w:t xml:space="preserve">envelope encryption with escrowed class keys</w:t>
      </w:r>
      <w:r>
        <w:t xml:space="preserve">: each payload is encrypted</w:t>
      </w:r>
      <w:r>
        <w:t xml:space="preserve"> </w:t>
      </w:r>
      <w:r>
        <w:t xml:space="preserve">under its own data key; data keys are wrapped under per-payload-class keys</w:t>
      </w:r>
      <w:r>
        <w:t xml:space="preserve"> </w:t>
      </w:r>
      <w:r>
        <w:t xml:space="preserve">held by the payload’s access authority (the owner for condition records, the</w:t>
      </w:r>
      <w:r>
        <w:t xml:space="preserve"> </w:t>
      </w:r>
      <w:r>
        <w:t xml:space="preserve">manufacturer for factory data); and the class keys are escrowed, under</w:t>
      </w:r>
      <w:r>
        <w:t xml:space="preserve"> </w:t>
      </w:r>
      <w:r>
        <w:t xml:space="preserve">threshold custody split across consortium-designated parties, against the two</w:t>
      </w:r>
      <w:r>
        <w:t xml:space="preserve"> </w:t>
      </w:r>
      <w:r>
        <w:t xml:space="preserve">failure modes that pure owner-held encryption invites — the owner that</w:t>
      </w:r>
      <w:r>
        <w:t xml:space="preserve"> </w:t>
      </w:r>
      <w:r>
        <w:t xml:space="preserve">dissolves taking its keys with it, and the owner that</w:t>
      </w:r>
      <w:r>
        <w:t xml:space="preserve"> </w:t>
      </w:r>
      <w:r>
        <w:t xml:space="preserve">“</w:t>
      </w:r>
      <w:r>
        <w:t xml:space="preserve">loses</w:t>
      </w:r>
      <w:r>
        <w:t xml:space="preserve">”</w:t>
      </w:r>
      <w:r>
        <w:t xml:space="preserve"> </w:t>
      </w:r>
      <w:r>
        <w:t xml:space="preserve">keys</w:t>
      </w:r>
      <w:r>
        <w:t xml:space="preserve"> </w:t>
      </w:r>
      <w:r>
        <w:t xml:space="preserve">strategically when the evidence turns adverse. Threshold escrow is a</w:t>
      </w:r>
      <w:r>
        <w:t xml:space="preserve"> </w:t>
      </w:r>
      <w:r>
        <w:t xml:space="preserve">governance object like everything else in this layer: its release conditions</w:t>
      </w:r>
      <w:r>
        <w:t xml:space="preserve"> </w:t>
      </w:r>
      <w:r>
        <w:t xml:space="preserve">(dispute order, regulatory demand, custodian death) are written, its releases</w:t>
      </w:r>
      <w:r>
        <w:t xml:space="preserve"> </w:t>
      </w:r>
      <w:r>
        <w:t xml:space="preserve">are logged as events, and its existence is disclosed to every party whose data</w:t>
      </w:r>
      <w:r>
        <w:t xml:space="preserve"> </w:t>
      </w:r>
      <w:r>
        <w:t xml:space="preserve">it covers. The alternative — unencrypted payloads under access control — is</w:t>
      </w:r>
      <w:r>
        <w:t xml:space="preserve"> </w:t>
      </w:r>
      <w:r>
        <w:t xml:space="preserve">simpler and defensible inside a single jurisdiction with strong custody</w:t>
      </w:r>
      <w:r>
        <w:t xml:space="preserve"> </w:t>
      </w:r>
      <w:r>
        <w:t xml:space="preserve">contracts; the encrypted design earns its complexity the moment payloads</w:t>
      </w:r>
      <w:r>
        <w:t xml:space="preserve"> </w:t>
      </w:r>
      <w:r>
        <w:t xml:space="preserve">cross borders or custody outlives counterparties, which is to say, in every</w:t>
      </w:r>
      <w:r>
        <w:t xml:space="preserve"> </w:t>
      </w:r>
      <w:r>
        <w:t xml:space="preserve">deployment this book actually contemplates.</w:t>
      </w:r>
    </w:p>
    <w:bookmarkEnd w:id="24"/>
    <w:bookmarkEnd w:id="25"/>
    <w:bookmarkStart w:id="28" w:name="manufacture-time-identity-issuance"/>
    <w:p>
      <w:pPr>
        <w:pStyle w:val="Heading2"/>
      </w:pPr>
      <w:r>
        <w:t xml:space="preserve">4.3 Manufacture-Time Identity Issuance</w:t>
      </w:r>
    </w:p>
    <w:p>
      <w:pPr>
        <w:pStyle w:val="FirstParagraph"/>
      </w:pPr>
      <w:r>
        <w:t xml:space="preserve">Everything in the system inherits from the moment of registration: if the wrong</w:t>
      </w:r>
      <w:r>
        <w:t xml:space="preserve"> </w:t>
      </w:r>
      <w:r>
        <w:t xml:space="preserve">object is enrolled — or the right object enrolled by the wrong party — no downstream</w:t>
      </w:r>
      <w:r>
        <w:t xml:space="preserve"> </w:t>
      </w:r>
      <w:r>
        <w:t xml:space="preserve">cryptography repairs it. This is the system’s</w:t>
      </w:r>
      <w:r>
        <w:t xml:space="preserve"> </w:t>
      </w:r>
      <w:r>
        <w:rPr>
          <w:iCs/>
          <w:i/>
        </w:rPr>
        <w:t xml:space="preserve">trusted setup</w:t>
      </w:r>
      <w:r>
        <w:t xml:space="preserve">, and it deserves the</w:t>
      </w:r>
      <w:r>
        <w:t xml:space="preserve"> </w:t>
      </w:r>
      <w:r>
        <w:t xml:space="preserve">same scrutiny that phrase attracts elsewhere in cryptography.</w:t>
      </w:r>
    </w:p>
    <w:p>
      <w:pPr>
        <w:pStyle w:val="BodyText"/>
      </w:pPr>
      <w:r>
        <w:t xml:space="preserve">The issuance sequence, shown in Figure 4.2 for the hard case (a passive module;</w:t>
      </w:r>
      <w:r>
        <w:t xml:space="preserve"> </w:t>
      </w:r>
      <w:r>
        <w:t xml:space="preserve">the active-device variant substitutes key generation in the secure element for</w:t>
      </w:r>
      <w:r>
        <w:t xml:space="preserve"> </w:t>
      </w:r>
      <w:r>
        <w:t xml:space="preserve">fingerprint enrollment):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Physical completion.</w:t>
      </w:r>
      <w:r>
        <w:t xml:space="preserve"> </w:t>
      </w:r>
      <w:r>
        <w:t xml:space="preserve">The laminate exits lamination and framing; its structure</w:t>
      </w:r>
      <w:r>
        <w:t xml:space="preserve"> </w:t>
      </w:r>
      <w:r>
        <w:t xml:space="preserve">— grain patterns, as-built defect distribution — is now fixed. Enrollment</w:t>
      </w:r>
      <w:r>
        <w:t xml:space="preserve"> </w:t>
      </w:r>
      <w:r>
        <w:t xml:space="preserve">any earlier (at cell sort, at stringing) would fingerprint components that</w:t>
      </w:r>
      <w:r>
        <w:t xml:space="preserve"> </w:t>
      </w:r>
      <w:r>
        <w:t xml:space="preserve">subsequent process steps still alter; any later adds handling between</w:t>
      </w:r>
      <w:r>
        <w:t xml:space="preserve"> </w:t>
      </w:r>
      <w:r>
        <w:t xml:space="preserve">measurement and identity that Section 8.3’s substitution attack exploits.</w:t>
      </w:r>
      <w:r>
        <w:t xml:space="preserve"> </w:t>
      </w:r>
      <w:r>
        <w:t xml:space="preserve">The moment is not arbitrary: it is the earliest point at which the</w:t>
      </w:r>
      <w:r>
        <w:t xml:space="preserve"> </w:t>
      </w:r>
      <w:r>
        <w:t xml:space="preserve">fingerprint is final and the latest at which the factory’s process custody</w:t>
      </w:r>
      <w:r>
        <w:t xml:space="preserve"> </w:t>
      </w:r>
      <w:r>
        <w:t xml:space="preserve">is unbroken.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Enrollment measurement.</w:t>
      </w:r>
      <w:r>
        <w:t xml:space="preserve"> </w:t>
      </w:r>
      <w:r>
        <w:t xml:space="preserve">In-line instrumentation (factory EL at minimum;</w:t>
      </w:r>
      <w:r>
        <w:t xml:space="preserve"> </w:t>
      </w:r>
      <w:r>
        <w:t xml:space="preserve">structural defect mapping per Chapter 6 where deployed) captures the structural</w:t>
      </w:r>
      <w:r>
        <w:t xml:space="preserve"> </w:t>
      </w:r>
      <w:r>
        <w:t xml:space="preserve">fingerprint</w:t>
      </w:r>
      <w:r>
        <w:t xml:space="preserve"> </w:t>
      </w:r>
      <w:r>
        <w:rPr>
          <w:iCs/>
          <w:i/>
        </w:rPr>
        <w:t xml:space="preserve">as part of the existing QA flow</w:t>
      </w:r>
      <w:r>
        <w:t xml:space="preserve"> </w:t>
      </w:r>
      <w:r>
        <w:t xml:space="preserve">— the measurement most factories</w:t>
      </w:r>
      <w:r>
        <w:t xml:space="preserve"> </w:t>
      </w:r>
      <w:r>
        <w:t xml:space="preserve">already perform becomes the enrollment measurement, which is what makes the</w:t>
      </w:r>
      <w:r>
        <w:t xml:space="preserve"> </w:t>
      </w:r>
      <w:r>
        <w:t xml:space="preserve">economics close.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extraction and commitment.</w:t>
      </w:r>
      <w:r>
        <w:t xml:space="preserve"> </w:t>
      </w:r>
      <w:r>
        <w:t xml:space="preserve">The fingerprint template is computed,</w:t>
      </w:r>
      <w:r>
        <w:t xml:space="preserve"> </w:t>
      </w:r>
      <w:r>
        <w:t xml:space="preserve">serialized canonically, digested; payload goes to the off-chain stores.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DID creation.</w:t>
      </w:r>
      <w:r>
        <w:t xml:space="preserve"> </w:t>
      </w:r>
      <w:r>
        <w:t xml:space="preserve">A registration transaction creates the asset DID, binding</w:t>
      </w:r>
      <w:r>
        <w:t xml:space="preserve"> </w:t>
      </w:r>
      <w:r>
        <w:t xml:space="preserve">together: template digest, factory flash-test VC, batch and BOM references, and</w:t>
      </w:r>
      <w:r>
        <w:t xml:space="preserve"> </w:t>
      </w:r>
      <w:r>
        <w:t xml:space="preserve">the manufacturer as initial controller.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Cross-attestation.</w:t>
      </w:r>
      <w:r>
        <w:t xml:space="preserve"> </w:t>
      </w:r>
      <w:r>
        <w:t xml:space="preserve">The registration is co-signed by the in-line instrument’s</w:t>
      </w:r>
      <w:r>
        <w:t xml:space="preserve"> </w:t>
      </w:r>
      <w:r>
        <w:t xml:space="preserve">own device identity (instruments are assets too, with their own DIDs and</w:t>
      </w:r>
      <w:r>
        <w:t xml:space="preserve"> </w:t>
      </w:r>
      <w:r>
        <w:t xml:space="preserve">calibration lifecycles — the recursion is deliberate and bottoms out in</w:t>
      </w:r>
      <w:r>
        <w:t xml:space="preserve"> </w:t>
      </w:r>
      <w:r>
        <w:t xml:space="preserve">accredited calibration, Section 4.5) and, where the deployment warrants it, by an</w:t>
      </w:r>
      <w:r>
        <w:t xml:space="preserve"> </w:t>
      </w:r>
      <w:r>
        <w:t xml:space="preserve">independent inspection agent’s sampling attestation.</w:t>
      </w:r>
    </w:p>
    <w:p>
      <w:pPr>
        <w:pStyle w:val="FirstParagraph"/>
      </w:pPr>
      <w:r>
        <w:rPr>
          <w:bCs/>
          <w:b/>
        </w:rPr>
        <w:t xml:space="preserve">Figure 4.2</w:t>
      </w:r>
      <w:r>
        <w:t xml:space="preserve"> </w:t>
      </w:r>
      <w:r>
        <w:t xml:space="preserve">Manufacture-time issuance for a passive asset. The gray band marks the</w:t>
      </w:r>
      <w:r>
        <w:t xml:space="preserve"> </w:t>
      </w:r>
      <w:r>
        <w:t xml:space="preserve">trusted-setup boundary: everything below it is cryptographically verifiable ever</w:t>
      </w:r>
      <w:r>
        <w:t xml:space="preserve"> </w:t>
      </w:r>
      <w:r>
        <w:t xml:space="preserve">after; everything above it is procedural and must be defended procedurally.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 as Production line</w:t>
      </w:r>
      <w:r>
        <w:br/>
      </w:r>
      <w:r>
        <w:rPr>
          <w:rStyle w:val="VerbatimChar"/>
        </w:rPr>
        <w:t xml:space="preserve">    participant I as Enrollment instrument (own DID)</w:t>
      </w:r>
      <w:r>
        <w:br/>
      </w:r>
      <w:r>
        <w:rPr>
          <w:rStyle w:val="VerbatimChar"/>
        </w:rPr>
        <w:t xml:space="preserve">    participant M as Manufacturer registrar key</w:t>
      </w:r>
      <w:r>
        <w:br/>
      </w:r>
      <w:r>
        <w:rPr>
          <w:rStyle w:val="VerbatimChar"/>
        </w:rPr>
        <w:t xml:space="preserve">    participant S as Off-chain stores</w:t>
      </w:r>
      <w:r>
        <w:br/>
      </w:r>
      <w:r>
        <w:rPr>
          <w:rStyle w:val="VerbatimChar"/>
        </w:rPr>
        <w:t xml:space="preserve">    participant L as Consortium ledger</w:t>
      </w:r>
      <w:r>
        <w:br/>
      </w:r>
      <w:r>
        <w:rPr>
          <w:rStyle w:val="VerbatimChar"/>
        </w:rPr>
        <w:t xml:space="preserve">    P-&gt;&gt;I: Unit leaves lamination (structure fixed)</w:t>
      </w:r>
      <w:r>
        <w:br/>
      </w:r>
      <w:r>
        <w:rPr>
          <w:rStyle w:val="VerbatimChar"/>
        </w:rPr>
        <w:t xml:space="preserve">    I-&gt;&gt;I: Measure; extract template</w:t>
      </w:r>
      <w:r>
        <w:br/>
      </w:r>
      <w:r>
        <w:rPr>
          <w:rStyle w:val="VerbatimChar"/>
        </w:rPr>
        <w:t xml:space="preserve">    I-&gt;&gt;S: Store template payload (replicated)</w:t>
      </w:r>
      <w:r>
        <w:br/>
      </w:r>
      <w:r>
        <w:rPr>
          <w:rStyle w:val="VerbatimChar"/>
        </w:rPr>
        <w:t xml:space="preserve">    I-&gt;&gt;M: Template digest + instrument signature</w:t>
      </w:r>
      <w:r>
        <w:br/>
      </w:r>
      <w:r>
        <w:rPr>
          <w:rStyle w:val="VerbatimChar"/>
        </w:rPr>
        <w:t xml:space="preserve">    M-&gt;&gt;L: Registration tx: new DID, digest,&lt;br&gt;flash-test VC, batch refs</w:t>
      </w:r>
      <w:r>
        <w:br/>
      </w:r>
      <w:r>
        <w:rPr>
          <w:rStyle w:val="VerbatimChar"/>
        </w:rPr>
        <w:t xml:space="preserve">    L-&gt;&gt;L: Registry contract: uniqueness check,&lt;br&gt;schema check, commit</w:t>
      </w:r>
      <w:r>
        <w:br/>
      </w:r>
      <w:r>
        <w:rPr>
          <w:rStyle w:val="VerbatimChar"/>
        </w:rPr>
        <w:t xml:space="preserve">    L--&gt;&gt;M: DID live; controller = manufacturer</w:t>
      </w:r>
      <w:r>
        <w:br/>
      </w:r>
      <w:r>
        <w:rPr>
          <w:rStyle w:val="VerbatimChar"/>
        </w:rPr>
        <w:t xml:space="preserve">    Note over P,L: Trusted-setup boundary — attacks above this line&lt;br&gt;are procedural (Ch. 8: enrollment-time substitution)</w:t>
      </w:r>
    </w:p>
    <w:bookmarkStart w:id="26" w:name="Xfa89ebafdb27a23105dfce1e82197a498ee9d73"/>
    <w:p>
      <w:pPr>
        <w:pStyle w:val="Heading3"/>
      </w:pPr>
      <w:r>
        <w:t xml:space="preserve">4.3.1 The Enrollment Station as a Production Asset</w:t>
      </w:r>
    </w:p>
    <w:p>
      <w:pPr>
        <w:pStyle w:val="FirstParagraph"/>
      </w:pPr>
      <w:r>
        <w:t xml:space="preserve">The sequence above reads cleanly on paper; its engineering lives in the</w:t>
      </w:r>
      <w:r>
        <w:t xml:space="preserve"> </w:t>
      </w:r>
      <w:r>
        <w:t xml:space="preserve">enrollment station, and the station’s design decides whether the factory</w:t>
      </w:r>
      <w:r>
        <w:t xml:space="preserve"> </w:t>
      </w:r>
      <w:r>
        <w:t xml:space="preserve">tolerates the system at all. Modern module lines run at a takt of 20–30 seconds</w:t>
      </w:r>
      <w:r>
        <w:t xml:space="preserve"> </w:t>
      </w:r>
      <w:r>
        <w:t xml:space="preserve">per unit per lane. The Tier-0 enrollment path must therefore add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serial</w:t>
      </w:r>
      <w:r>
        <w:t xml:space="preserve"> </w:t>
      </w:r>
      <w:r>
        <w:t xml:space="preserve">time: it rides the EL image and flash test the QA cell already captures, with</w:t>
      </w:r>
      <w:r>
        <w:t xml:space="preserve"> </w:t>
      </w:r>
      <w:r>
        <w:t xml:space="preserve">template extraction running as a parallel compute step whose 2–3 seconds of</w:t>
      </w:r>
      <w:r>
        <w:t xml:space="preserve"> </w:t>
      </w:r>
      <w:r>
        <w:t xml:space="preserve">processing overlap the next unit’s handling. The only new physical hardware in</w:t>
      </w:r>
      <w:r>
        <w:t xml:space="preserve"> </w:t>
      </w:r>
      <w:r>
        <w:t xml:space="preserve">the baseline deployment is none at all — the deliverable is firmware and</w:t>
      </w:r>
      <w:r>
        <w:t xml:space="preserve"> </w:t>
      </w:r>
      <w:r>
        <w:t xml:space="preserve">integration: the existing EL camera and flash tester gain secure-element signing</w:t>
      </w:r>
      <w:r>
        <w:t xml:space="preserve"> </w:t>
      </w:r>
      <w:r>
        <w:t xml:space="preserve">(a retrofit board or a next-generation instrument purchase), and the line’s</w:t>
      </w:r>
      <w:r>
        <w:t xml:space="preserve"> </w:t>
      </w:r>
      <w:r>
        <w:t xml:space="preserve">manufacturing-execution system gains the registrar agent that assembles</w:t>
      </w:r>
      <w:r>
        <w:t xml:space="preserve"> </w:t>
      </w:r>
      <w:r>
        <w:t xml:space="preserve">envelopes, manages batches, and holds the registrar key material in an HSM.</w:t>
      </w:r>
    </w:p>
    <w:p>
      <w:pPr>
        <w:pStyle w:val="BodyText"/>
      </w:pPr>
      <w:r>
        <w:t xml:space="preserve">Exception handling is where enrollment stations earn or lose the factory’s</w:t>
      </w:r>
      <w:r>
        <w:t xml:space="preserve"> </w:t>
      </w:r>
      <w:r>
        <w:t xml:space="preserve">trust, and three cases dominate.</w:t>
      </w:r>
      <w:r>
        <w:t xml:space="preserve"> </w:t>
      </w:r>
      <w:r>
        <w:rPr>
          <w:iCs/>
          <w:i/>
        </w:rPr>
        <w:t xml:space="preserve">Re-tests</w:t>
      </w:r>
      <w:r>
        <w:t xml:space="preserve">: a unit that fails flash test,</w:t>
      </w:r>
      <w:r>
        <w:t xml:space="preserve"> </w:t>
      </w:r>
      <w:r>
        <w:t xml:space="preserve">is reworked, and re-tested must not generate two identities — the station keys</w:t>
      </w:r>
      <w:r>
        <w:t xml:space="preserve"> </w:t>
      </w:r>
      <w:r>
        <w:t xml:space="preserve">enrollment on the physical unit’s transit through final QA, and rework loops</w:t>
      </w:r>
      <w:r>
        <w:t xml:space="preserve"> </w:t>
      </w:r>
      <w:r>
        <w:t xml:space="preserve">produce measurement-superseded events under one DID, preserving the rework</w:t>
      </w:r>
      <w:r>
        <w:t xml:space="preserve"> </w:t>
      </w:r>
      <w:r>
        <w:t xml:space="preserve">history (which is itself quality evidence the manufacturer may later want).</w:t>
      </w:r>
      <w:r>
        <w:t xml:space="preserve"> </w:t>
      </w:r>
      <w:r>
        <w:rPr>
          <w:iCs/>
          <w:i/>
        </w:rPr>
        <w:t xml:space="preserve">Instrument faults mid-shift</w:t>
      </w:r>
      <w:r>
        <w:t xml:space="preserve">: a station whose signing element or camera fails</w:t>
      </w:r>
      <w:r>
        <w:t xml:space="preserve"> </w:t>
      </w:r>
      <w:r>
        <w:t xml:space="preserve">falls back to</w:t>
      </w:r>
      <w:r>
        <w:t xml:space="preserve"> </w:t>
      </w:r>
      <w:r>
        <w:rPr>
          <w:iCs/>
          <w:i/>
        </w:rPr>
        <w:t xml:space="preserve">deferred enrollment</w:t>
      </w:r>
      <w:r>
        <w:t xml:space="preserve"> </w:t>
      </w:r>
      <w:r>
        <w:t xml:space="preserve">— units flow to a buffer and are enrolled</w:t>
      </w:r>
      <w:r>
        <w:t xml:space="preserve"> </w:t>
      </w:r>
      <w:r>
        <w:t xml:space="preserve">on a backup station — rather than halting the line; what is never permitted is</w:t>
      </w:r>
      <w:r>
        <w:t xml:space="preserve"> </w:t>
      </w:r>
      <w:r>
        <w:t xml:space="preserve">unsigned enrollment, because an unsigned enrollment is a hole in the trusted</w:t>
      </w:r>
      <w:r>
        <w:t xml:space="preserve"> </w:t>
      </w:r>
      <w:r>
        <w:t xml:space="preserve">setup that no later signature repairs.</w:t>
      </w:r>
      <w:r>
        <w:t xml:space="preserve"> </w:t>
      </w:r>
      <w:r>
        <w:rPr>
          <w:iCs/>
          <w:i/>
        </w:rPr>
        <w:t xml:space="preserve">Label–structure mismatches</w:t>
      </w:r>
      <w:r>
        <w:t xml:space="preserve">: the</w:t>
      </w:r>
      <w:r>
        <w:t xml:space="preserve"> </w:t>
      </w:r>
      <w:r>
        <w:t xml:space="preserve">station’s final act is printing/verifying the unit’s locator label against the</w:t>
      </w:r>
      <w:r>
        <w:t xml:space="preserve"> </w:t>
      </w:r>
      <w:r>
        <w:t xml:space="preserve">just-created DID; a mismatch (mis-fed label stock, duplicate print) quarantines</w:t>
      </w:r>
      <w:r>
        <w:t xml:space="preserve"> </w:t>
      </w:r>
      <w:r>
        <w:t xml:space="preserve">the unit automatically. Each exception path emits its own audit events; a</w:t>
      </w:r>
      <w:r>
        <w:t xml:space="preserve"> </w:t>
      </w:r>
      <w:r>
        <w:t xml:space="preserve">factory’s exception statistics are themselves quality telemetry, and</w:t>
      </w:r>
      <w:r>
        <w:t xml:space="preserve"> </w:t>
      </w:r>
      <w:r>
        <w:t xml:space="preserve">Chapter 8’s population-level reconciliation (D4) consumes them.</w:t>
      </w:r>
    </w:p>
    <w:p>
      <w:pPr>
        <w:pStyle w:val="BodyText"/>
      </w:pPr>
      <w:r>
        <w:t xml:space="preserve">The registration’s</w:t>
      </w:r>
      <w:r>
        <w:t xml:space="preserve"> </w:t>
      </w:r>
      <w:r>
        <w:rPr>
          <w:iCs/>
          <w:i/>
        </w:rPr>
        <w:t xml:space="preserve">composition references</w:t>
      </w:r>
      <w:r>
        <w:t xml:space="preserve"> </w:t>
      </w:r>
      <w:r>
        <w:t xml:space="preserve">— batch and BOM linkage — deserve</w:t>
      </w:r>
      <w:r>
        <w:t xml:space="preserve"> </w:t>
      </w:r>
      <w:r>
        <w:t xml:space="preserve">a sentence more than the sequence gave them. Each registration references the</w:t>
      </w:r>
      <w:r>
        <w:t xml:space="preserve"> </w:t>
      </w:r>
      <w:r>
        <w:t xml:space="preserve">cell batch identifiers, wafer lot references, and materials certificates</w:t>
      </w:r>
      <w:r>
        <w:t xml:space="preserve"> </w:t>
      </w:r>
      <w:r>
        <w:t xml:space="preserve">(encapsulant, backsheet, glass) that the factory’s traceability system already</w:t>
      </w:r>
      <w:r>
        <w:t xml:space="preserve"> </w:t>
      </w:r>
      <w:r>
        <w:t xml:space="preserve">tracks for process control. The reference is a digest of the factory’s</w:t>
      </w:r>
      <w:r>
        <w:t xml:space="preserve"> </w:t>
      </w:r>
      <w:r>
        <w:t xml:space="preserve">composition record, not a copy of it — the factory’s upstream traceability</w:t>
      </w:r>
      <w:r>
        <w:t xml:space="preserve"> </w:t>
      </w:r>
      <w:r>
        <w:t xml:space="preserve">remains its own system — but the digest makes the composition claim</w:t>
      </w:r>
      <w:r>
        <w:t xml:space="preserve"> </w:t>
      </w:r>
      <w:r>
        <w:rPr>
          <w:iCs/>
          <w:i/>
        </w:rPr>
        <w:t xml:space="preserve">fixed and</w:t>
      </w:r>
      <w:r>
        <w:rPr>
          <w:iCs/>
          <w:i/>
        </w:rPr>
        <w:t xml:space="preserve"> </w:t>
      </w:r>
      <w:r>
        <w:rPr>
          <w:iCs/>
          <w:i/>
        </w:rPr>
        <w:t xml:space="preserve">auditable</w:t>
      </w:r>
      <w:r>
        <w:t xml:space="preserve">: when Section 1.4.5’s supply-chain regimes ask, two years later,</w:t>
      </w:r>
      <w:r>
        <w:t xml:space="preserve"> </w:t>
      </w:r>
      <w:r>
        <w:t xml:space="preserve">which polysilicon lots fed a shipment, the answer is committed evidence rather</w:t>
      </w:r>
      <w:r>
        <w:t xml:space="preserve"> </w:t>
      </w:r>
      <w:r>
        <w:t xml:space="preserve">than a reconstructed spreadsheet, and when a batch-level defect emerges</w:t>
      </w:r>
      <w:r>
        <w:t xml:space="preserve"> </w:t>
      </w:r>
      <w:r>
        <w:t xml:space="preserve">(a bad EVA lot, a cell-line excursion), the affected population is a ledger</w:t>
      </w:r>
      <w:r>
        <w:t xml:space="preserve"> </w:t>
      </w:r>
      <w:r>
        <w:t xml:space="preserve">query rather than a recall guess.</w:t>
      </w:r>
    </w:p>
    <w:p>
      <w:pPr>
        <w:pStyle w:val="BodyText"/>
      </w:pPr>
      <w:r>
        <w:t xml:space="preserve">Three design questions recur in practice:</w:t>
      </w:r>
    </w:p>
    <w:p>
      <w:pPr>
        <w:pStyle w:val="BodyText"/>
      </w:pPr>
      <w:r>
        <w:rPr>
          <w:bCs/>
          <w:b/>
        </w:rPr>
        <w:t xml:space="preserve">Who may register?</w:t>
      </w:r>
      <w:r>
        <w:t xml:space="preserve"> </w:t>
      </w:r>
      <w:r>
        <w:t xml:space="preserve">The registrar role must be</w:t>
      </w:r>
      <w:r>
        <w:t xml:space="preserve"> </w:t>
      </w:r>
      <w:r>
        <w:rPr>
          <w:iCs/>
          <w:i/>
        </w:rPr>
        <w:t xml:space="preserve">permissioned but plural</w:t>
      </w:r>
      <w:r>
        <w:t xml:space="preserve">: any</w:t>
      </w:r>
      <w:r>
        <w:t xml:space="preserve"> </w:t>
      </w:r>
      <w:r>
        <w:t xml:space="preserve">accredited manufacturer registers its own production, under a consortium accreditation</w:t>
      </w:r>
      <w:r>
        <w:t xml:space="preserve"> </w:t>
      </w:r>
      <w:r>
        <w:t xml:space="preserve">scheme with audit rights. A single global registrar reconstructs Section 1.5’s central</w:t>
      </w:r>
      <w:r>
        <w:t xml:space="preserve"> </w:t>
      </w:r>
      <w:r>
        <w:t xml:space="preserve">registry; fully open registration invites identity squatting and spam. The middle</w:t>
      </w:r>
      <w:r>
        <w:t xml:space="preserve"> </w:t>
      </w:r>
      <w:r>
        <w:t xml:space="preserve">position — accredited registrars, revocable accreditation, all registrations publicly</w:t>
      </w:r>
      <w:r>
        <w:t xml:space="preserve"> </w:t>
      </w:r>
      <w:r>
        <w:t xml:space="preserve">attributable — mirrors how type certification already works in the sector and grafts</w:t>
      </w:r>
      <w:r>
        <w:t xml:space="preserve"> </w:t>
      </w:r>
      <w:r>
        <w:t xml:space="preserve">onto existing institutions (Chapter 10 discusses the governance contracts).</w:t>
      </w:r>
    </w:p>
    <w:p>
      <w:pPr>
        <w:pStyle w:val="BodyText"/>
      </w:pPr>
      <w:r>
        <w:rPr>
          <w:bCs/>
          <w:b/>
        </w:rPr>
        <w:t xml:space="preserve">What about the existing fleet?</w:t>
      </w:r>
      <w:r>
        <w:t xml:space="preserve"> </w:t>
      </w:r>
      <w:r>
        <w:t xml:space="preserve">Retroactive enrollment — registering fielded assets</w:t>
      </w:r>
      <w:r>
        <w:t xml:space="preserve"> </w:t>
      </w:r>
      <w:r>
        <w:t xml:space="preserve">at their next inspection touchpoint — necessarily carries weaker provenance: the</w:t>
      </w:r>
      <w:r>
        <w:t xml:space="preserve"> </w:t>
      </w:r>
      <w:r>
        <w:t xml:space="preserve">record attests</w:t>
      </w:r>
      <w:r>
        <w:t xml:space="preserve"> </w:t>
      </w:r>
      <w:r>
        <w:t xml:space="preserve">“</w:t>
      </w:r>
      <w:r>
        <w:t xml:space="preserve">this structure, observed on this date, controller X,</w:t>
      </w:r>
      <w:r>
        <w:t xml:space="preserve">”</w:t>
      </w:r>
      <w:r>
        <w:t xml:space="preserve"> </w:t>
      </w:r>
      <w:r>
        <w:t xml:space="preserve">with no factory</w:t>
      </w:r>
      <w:r>
        <w:t xml:space="preserve"> </w:t>
      </w:r>
      <w:r>
        <w:t xml:space="preserve">history. The schema must represent this honestly as a distinct registration class</w:t>
      </w:r>
      <w:r>
        <w:t xml:space="preserve"> </w:t>
      </w:r>
      <w:r>
        <w:t xml:space="preserve">rather than laundering it into factory-grade provenance; buyers and insurers then</w:t>
      </w:r>
      <w:r>
        <w:t xml:space="preserve"> </w:t>
      </w:r>
      <w:r>
        <w:t xml:space="preserve">price the difference, which is exactly what markets with good information do</w:t>
      </w:r>
      <w:r>
        <w:t xml:space="preserve"> </w:t>
      </w:r>
      <w:r>
        <w:t xml:space="preserve">(Chapter 13). Operationally, retroactive enrollment rides the same touchpoints</w:t>
      </w:r>
      <w:r>
        <w:t xml:space="preserve"> </w:t>
      </w:r>
      <w:r>
        <w:t xml:space="preserve">the fleet already has: drone or handheld EL during scheduled inspections,</w:t>
      </w:r>
      <w:r>
        <w:t xml:space="preserve"> </w:t>
      </w:r>
      <w:r>
        <w:t xml:space="preserve">repowering and repair visits, and — the highest-yield moment — the diligence</w:t>
      </w:r>
      <w:r>
        <w:t xml:space="preserve"> </w:t>
      </w:r>
      <w:r>
        <w:t xml:space="preserve">campaigns of ownership transfers, where a buyer is already paying for</w:t>
      </w:r>
      <w:r>
        <w:t xml:space="preserve"> </w:t>
      </w:r>
      <w:r>
        <w:t xml:space="preserve">condition measurement and the marginal cost of turning that measurement into</w:t>
      </w:r>
      <w:r>
        <w:t xml:space="preserve"> </w:t>
      </w:r>
      <w:r>
        <w:t xml:space="preserve">an enrollment is a signature and an event. The one procedural difference from</w:t>
      </w:r>
      <w:r>
        <w:t xml:space="preserve"> </w:t>
      </w:r>
      <w:r>
        <w:t xml:space="preserve">factory issuance matters enough to state: the enrolling party at a field</w:t>
      </w:r>
      <w:r>
        <w:t xml:space="preserve"> </w:t>
      </w:r>
      <w:r>
        <w:t xml:space="preserve">touchpoint is typically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manufacturer, so the registration’s initial</w:t>
      </w:r>
      <w:r>
        <w:t xml:space="preserve"> </w:t>
      </w:r>
      <w:r>
        <w:t xml:space="preserve">controller is the current owner, the manufacturer’s product claims enter (if</w:t>
      </w:r>
      <w:r>
        <w:t xml:space="preserve"> </w:t>
      </w:r>
      <w:r>
        <w:t xml:space="preserve">at all) as referenced credentials rather than co-signed facts, and any later</w:t>
      </w:r>
      <w:r>
        <w:t xml:space="preserve"> </w:t>
      </w:r>
      <w:r>
        <w:t xml:space="preserve">manufacturer endorsement of the retroactive identity — matching it to shipment</w:t>
      </w:r>
      <w:r>
        <w:t xml:space="preserve"> </w:t>
      </w:r>
      <w:r>
        <w:t xml:space="preserve">records, say — is its own attributable event that upgrades the record’s</w:t>
      </w:r>
      <w:r>
        <w:t xml:space="preserve"> </w:t>
      </w:r>
      <w:r>
        <w:t xml:space="preserve">provenance class visibly rather than silently.</w:t>
      </w:r>
    </w:p>
    <w:p>
      <w:pPr>
        <w:pStyle w:val="BodyText"/>
      </w:pPr>
      <w:r>
        <w:rPr>
          <w:bCs/>
          <w:b/>
        </w:rPr>
        <w:t xml:space="preserve">What if the manufacturer is the adversary?</w:t>
      </w:r>
      <w:r>
        <w:t xml:space="preserve"> </w:t>
      </w:r>
      <w:r>
        <w:t xml:space="preserve">Ghost-shift production (Section 1.4.1)</w:t>
      </w:r>
      <w:r>
        <w:t xml:space="preserve"> </w:t>
      </w:r>
      <w:r>
        <w:t xml:space="preserve">is registered by the same key as legitimate production. The ledger does not solve</w:t>
      </w:r>
      <w:r>
        <w:t xml:space="preserve"> </w:t>
      </w:r>
      <w:r>
        <w:t xml:space="preserve">this — it</w:t>
      </w:r>
      <w:r>
        <w:t xml:space="preserve"> </w:t>
      </w:r>
      <w:r>
        <w:rPr>
          <w:iCs/>
          <w:i/>
        </w:rPr>
        <w:t xml:space="preserve">scopes</w:t>
      </w:r>
      <w:r>
        <w:t xml:space="preserve"> </w:t>
      </w:r>
      <w:r>
        <w:t xml:space="preserve">it: over-registration becomes visible in reconciliation against</w:t>
      </w:r>
      <w:r>
        <w:t xml:space="preserve"> </w:t>
      </w:r>
      <w:r>
        <w:t xml:space="preserve">declared capacity and bills of materials, misgrading becomes contestable because the</w:t>
      </w:r>
      <w:r>
        <w:t xml:space="preserve"> </w:t>
      </w:r>
      <w:r>
        <w:t xml:space="preserve">enrollment measurement is independently re-verifiable, and a manufacturer caught once</w:t>
      </w:r>
      <w:r>
        <w:t xml:space="preserve"> </w:t>
      </w:r>
      <w:r>
        <w:t xml:space="preserve">has signed the evidence itself. Deterrence through attributability rather than</w:t>
      </w:r>
      <w:r>
        <w:t xml:space="preserve"> </w:t>
      </w:r>
      <w:r>
        <w:t xml:space="preserve">prevention through cryptography; Chapter 8 is candid about the residual risk.</w:t>
      </w:r>
    </w:p>
    <w:bookmarkEnd w:id="26"/>
    <w:bookmarkStart w:id="27" w:name="the-accreditation-lifecycle"/>
    <w:p>
      <w:pPr>
        <w:pStyle w:val="Heading3"/>
      </w:pPr>
      <w:r>
        <w:t xml:space="preserve">4.3.2 The Accreditation Lifecycle</w:t>
      </w:r>
    </w:p>
    <w:p>
      <w:pPr>
        <w:pStyle w:val="FirstParagraph"/>
      </w:pPr>
      <w:r>
        <w:t xml:space="preserve">Because registrar accreditation carries so much of the trusted setup, its</w:t>
      </w:r>
      <w:r>
        <w:t xml:space="preserve"> </w:t>
      </w:r>
      <w:r>
        <w:t xml:space="preserve">lifecycle deserves the same specification rigor as the assets’. Accreditation</w:t>
      </w:r>
      <w:r>
        <w:t xml:space="preserve"> </w:t>
      </w:r>
      <w:r>
        <w:t xml:space="preserve">is granted by the consortium’s accreditation committee (composition and</w:t>
      </w:r>
      <w:r>
        <w:t xml:space="preserve"> </w:t>
      </w:r>
      <w:r>
        <w:t xml:space="preserve">adverse-interest rules in Chapter 10) against published criteria: demonstrated</w:t>
      </w:r>
      <w:r>
        <w:t xml:space="preserve"> </w:t>
      </w:r>
      <w:r>
        <w:t xml:space="preserve">enrollment-station conformance (instrument grades, exception handling, key</w:t>
      </w:r>
      <w:r>
        <w:t xml:space="preserve"> </w:t>
      </w:r>
      <w:r>
        <w:t xml:space="preserve">ceremony), a passed initial audit, insurance or bonding proportional to</w:t>
      </w:r>
      <w:r>
        <w:t xml:space="preserve"> </w:t>
      </w:r>
      <w:r>
        <w:t xml:space="preserve">registration volume, and acceptance of the audit covenant. The grant is a</w:t>
      </w:r>
      <w:r>
        <w:t xml:space="preserve"> </w:t>
      </w:r>
      <w:r>
        <w:t xml:space="preserve">ledger event carrying the registrar’s role DID, its authorized scope (asset</w:t>
      </w:r>
      <w:r>
        <w:t xml:space="preserve"> </w:t>
      </w:r>
      <w:r>
        <w:t xml:space="preserve">classes, production sites, registration classes), validity interval, and the</w:t>
      </w:r>
      <w:r>
        <w:t xml:space="preserve"> </w:t>
      </w:r>
      <w:r>
        <w:t xml:space="preserve">algorithm policy under which its signatures bind.</w:t>
      </w:r>
    </w:p>
    <w:p>
      <w:pPr>
        <w:pStyle w:val="BodyText"/>
      </w:pPr>
      <w:r>
        <w:t xml:space="preserve">In operation, accreditation is maintained by evidence rather than by renewal</w:t>
      </w:r>
      <w:r>
        <w:t xml:space="preserve"> </w:t>
      </w:r>
      <w:r>
        <w:t xml:space="preserve">paperwork: the registrar’s exception-event statistics, reconciliation results</w:t>
      </w:r>
      <w:r>
        <w:t xml:space="preserve"> </w:t>
      </w:r>
      <w:r>
        <w:t xml:space="preserve">(registered volumes against declared capacity and materials purchases — the</w:t>
      </w:r>
      <w:r>
        <w:t xml:space="preserve"> </w:t>
      </w:r>
      <w:r>
        <w:t xml:space="preserve">D4 machinery of Chapter 8), and periodic on-site audits all accrue to its role</w:t>
      </w:r>
      <w:r>
        <w:t xml:space="preserve"> </w:t>
      </w:r>
      <w:r>
        <w:t xml:space="preserve">DID. Suspicion has graduated responses short of the nuclear option —</w:t>
      </w:r>
      <w:r>
        <w:t xml:space="preserve"> </w:t>
      </w:r>
      <w:r>
        <w:t xml:space="preserve">enhanced-audit status, scope restriction (a single line or site), mandatory</w:t>
      </w:r>
      <w:r>
        <w:t xml:space="preserve"> </w:t>
      </w:r>
      <w:r>
        <w:t xml:space="preserve">third-party co-signing — each a governed, ledger-visible event, because a</w:t>
      </w:r>
      <w:r>
        <w:t xml:space="preserve"> </w:t>
      </w:r>
      <w:r>
        <w:t xml:space="preserve">credible</w:t>
      </w:r>
      <w:r>
        <w:t xml:space="preserve"> </w:t>
      </w:r>
      <w:r>
        <w:rPr>
          <w:iCs/>
          <w:i/>
        </w:rPr>
        <w:t xml:space="preserve">intermediate</w:t>
      </w:r>
      <w:r>
        <w:t xml:space="preserve"> </w:t>
      </w:r>
      <w:r>
        <w:t xml:space="preserve">sanction is what makes the accreditation regime</w:t>
      </w:r>
      <w:r>
        <w:t xml:space="preserve"> </w:t>
      </w:r>
      <w:r>
        <w:t xml:space="preserve">enforceable in practice; committees hesitate to impose corporate death</w:t>
      </w:r>
      <w:r>
        <w:t xml:space="preserve"> </w:t>
      </w:r>
      <w:r>
        <w:t xml:space="preserve">sentences, and a regime whose only sanction is revocation converges on no</w:t>
      </w:r>
      <w:r>
        <w:t xml:space="preserve"> </w:t>
      </w:r>
      <w:r>
        <w:t xml:space="preserve">sanctions at all.</w:t>
      </w:r>
    </w:p>
    <w:p>
      <w:pPr>
        <w:pStyle w:val="BodyText"/>
      </w:pPr>
      <w:r>
        <w:t xml:space="preserve">Revocation itself, when it comes, is engineered to be safe for everyone</w:t>
      </w:r>
      <w:r>
        <w:t xml:space="preserve"> </w:t>
      </w:r>
      <w:r>
        <w:t xml:space="preserve">downstream: it is prospective (registrations before the revocation event</w:t>
      </w:r>
      <w:r>
        <w:t xml:space="preserve"> </w:t>
      </w:r>
      <w:r>
        <w:t xml:space="preserve">remain valid — they were made under authority in force, and Chapter 9’s</w:t>
      </w:r>
      <w:r>
        <w:t xml:space="preserve"> </w:t>
      </w:r>
      <w:r>
        <w:t xml:space="preserve">time-contextual verification applies), it triggers enhanced verification</w:t>
      </w:r>
      <w:r>
        <w:t xml:space="preserve"> </w:t>
      </w:r>
      <w:r>
        <w:t xml:space="preserve">sampling of the revoked registrar’s recent back catalog rather than blanket</w:t>
      </w:r>
      <w:r>
        <w:t xml:space="preserve"> </w:t>
      </w:r>
      <w:r>
        <w:t xml:space="preserve">distrust, and it is public — visible in the governance-state digest that every</w:t>
      </w:r>
      <w:r>
        <w:t xml:space="preserve"> </w:t>
      </w:r>
      <w:r>
        <w:t xml:space="preserve">anchor carries. Succession (the registrar’s business transfers, its keys</w:t>
      </w:r>
      <w:r>
        <w:t xml:space="preserve"> </w:t>
      </w:r>
      <w:r>
        <w:t xml:space="preserve">retire, its accreditation moves to an acquirer after fresh audit) uses the</w:t>
      </w:r>
      <w:r>
        <w:t xml:space="preserve"> </w:t>
      </w:r>
      <w:r>
        <w:t xml:space="preserve">same machinery with the polarity reversed. None of this is speculative</w:t>
      </w:r>
      <w:r>
        <w:t xml:space="preserve"> </w:t>
      </w:r>
      <w:r>
        <w:t xml:space="preserve">process design; it is the ISO/IEC 17025 accreditation culture the sector’s</w:t>
      </w:r>
      <w:r>
        <w:t xml:space="preserve"> </w:t>
      </w:r>
      <w:r>
        <w:t xml:space="preserve">laboratories already live under, transcribed into events and made</w:t>
      </w:r>
      <w:r>
        <w:t xml:space="preserve"> </w:t>
      </w:r>
      <w:r>
        <w:t xml:space="preserve">machine-checkable.</w:t>
      </w:r>
    </w:p>
    <w:bookmarkEnd w:id="27"/>
    <w:bookmarkEnd w:id="28"/>
    <w:bookmarkStart w:id="29" w:name="Xf16f67a26feb963bd7e5ebcc648ee4c0d759aea"/>
    <w:p>
      <w:pPr>
        <w:pStyle w:val="Heading2"/>
      </w:pPr>
      <w:r>
        <w:t xml:space="preserve">4.4 Anchoring: Renting Immutability the Consortium Cannot Give Itself</w:t>
      </w:r>
    </w:p>
    <w:p>
      <w:pPr>
        <w:pStyle w:val="FirstParagraph"/>
      </w:pPr>
      <w:r>
        <w:t xml:space="preserve">Section 2.4 introduced the hybrid pattern; here is its mechanism. At a fixed interval</w:t>
      </w:r>
      <w:r>
        <w:t xml:space="preserve"> </w:t>
      </w:r>
      <w:r>
        <w:t xml:space="preserve">(the pilot uses six hours), an anchoring contract computes a digest over the</w:t>
      </w:r>
      <w:r>
        <w:t xml:space="preserve"> </w:t>
      </w:r>
      <w:r>
        <w:t xml:space="preserve">consortium ledger’s new block headers and submits it in a transaction to a large</w:t>
      </w:r>
      <w:r>
        <w:t xml:space="preserve"> </w:t>
      </w:r>
      <w:r>
        <w:t xml:space="preserve">public proof-of-stake chain. The consortium thereby publishes, irrevocably and</w:t>
      </w:r>
      <w:r>
        <w:t xml:space="preserve"> </w:t>
      </w:r>
      <w:r>
        <w:t xml:space="preserve">world-readably, a commitment to its own history — a few dozen bytes disclosing</w:t>
      </w:r>
      <w:r>
        <w:t xml:space="preserve"> </w:t>
      </w:r>
      <w:r>
        <w:t xml:space="preserve">nothing (Chapter 10 confirms the privacy analysis) and costing cents. The</w:t>
      </w:r>
      <w:r>
        <w:t xml:space="preserve"> </w:t>
      </w:r>
      <w:r>
        <w:t xml:space="preserve">pattern’s ancestry is worth acknowledging because it de-mystifies the design:</w:t>
      </w:r>
      <w:r>
        <w:t xml:space="preserve"> </w:t>
      </w:r>
      <w:r>
        <w:t xml:space="preserve">this is Haber and Stornetta’s 1991 newspaper-timestamping construction</w:t>
      </w:r>
      <w:r>
        <w:t xml:space="preserve"> </w:t>
      </w:r>
      <w:r>
        <w:t xml:space="preserve">(Section 2.1.2) with the classified section replaced by a chain whose</w:t>
      </w:r>
      <w:r>
        <w:t xml:space="preserve"> </w:t>
      </w:r>
      <w:r>
        <w:t xml:space="preserve">append-only property is enforced by staked billions rather than by printed</w:t>
      </w:r>
      <w:r>
        <w:t xml:space="preserve"> </w:t>
      </w:r>
      <w:r>
        <w:t xml:space="preserve">archives — and, like the newspaper, the anchor’s value comes entirely from</w:t>
      </w:r>
      <w:r>
        <w:t xml:space="preserve"> </w:t>
      </w:r>
      <w:r>
        <w:t xml:space="preserve">being</w:t>
      </w:r>
      <w:r>
        <w:t xml:space="preserve"> </w:t>
      </w:r>
      <w:r>
        <w:rPr>
          <w:iCs/>
          <w:i/>
        </w:rPr>
        <w:t xml:space="preserve">someone else’s</w:t>
      </w:r>
      <w:r>
        <w:t xml:space="preserve"> </w:t>
      </w:r>
      <w:r>
        <w:t xml:space="preserve">immutable medium.</w:t>
      </w:r>
    </w:p>
    <w:p>
      <w:pPr>
        <w:pStyle w:val="BodyText"/>
      </w:pPr>
      <w:r>
        <w:t xml:space="preserve">The anchor transaction’s contents are worth specifying, because they are the</w:t>
      </w:r>
      <w:r>
        <w:t xml:space="preserve"> </w:t>
      </w:r>
      <w:r>
        <w:t xml:space="preserve">entire public interface of the consortium and will be parsed by strangers for</w:t>
      </w:r>
      <w:r>
        <w:t xml:space="preserve"> </w:t>
      </w:r>
      <w:r>
        <w:t xml:space="preserve">decades. Each anchor carries: the digest of the consortium chain’s head header;</w:t>
      </w:r>
      <w:r>
        <w:t xml:space="preserve"> </w:t>
      </w:r>
      <w:r>
        <w:t xml:space="preserve">the interval’s</w:t>
      </w:r>
      <w:r>
        <w:t xml:space="preserve"> </w:t>
      </w:r>
      <w:r>
        <w:rPr>
          <w:iCs/>
          <w:i/>
        </w:rPr>
        <w:t xml:space="preserve">range commitment</w:t>
      </w:r>
      <w:r>
        <w:t xml:space="preserve"> </w:t>
      </w:r>
      <w:r>
        <w:t xml:space="preserve">(first and last block heights covered, so</w:t>
      </w:r>
      <w:r>
        <w:t xml:space="preserve"> </w:t>
      </w:r>
      <w:r>
        <w:t xml:space="preserve">gaps are self-evident); a monotonically increasing anchor sequence number (so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anchors are detectable, not just altered ones); and the digest of the</w:t>
      </w:r>
      <w:r>
        <w:t xml:space="preserve"> </w:t>
      </w:r>
      <w:r>
        <w:t xml:space="preserve">current governance state — validator set, algorithm policy, schema versions —</w:t>
      </w:r>
      <w:r>
        <w:t xml:space="preserve"> </w:t>
      </w:r>
      <w:r>
        <w:t xml:space="preserve">so that governance changes are themselves publicly timestamped. The anchor is</w:t>
      </w:r>
      <w:r>
        <w:t xml:space="preserve"> </w:t>
      </w:r>
      <w:r>
        <w:t xml:space="preserve">posted from a consortium-controlled account whose key custody is a governance</w:t>
      </w:r>
      <w:r>
        <w:t xml:space="preserve"> </w:t>
      </w:r>
      <w:r>
        <w:t xml:space="preserve">matter, and the account’s own history on the public chain becomes the</w:t>
      </w:r>
      <w:r>
        <w:t xml:space="preserve"> </w:t>
      </w:r>
      <w:r>
        <w:t xml:space="preserve">consortium’s public heartbeat: a third party can monitor consortium liveness,</w:t>
      </w:r>
      <w:r>
        <w:t xml:space="preserve"> </w:t>
      </w:r>
      <w:r>
        <w:t xml:space="preserve">anchoring discipline, and governance-change cadence with no relationship to</w:t>
      </w:r>
      <w:r>
        <w:t xml:space="preserve"> </w:t>
      </w:r>
      <w:r>
        <w:t xml:space="preserve">the consortium whatsoever. The pilot’s experience (Section 11.5) that external</w:t>
      </w:r>
      <w:r>
        <w:t xml:space="preserve"> </w:t>
      </w:r>
      <w:r>
        <w:t xml:space="preserve">counsel treated anchors as the decisive authenticity evidence begins here — the</w:t>
      </w:r>
      <w:r>
        <w:t xml:space="preserve"> </w:t>
      </w:r>
      <w:r>
        <w:t xml:space="preserve">anchor is the part of the system that requires no introduction and no trust.</w:t>
      </w:r>
    </w:p>
    <w:p>
      <w:pPr>
        <w:pStyle w:val="BodyText"/>
      </w:pPr>
      <w:r>
        <w:t xml:space="preserve">Verification against an anchor, spelled out once: the verifier holds a record,</w:t>
      </w:r>
      <w:r>
        <w:t xml:space="preserve"> </w:t>
      </w:r>
      <w:r>
        <w:t xml:space="preserve">its Merkle proof into block (B), and the header sub-chain from (B) to the</w:t>
      </w:r>
      <w:r>
        <w:t xml:space="preserve"> </w:t>
      </w:r>
      <w:r>
        <w:t xml:space="preserve">anchored head (H); fetches the anchor transaction from the public chain</w:t>
      </w:r>
      <w:r>
        <w:t xml:space="preserve"> </w:t>
      </w:r>
      <w:r>
        <w:t xml:space="preserve">(or from an archived proof of it — public chains themselves provide inclusion</w:t>
      </w:r>
      <w:r>
        <w:t xml:space="preserve"> </w:t>
      </w:r>
      <w:r>
        <w:t xml:space="preserve">proofs against their own headers); recomputes the chain of digests; and</w:t>
      </w:r>
      <w:r>
        <w:t xml:space="preserve"> </w:t>
      </w:r>
      <w:r>
        <w:t xml:space="preserve">concludes that the record existed, in exactly these bytes, no later than the</w:t>
      </w:r>
      <w:r>
        <w:t xml:space="preserve"> </w:t>
      </w:r>
      <w:r>
        <w:t xml:space="preserve">anchor’s public-chain timestamp. The conclusion requires trusting only the</w:t>
      </w:r>
      <w:r>
        <w:t xml:space="preserve"> </w:t>
      </w:r>
      <w:r>
        <w:t xml:space="preserve">public chain’s consensus and the hash function — both of which are outside any</w:t>
      </w:r>
      <w:r>
        <w:t xml:space="preserve"> </w:t>
      </w:r>
      <w:r>
        <w:t xml:space="preserve">consortium member’s control, which is the entire point.</w:t>
      </w:r>
    </w:p>
    <w:p>
      <w:pPr>
        <w:pStyle w:val="BodyText"/>
      </w:pPr>
      <w:r>
        <w:t xml:space="preserve">What this buys, precisely: any party holding a record with its Merkle proof can</w:t>
      </w:r>
      <w:r>
        <w:t xml:space="preserve"> </w:t>
      </w:r>
      <w:r>
        <w:t xml:space="preserve">verify it against the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anchor without trusting any consortium node — and a</w:t>
      </w:r>
      <w:r>
        <w:t xml:space="preserve"> </w:t>
      </w:r>
      <w:r>
        <w:t xml:space="preserve">consortium that rewrites history after the fact cannot make its rewritten chain match</w:t>
      </w:r>
      <w:r>
        <w:t xml:space="preserve"> </w:t>
      </w:r>
      <w:r>
        <w:t xml:space="preserve">anchors already embedded in a chain it does not control. What it does not buy:</w:t>
      </w:r>
      <w:r>
        <w:t xml:space="preserve"> </w:t>
      </w:r>
      <w:r>
        <w:t xml:space="preserve">protection within the anchoring interval (a rewrite inside six hours beats the</w:t>
      </w:r>
      <w:r>
        <w:t xml:space="preserve"> </w:t>
      </w:r>
      <w:r>
        <w:t xml:space="preserve">anchor; interval choice is a risk parameter, not a constant of nature), and</w:t>
      </w:r>
      <w:r>
        <w:t xml:space="preserve"> </w:t>
      </w:r>
      <w:r>
        <w:t xml:space="preserve">protection against a consortium that forks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anchoring (mitigated by anchoring</w:t>
      </w:r>
      <w:r>
        <w:t xml:space="preserve"> </w:t>
      </w:r>
      <w:r>
        <w:t xml:space="preserve">to two independent public chains, which the pilot does). Anchor targets are</w:t>
      </w:r>
      <w:r>
        <w:t xml:space="preserve"> </w:t>
      </w:r>
      <w:r>
        <w:t xml:space="preserve">themselves assets with lifecycles — chains die, fork, and change fee regimes — so the</w:t>
      </w:r>
      <w:r>
        <w:t xml:space="preserve"> </w:t>
      </w:r>
      <w:r>
        <w:t xml:space="preserve">anchoring contract treats its target list as replaceable configuration under</w:t>
      </w:r>
      <w:r>
        <w:t xml:space="preserve"> </w:t>
      </w:r>
      <w:r>
        <w:t xml:space="preserve">governance, a small instance of the longevity discipline Chapter 9 generalizes.</w:t>
      </w:r>
    </w:p>
    <w:p>
      <w:pPr>
        <w:pStyle w:val="BodyText"/>
      </w:pPr>
      <w:r>
        <w:t xml:space="preserve">The interval-choice arithmetic, since it is the one anchoring parameter with a</w:t>
      </w:r>
      <w:r>
        <w:t xml:space="preserve"> </w:t>
      </w:r>
      <w:r>
        <w:t xml:space="preserve">real trade-off: shorter intervals shrink the rewrite window and cost more; the</w:t>
      </w:r>
      <w:r>
        <w:t xml:space="preserve"> </w:t>
      </w:r>
      <w:r>
        <w:t xml:space="preserve">cost curve is nearly flat (a public-chain transaction per interval per target —</w:t>
      </w:r>
      <w:r>
        <w:t xml:space="preserve"> </w:t>
      </w:r>
      <w:r>
        <w:t xml:space="preserve">at four anchors daily to two chains, under USD 6,000 a year even at</w:t>
      </w:r>
      <w:r>
        <w:t xml:space="preserve"> </w:t>
      </w:r>
      <w:r>
        <w:t xml:space="preserve">conservative fee assumptions), while the risk curve depends on what can happen</w:t>
      </w:r>
      <w:r>
        <w:t xml:space="preserve"> </w:t>
      </w:r>
      <w:r>
        <w:t xml:space="preserve">inside a window. For this workload, an intra-window rewrite requires a</w:t>
      </w:r>
      <w:r>
        <w:t xml:space="preserve"> </w:t>
      </w:r>
      <w:r>
        <w:t xml:space="preserve">validator supermajority acting within hours of the events it falsifies — a</w:t>
      </w:r>
      <w:r>
        <w:t xml:space="preserve"> </w:t>
      </w:r>
      <w:r>
        <w:t xml:space="preserve">conspiracy with no time to form, against records whose submitters hold signed</w:t>
      </w:r>
      <w:r>
        <w:t xml:space="preserve"> </w:t>
      </w:r>
      <w:r>
        <w:t xml:space="preserve">receipts. The pilot’s six-hour choice reflects that analysis, plus one</w:t>
      </w:r>
      <w:r>
        <w:t xml:space="preserve"> </w:t>
      </w:r>
      <w:r>
        <w:t xml:space="preserve">refinement worth copying:</w:t>
      </w:r>
      <w:r>
        <w:t xml:space="preserve"> </w:t>
      </w:r>
      <w:r>
        <w:rPr>
          <w:iCs/>
          <w:i/>
        </w:rPr>
        <w:t xml:space="preserve">event-triggered anchoring</w:t>
      </w:r>
      <w:r>
        <w:t xml:space="preserve"> </w:t>
      </w:r>
      <w:r>
        <w:t xml:space="preserve">for designated</w:t>
      </w:r>
      <w:r>
        <w:t xml:space="preserve"> </w:t>
      </w:r>
      <w:r>
        <w:t xml:space="preserve">high-value classes (plant-scale ownership transfers, adjudication filings),</w:t>
      </w:r>
      <w:r>
        <w:t xml:space="preserve"> </w:t>
      </w:r>
      <w:r>
        <w:t xml:space="preserve">where the anchor fires within minutes of the event rather than waiting for the</w:t>
      </w:r>
      <w:r>
        <w:t xml:space="preserve"> </w:t>
      </w:r>
      <w:r>
        <w:t xml:space="preserve">schedule. Anchoring is the cheapest component of the entire architecture; when</w:t>
      </w:r>
      <w:r>
        <w:t xml:space="preserve"> </w:t>
      </w:r>
      <w:r>
        <w:t xml:space="preserve">in doubt, anchor more.</w:t>
      </w:r>
    </w:p>
    <w:bookmarkEnd w:id="29"/>
    <w:bookmarkStart w:id="32" w:name="X43cba3934df0d6a51d70b5719a197b8ccb4e501"/>
    <w:p>
      <w:pPr>
        <w:pStyle w:val="Heading2"/>
      </w:pPr>
      <w:r>
        <w:t xml:space="preserve">4.5 Oracle Design: The Sensing-to-Ledger Interface</w:t>
      </w:r>
    </w:p>
    <w:p>
      <w:pPr>
        <w:pStyle w:val="FirstParagraph"/>
      </w:pPr>
      <w:r>
        <w:t xml:space="preserve">Chapter 2 established that contracts cannot observe the world; every physical fact</w:t>
      </w:r>
      <w:r>
        <w:t xml:space="preserve"> </w:t>
      </w:r>
      <w:r>
        <w:t xml:space="preserve">enters the ledger as a</w:t>
      </w:r>
      <w:r>
        <w:t xml:space="preserve"> </w:t>
      </w:r>
      <w:r>
        <w:rPr>
          <w:iCs/>
          <w:i/>
        </w:rPr>
        <w:t xml:space="preserve">claim signed by something</w:t>
      </w:r>
      <w:r>
        <w:t xml:space="preserve">. The oracle layer is therefore not</w:t>
      </w:r>
      <w:r>
        <w:t xml:space="preserve"> </w:t>
      </w:r>
      <w:r>
        <w:t xml:space="preserve">middleware plumbing — it is the point where the garbage-in permanence problem is</w:t>
      </w:r>
      <w:r>
        <w:t xml:space="preserve"> </w:t>
      </w:r>
      <w:r>
        <w:t xml:space="preserve">either solved or permanently embedded. The design discipline this book applies has</w:t>
      </w:r>
      <w:r>
        <w:t xml:space="preserve"> </w:t>
      </w:r>
      <w:r>
        <w:t xml:space="preserve">three rules.</w:t>
      </w:r>
    </w:p>
    <w:p>
      <w:pPr>
        <w:pStyle w:val="BodyText"/>
      </w:pPr>
      <w:r>
        <w:rPr>
          <w:bCs/>
          <w:b/>
        </w:rPr>
        <w:t xml:space="preserve">Rule 1: Push signing to the sensor.</w:t>
      </w:r>
      <w:r>
        <w:t xml:space="preserve"> </w:t>
      </w:r>
      <w:r>
        <w:t xml:space="preserve">Every attestation should be signed as close</w:t>
      </w:r>
      <w:r>
        <w:t xml:space="preserve"> </w:t>
      </w:r>
      <w:r>
        <w:t xml:space="preserve">to the physical measurement as the hardware allows — ideally by a secure element</w:t>
      </w:r>
      <w:r>
        <w:t xml:space="preserve"> </w:t>
      </w:r>
      <w:r>
        <w:t xml:space="preserve">inside the instrument (the EL camera, the flash tester, the defect-mapping scanner,</w:t>
      </w:r>
      <w:r>
        <w:t xml:space="preserve"> </w:t>
      </w:r>
      <w:r>
        <w:t xml:space="preserve">the inverter reporting its own commissioning self-test), so that the signed object is</w:t>
      </w:r>
      <w:r>
        <w:t xml:space="preserve"> </w:t>
      </w:r>
      <w:r>
        <w:t xml:space="preserve">the raw measurement, not a technician’s transcription of it. Between instrument and</w:t>
      </w:r>
      <w:r>
        <w:t xml:space="preserve"> </w:t>
      </w:r>
      <w:r>
        <w:t xml:space="preserve">ledger there may legitimately be processing (template extraction, compression); each</w:t>
      </w:r>
      <w:r>
        <w:t xml:space="preserve"> </w:t>
      </w:r>
      <w:r>
        <w:t xml:space="preserve">processing step signs its output and references its input’s digest, forming a</w:t>
      </w:r>
      <w:r>
        <w:t xml:space="preserve"> </w:t>
      </w:r>
      <w:r>
        <w:rPr>
          <w:iCs/>
          <w:i/>
        </w:rPr>
        <w:t xml:space="preserve">computation provenance chain</w:t>
      </w:r>
      <w:r>
        <w:t xml:space="preserve"> </w:t>
      </w:r>
      <w:r>
        <w:t xml:space="preserve">the verifier can re-execute. An unsigned hop is where</w:t>
      </w:r>
      <w:r>
        <w:t xml:space="preserve"> </w:t>
      </w:r>
      <w:r>
        <w:t xml:space="preserve">manipulation lives (Section 8.4 catalogs the attacks).</w:t>
      </w:r>
    </w:p>
    <w:p>
      <w:pPr>
        <w:pStyle w:val="BodyText"/>
      </w:pPr>
      <w:r>
        <w:t xml:space="preserve">The rule’s force is best seen in the failure it prevents. Consider the</w:t>
      </w:r>
      <w:r>
        <w:t xml:space="preserve"> </w:t>
      </w:r>
      <w:r>
        <w:t xml:space="preserve">commissioning IV-curve measurement in the world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Rule 1: the tester</w:t>
      </w:r>
      <w:r>
        <w:t xml:space="preserve"> </w:t>
      </w:r>
      <w:r>
        <w:t xml:space="preserve">displays values, a technician types them into a tablet app, the app’s backend</w:t>
      </w:r>
      <w:r>
        <w:t xml:space="preserve"> </w:t>
      </w:r>
      <w:r>
        <w:t xml:space="preserve">formats a report, and the EPC’s document system signs the PDF. Four hops, three</w:t>
      </w:r>
      <w:r>
        <w:t xml:space="preserve"> </w:t>
      </w:r>
      <w:r>
        <w:t xml:space="preserve">of them unsigned, and every one an opportunity — a mistyped digit, a</w:t>
      </w:r>
      <w:r>
        <w:t xml:space="preserve"> </w:t>
      </w:r>
      <w:r>
        <w:t xml:space="preserve">“</w:t>
      </w:r>
      <w:r>
        <w:t xml:space="preserve">corrected</w:t>
      </w:r>
      <w:r>
        <w:t xml:space="preserve">”</w:t>
      </w:r>
      <w:r>
        <w:t xml:space="preserve"> </w:t>
      </w:r>
      <w:r>
        <w:t xml:space="preserve">outlier, a report template that silently rounds. The signed object, when one</w:t>
      </w:r>
      <w:r>
        <w:t xml:space="preserve"> </w:t>
      </w:r>
      <w:r>
        <w:t xml:space="preserve">finally appears, attests to the</w:t>
      </w:r>
      <w:r>
        <w:t xml:space="preserve"> </w:t>
      </w:r>
      <w:r>
        <w:rPr>
          <w:iCs/>
          <w:i/>
        </w:rPr>
        <w:t xml:space="preserve">document workflow</w:t>
      </w:r>
      <w:r>
        <w:t xml:space="preserve">, not the measurement. Under</w:t>
      </w:r>
      <w:r>
        <w:t xml:space="preserve"> </w:t>
      </w:r>
      <w:r>
        <w:t xml:space="preserve">Rule 1 the tester itself signs</w:t>
      </w:r>
      <w:r>
        <w:t xml:space="preserve"> </w:t>
      </w:r>
      <w:r>
        <w:rPr>
          <w:rStyle w:val="VerbatimChar"/>
        </w:rPr>
        <w:t xml:space="preserve">(raw curve, instrument DID, firmware digest, timestamp, nonce)</w:t>
      </w:r>
      <w:r>
        <w:t xml:space="preserve"> </w:t>
      </w:r>
      <w:r>
        <w:t xml:space="preserve">at the moment of measurement; everything downstream can</w:t>
      </w:r>
      <w:r>
        <w:t xml:space="preserve"> </w:t>
      </w:r>
      <w:r>
        <w:t xml:space="preserve">reformat and summarize but never alter without breaking the chain. The</w:t>
      </w:r>
      <w:r>
        <w:t xml:space="preserve"> </w:t>
      </w:r>
      <w:r>
        <w:t xml:space="preserve">technician’s role shifts from data channel to custodian — which is also, not</w:t>
      </w:r>
      <w:r>
        <w:t xml:space="preserve"> </w:t>
      </w:r>
      <w:r>
        <w:t xml:space="preserve">incidentally, a kinder job description.</w:t>
      </w:r>
    </w:p>
    <w:p>
      <w:pPr>
        <w:pStyle w:val="BodyText"/>
      </w:pPr>
      <w:r>
        <w:rPr>
          <w:bCs/>
          <w:b/>
        </w:rPr>
        <w:t xml:space="preserve">Rule 2: Corroborate in proportion to incentive.</w:t>
      </w:r>
      <w:r>
        <w:t xml:space="preserve"> </w:t>
      </w:r>
      <w:r>
        <w:t xml:space="preserve">A single signed sensor is a</w:t>
      </w:r>
      <w:r>
        <w:t xml:space="preserve"> </w:t>
      </w:r>
      <w:r>
        <w:t xml:space="preserve">single point of trust. Where the attested fact carries money — commissioning dates</w:t>
      </w:r>
      <w:r>
        <w:t xml:space="preserve"> </w:t>
      </w:r>
      <w:r>
        <w:t xml:space="preserve">that start warranties, condition records that settle claims — the schema requires</w:t>
      </w:r>
      <w:r>
        <w:t xml:space="preserve"> </w:t>
      </w:r>
      <w:r>
        <w:t xml:space="preserve">corroboration: a second instrument, a different physical modality (Section 3.6’s</w:t>
      </w:r>
      <w:r>
        <w:t xml:space="preserve"> </w:t>
      </w:r>
      <w:r>
        <w:t xml:space="preserve">composite identity), or a party with adverse interests co-signing. The lifecycle</w:t>
      </w:r>
      <w:r>
        <w:t xml:space="preserve"> </w:t>
      </w:r>
      <w:r>
        <w:t xml:space="preserve">schema of Chapter 5 marks, per event type, the corroboration class required; the</w:t>
      </w:r>
      <w:r>
        <w:t xml:space="preserve"> </w:t>
      </w:r>
      <w:r>
        <w:t xml:space="preserve">state-machine contract enforces it at write time.</w:t>
      </w:r>
    </w:p>
    <w:p>
      <w:pPr>
        <w:pStyle w:val="BodyText"/>
      </w:pPr>
      <w:r>
        <w:t xml:space="preserve">Corroboration design has a subtlety that pure redundancy thinking misses:</w:t>
      </w:r>
      <w:r>
        <w:t xml:space="preserve"> </w:t>
      </w:r>
      <w:r>
        <w:t xml:space="preserve">corroborators must fail</w:t>
      </w:r>
      <w:r>
        <w:t xml:space="preserve"> </w:t>
      </w:r>
      <w:r>
        <w:rPr>
          <w:iCs/>
          <w:i/>
        </w:rPr>
        <w:t xml:space="preserve">independently under the threat model</w:t>
      </w:r>
      <w:r>
        <w:t xml:space="preserve">, not merely be</w:t>
      </w:r>
      <w:r>
        <w:t xml:space="preserve"> </w:t>
      </w:r>
      <w:r>
        <w:t xml:space="preserve">numerous. Two EL cameras owned, operated, and calibrated by the same contractor</w:t>
      </w:r>
      <w:r>
        <w:t xml:space="preserve"> </w:t>
      </w:r>
      <w:r>
        <w:t xml:space="preserve">corroborate each other against instrument fault and not at all against that</w:t>
      </w:r>
      <w:r>
        <w:t xml:space="preserve"> </w:t>
      </w:r>
      <w:r>
        <w:t xml:space="preserve">contractor’s incentives; an EL camera plus the inverter’s own string-level</w:t>
      </w:r>
      <w:r>
        <w:t xml:space="preserve"> </w:t>
      </w:r>
      <w:r>
        <w:t xml:space="preserve">electrical data corroborate across both instruments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interests. The schema</w:t>
      </w:r>
      <w:r>
        <w:t xml:space="preserve"> </w:t>
      </w:r>
      <w:r>
        <w:t xml:space="preserve">therefore expresses corroboration classes in terms of</w:t>
      </w:r>
      <w:r>
        <w:t xml:space="preserve"> </w:t>
      </w:r>
      <w:r>
        <w:rPr>
          <w:iCs/>
          <w:i/>
        </w:rPr>
        <w:t xml:space="preserve">independence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</w:t>
      </w:r>
      <w:r>
        <w:t xml:space="preserve"> </w:t>
      </w:r>
      <w:r>
        <w:t xml:space="preserve">(distinct instrument controllers; distinct physical modalities;</w:t>
      </w:r>
      <w:r>
        <w:t xml:space="preserve"> </w:t>
      </w:r>
      <w:r>
        <w:t xml:space="preserve">adverse-interest signers) rather than signature counts — three signatures from</w:t>
      </w:r>
      <w:r>
        <w:t xml:space="preserve"> </w:t>
      </w:r>
      <w:r>
        <w:t xml:space="preserve">one conspiracy count as one.</w:t>
      </w:r>
    </w:p>
    <w:p>
      <w:pPr>
        <w:pStyle w:val="BodyText"/>
      </w:pPr>
      <w:r>
        <w:rPr>
          <w:bCs/>
          <w:b/>
        </w:rPr>
        <w:t xml:space="preserve">Rule 3: Instruments are assets.</w:t>
      </w:r>
      <w:r>
        <w:t xml:space="preserve"> </w:t>
      </w:r>
      <w:r>
        <w:t xml:space="preserve">Every attesting instrument has its own DID,</w:t>
      </w:r>
      <w:r>
        <w:t xml:space="preserve"> </w:t>
      </w:r>
      <w:r>
        <w:t xml:space="preserve">calibration lifecycle events, and controller history. A verifier evaluating a</w:t>
      </w:r>
      <w:r>
        <w:t xml:space="preserve"> </w:t>
      </w:r>
      <w:r>
        <w:t xml:space="preserve">year-12 condition record can check that the instrument that produced it was in</w:t>
      </w:r>
      <w:r>
        <w:t xml:space="preserve"> </w:t>
      </w:r>
      <w:r>
        <w:t xml:space="preserve">calibration, by whom, against what reference. The recursion terminates in national</w:t>
      </w:r>
      <w:r>
        <w:t xml:space="preserve"> </w:t>
      </w:r>
      <w:r>
        <w:t xml:space="preserve">metrology institutes and accreditation bodies — which is where physical measurement</w:t>
      </w:r>
      <w:r>
        <w:t xml:space="preserve"> </w:t>
      </w:r>
      <w:r>
        <w:t xml:space="preserve">trust has always terminated; the architecture makes the chain explicit and checkable</w:t>
      </w:r>
      <w:r>
        <w:t xml:space="preserve"> </w:t>
      </w:r>
      <w:r>
        <w:t xml:space="preserve">rather than inventing a new root.</w:t>
      </w:r>
    </w:p>
    <w:bookmarkStart w:id="30" w:name="instrument-trust-grades"/>
    <w:p>
      <w:pPr>
        <w:pStyle w:val="Heading3"/>
      </w:pPr>
      <w:r>
        <w:t xml:space="preserve">4.5.1 Instrument Trust Grades</w:t>
      </w:r>
    </w:p>
    <w:p>
      <w:pPr>
        <w:pStyle w:val="FirstParagraph"/>
      </w:pPr>
      <w:r>
        <w:t xml:space="preserve">Not every instrument can carry a secure element, and the architecture should</w:t>
      </w:r>
      <w:r>
        <w:t xml:space="preserve"> </w:t>
      </w:r>
      <w:r>
        <w:t xml:space="preserve">say precisely what it does with the ones that cannot. Table 4.3 grades the</w:t>
      </w:r>
      <w:r>
        <w:t xml:space="preserve"> </w:t>
      </w:r>
      <w:r>
        <w:t xml:space="preserve">attestation sources a deployment will actually encounter, with the evidential</w:t>
      </w:r>
      <w:r>
        <w:t xml:space="preserve"> </w:t>
      </w:r>
      <w:r>
        <w:t xml:space="preserve">weight the schema assigns each.</w:t>
      </w:r>
    </w:p>
    <w:p>
      <w:pPr>
        <w:pStyle w:val="BodyText"/>
      </w:pPr>
      <w:r>
        <w:rPr>
          <w:bCs/>
          <w:b/>
        </w:rPr>
        <w:t xml:space="preserve">Table 4.3</w:t>
      </w:r>
      <w:r>
        <w:t xml:space="preserve"> </w:t>
      </w:r>
      <w:r>
        <w:t xml:space="preserve">Instrument trust grades and their treatment in the event schema.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instrument, keys in secure element, attested firmware, accredited calibration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flash testers, line EL cameras, defect-map scanners, revenue 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accepted as instrument-grade; satisfies Class B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with device identity but soft key storage or unattested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current field EL rigs, IV testers, drone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Instrument-grade with downgrade flag; Class B requires an I-A corroborator or operator co-signature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with no identity; readings transcribed by an identified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testers, torque wrenches, 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Operator-grade: the</w:t>
            </w:r>
            <w:r>
              <w:t xml:space="preserve"> </w:t>
            </w:r>
            <w:r>
              <w:rPr>
                <w:iCs/>
                <w:i/>
              </w:rPr>
              <w:t xml:space="preserve">person</w:t>
            </w:r>
            <w:r>
              <w:t xml:space="preserve"> </w:t>
            </w:r>
            <w:r>
              <w:t xml:space="preserve">attests, instrument metadata recorded as claim; never sole support for Class C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Self-reported device telemetry without hardware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Consumer-grade monitoring, unattested 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only; excluded from evidential payloads</w:t>
            </w:r>
          </w:p>
        </w:tc>
      </w:tr>
    </w:tbl>
    <w:p>
      <w:pPr>
        <w:pStyle w:val="BodyText"/>
      </w:pPr>
      <w:r>
        <w:t xml:space="preserve">The grades are deliberately migration-friendly: a deployment starts with the</w:t>
      </w:r>
      <w:r>
        <w:t xml:space="preserve"> </w:t>
      </w:r>
      <w:r>
        <w:t xml:space="preserve">I-B/I-C fleet it has, the schema records the grade honestly in every</w:t>
      </w:r>
      <w:r>
        <w:t xml:space="preserve"> </w:t>
      </w:r>
      <w:r>
        <w:t xml:space="preserve">attestation, and verifiers years later can weight evidence by the grade in</w:t>
      </w:r>
      <w:r>
        <w:t xml:space="preserve"> </w:t>
      </w:r>
      <w:r>
        <w:t xml:space="preserve">force at the time — while procurement policy ratchets the fleet toward I-A at</w:t>
      </w:r>
      <w:r>
        <w:t xml:space="preserve"> </w:t>
      </w:r>
      <w:r>
        <w:t xml:space="preserve">replacement cadence. What is never acceptable is grade laundering: an I-C</w:t>
      </w:r>
      <w:r>
        <w:t xml:space="preserve"> </w:t>
      </w:r>
      <w:r>
        <w:t xml:space="preserve">transcription presented as instrument attestation is a false statement</w:t>
      </w:r>
      <w:r>
        <w:t xml:space="preserve"> </w:t>
      </w:r>
      <w:r>
        <w:rPr>
          <w:iCs/>
          <w:i/>
        </w:rPr>
        <w:t xml:space="preserve">by the</w:t>
      </w:r>
      <w:r>
        <w:rPr>
          <w:iCs/>
          <w:i/>
        </w:rPr>
        <w:t xml:space="preserve"> </w:t>
      </w:r>
      <w:r>
        <w:rPr>
          <w:iCs/>
          <w:i/>
        </w:rPr>
        <w:t xml:space="preserve">operator</w:t>
      </w:r>
      <w:r>
        <w:t xml:space="preserve">, attributably signed, which is exactly the deterrence Rule 3’s</w:t>
      </w:r>
      <w:r>
        <w:t xml:space="preserve"> </w:t>
      </w:r>
      <w:r>
        <w:t xml:space="preserve">paper trail exists to create.</w:t>
      </w:r>
    </w:p>
    <w:bookmarkEnd w:id="30"/>
    <w:bookmarkStart w:id="31" w:name="oracle-anti-patterns"/>
    <w:p>
      <w:pPr>
        <w:pStyle w:val="Heading3"/>
      </w:pPr>
      <w:r>
        <w:t xml:space="preserve">4.5.2 Oracle Anti-Patterns</w:t>
      </w:r>
    </w:p>
    <w:p>
      <w:pPr>
        <w:pStyle w:val="FirstParagraph"/>
      </w:pPr>
      <w:r>
        <w:t xml:space="preserve">Three recurring designs fail the rules subtly enough to deserve explicit</w:t>
      </w:r>
      <w:r>
        <w:t xml:space="preserve"> </w:t>
      </w:r>
      <w:r>
        <w:t xml:space="preserve">condemnation. The</w:t>
      </w:r>
      <w:r>
        <w:t xml:space="preserve"> </w:t>
      </w:r>
      <w:r>
        <w:rPr>
          <w:iCs/>
          <w:i/>
        </w:rPr>
        <w:t xml:space="preserve">trusted middleware oracle</w:t>
      </w:r>
      <w:r>
        <w:t xml:space="preserve"> </w:t>
      </w:r>
      <w:r>
        <w:t xml:space="preserve">— a vendor service that ingests</w:t>
      </w:r>
      <w:r>
        <w:t xml:space="preserve"> </w:t>
      </w:r>
      <w:r>
        <w:t xml:space="preserve">whatever instruments send it,</w:t>
      </w:r>
      <w:r>
        <w:t xml:space="preserve"> </w:t>
      </w:r>
      <w:r>
        <w:t xml:space="preserve">“</w:t>
      </w:r>
      <w:r>
        <w:t xml:space="preserve">validates</w:t>
      </w:r>
      <w:r>
        <w:t xml:space="preserve">”</w:t>
      </w:r>
      <w:r>
        <w:t xml:space="preserve"> </w:t>
      </w:r>
      <w:r>
        <w:t xml:space="preserve">the data, and signs the result under</w:t>
      </w:r>
      <w:r>
        <w:t xml:space="preserve"> </w:t>
      </w:r>
      <w:r>
        <w:t xml:space="preserve">its own platform key — violates Rule 1 by replacing the measurement’s</w:t>
      </w:r>
      <w:r>
        <w:t xml:space="preserve"> </w:t>
      </w:r>
      <w:r>
        <w:t xml:space="preserve">provenance with the middleware’s reputation; the platform becomes an</w:t>
      </w:r>
      <w:r>
        <w:t xml:space="preserve"> </w:t>
      </w:r>
      <w:r>
        <w:t xml:space="preserve">unauditable laundering point for every upstream manipulation, and its signing</w:t>
      </w:r>
      <w:r>
        <w:t xml:space="preserve"> </w:t>
      </w:r>
      <w:r>
        <w:t xml:space="preserve">key becomes the system’s most valuable target. Middleware may transform and</w:t>
      </w:r>
      <w:r>
        <w:t xml:space="preserve"> </w:t>
      </w:r>
      <w:r>
        <w:t xml:space="preserve">enrich, but only as a</w:t>
      </w:r>
      <w:r>
        <w:t xml:space="preserve"> </w:t>
      </w:r>
      <w:r>
        <w:rPr>
          <w:iCs/>
          <w:i/>
        </w:rPr>
        <w:t xml:space="preserve">signed step in the chain</w:t>
      </w:r>
      <w:r>
        <w:t xml:space="preserve">, never as the chain’s origin.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committee oracle borrowed from DeFi</w:t>
      </w:r>
      <w:r>
        <w:t xml:space="preserve"> </w:t>
      </w:r>
      <w:r>
        <w:t xml:space="preserve">— several independent services</w:t>
      </w:r>
      <w:r>
        <w:t xml:space="preserve"> </w:t>
      </w:r>
      <w:r>
        <w:t xml:space="preserve">attesting to the same fact, majority wins — transplants poorly: it was built</w:t>
      </w:r>
      <w:r>
        <w:t xml:space="preserve"> </w:t>
      </w:r>
      <w:r>
        <w:t xml:space="preserve">for facts that are globally observable (market prices), whereas a module’s EL</w:t>
      </w:r>
      <w:r>
        <w:t xml:space="preserve"> </w:t>
      </w:r>
      <w:r>
        <w:t xml:space="preserve">image is observable only by whoever holds the module, so the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observers either share one physical access (and are not independent) or</w:t>
      </w:r>
      <w:r>
        <w:t xml:space="preserve"> </w:t>
      </w:r>
      <w:r>
        <w:t xml:space="preserve">attest to hearsay. Physical-asset oracles get independence from</w:t>
      </w:r>
      <w:r>
        <w:t xml:space="preserve"> </w:t>
      </w:r>
      <w:r>
        <w:rPr>
          <w:iCs/>
          <w:i/>
        </w:rPr>
        <w:t xml:space="preserve">modalities</w:t>
      </w:r>
      <w:r>
        <w:rPr>
          <w:iCs/>
          <w:i/>
        </w:rPr>
        <w:t xml:space="preserve"> </w:t>
      </w:r>
      <w:r>
        <w:rPr>
          <w:iCs/>
          <w:i/>
        </w:rPr>
        <w:t xml:space="preserve">and interests</w:t>
      </w:r>
      <w:r>
        <w:t xml:space="preserve"> </w:t>
      </w:r>
      <w:r>
        <w:t xml:space="preserve">(Rule 2), not from replication of a single vantage point. And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human attestation app</w:t>
      </w:r>
      <w:r>
        <w:t xml:space="preserve"> </w:t>
      </w:r>
      <w:r>
        <w:t xml:space="preserve">— a technician’s phone signing structured claims —</w:t>
      </w:r>
      <w:r>
        <w:t xml:space="preserve"> </w:t>
      </w:r>
      <w:r>
        <w:t xml:space="preserve">is not an anti-pattern in itself (it is grade I-C, honestly labeled) but</w:t>
      </w:r>
      <w:r>
        <w:t xml:space="preserve"> </w:t>
      </w:r>
      <w:r>
        <w:t xml:space="preserve">becomes one the moment its UX invites bulk confirmation: forty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  <w:r>
        <w:t xml:space="preserve"> </w:t>
      </w:r>
      <w:r>
        <w:t xml:space="preserve">taps at the end of a shift produce forty signed statements and zero</w:t>
      </w:r>
      <w:r>
        <w:t xml:space="preserve"> </w:t>
      </w:r>
      <w:r>
        <w:t xml:space="preserve">observations. Event emission embedded in the work-order flow, one action per</w:t>
      </w:r>
      <w:r>
        <w:t xml:space="preserve"> </w:t>
      </w:r>
      <w:r>
        <w:t xml:space="preserve">physical act (the Chapter 11 lesson), is the difference between an oracle and</w:t>
      </w:r>
      <w:r>
        <w:t xml:space="preserve"> </w:t>
      </w:r>
      <w:r>
        <w:t xml:space="preserve">a liturgy.</w:t>
      </w:r>
    </w:p>
    <w:p>
      <w:pPr>
        <w:pStyle w:val="BodyText"/>
      </w:pPr>
      <w:r>
        <w:rPr>
          <w:bCs/>
          <w:b/>
        </w:rPr>
        <w:t xml:space="preserve">Figure 4.3</w:t>
      </w:r>
      <w:r>
        <w:t xml:space="preserve"> </w:t>
      </w:r>
      <w:r>
        <w:t xml:space="preserve">The oracle layer as a computation provenance chain. Every arrow</w:t>
      </w:r>
      <w:r>
        <w:t xml:space="preserve"> </w:t>
      </w:r>
      <w:r>
        <w:t xml:space="preserve">carries a signature; every box references its input digests.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PHY[Physical&lt;br&gt;measurement] --&gt; INS[Instrument&lt;br&gt;secure element&lt;br&gt;signs raw data]</w:t>
      </w:r>
      <w:r>
        <w:br/>
      </w:r>
      <w:r>
        <w:rPr>
          <w:rStyle w:val="VerbatimChar"/>
        </w:rPr>
        <w:t xml:space="preserve">    INS --&gt; PROC[Processing step:&lt;br&gt;template / feature&lt;br&gt;extraction, signed]</w:t>
      </w:r>
      <w:r>
        <w:br/>
      </w:r>
      <w:r>
        <w:rPr>
          <w:rStyle w:val="VerbatimChar"/>
        </w:rPr>
        <w:t xml:space="preserve">    PROC --&gt; ATT[Attestation:&lt;br&gt;claim + input digests&lt;br&gt;+ corroborations]</w:t>
      </w:r>
      <w:r>
        <w:br/>
      </w:r>
      <w:r>
        <w:rPr>
          <w:rStyle w:val="VerbatimChar"/>
        </w:rPr>
        <w:t xml:space="preserve">    ATT --&gt; SM[Lifecycle contract:&lt;br&gt;schema + corroboration&lt;br&gt;class checks]</w:t>
      </w:r>
      <w:r>
        <w:br/>
      </w:r>
      <w:r>
        <w:rPr>
          <w:rStyle w:val="VerbatimChar"/>
        </w:rPr>
        <w:t xml:space="preserve">    SM --&gt; LEDG[Ledger commit]</w:t>
      </w:r>
      <w:r>
        <w:br/>
      </w:r>
      <w:r>
        <w:rPr>
          <w:rStyle w:val="VerbatimChar"/>
        </w:rPr>
        <w:t xml:space="preserve">    CAL[Calibration events&lt;br&gt;instrument's own DID] -.-&gt; INS</w:t>
      </w:r>
      <w:r>
        <w:br/>
      </w:r>
      <w:r>
        <w:rPr>
          <w:rStyle w:val="VerbatimChar"/>
        </w:rPr>
        <w:t xml:space="preserve">    CO[Corroborating&lt;br&gt;signer / modality] -.-&gt; ATT</w:t>
      </w:r>
    </w:p>
    <w:bookmarkEnd w:id="31"/>
    <w:bookmarkEnd w:id="32"/>
    <w:bookmarkStart w:id="33" w:name="when-not-to-use-a-ledger"/>
    <w:p>
      <w:pPr>
        <w:pStyle w:val="Heading2"/>
      </w:pPr>
      <w:r>
        <w:t xml:space="preserve">4.6 When Not to Use a Ledger</w:t>
      </w:r>
    </w:p>
    <w:p>
      <w:pPr>
        <w:pStyle w:val="FirstParagraph"/>
      </w:pPr>
      <w:r>
        <w:t xml:space="preserve">The decision procedure, stated as the questions an architect should answer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platform selection — this book’s credibility on the affirmative case rests on being</w:t>
      </w:r>
      <w:r>
        <w:t xml:space="preserve"> </w:t>
      </w:r>
      <w:r>
        <w:t xml:space="preserve">serious about the negative one: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 there more than one writer whose interests conflict?</w:t>
      </w:r>
      <w:r>
        <w:t xml:space="preserve"> </w:t>
      </w:r>
      <w:r>
        <w:t xml:space="preserve">A single vertically</w:t>
      </w:r>
      <w:r>
        <w:t xml:space="preserve"> </w:t>
      </w:r>
      <w:r>
        <w:t xml:space="preserve">integrated owner-operator that manufactures, installs, and self-insures has no</w:t>
      </w:r>
      <w:r>
        <w:t xml:space="preserve"> </w:t>
      </w:r>
      <w:r>
        <w:t xml:space="preserve">adversarial counterparty; a signed, append-only database with external timestamping</w:t>
      </w:r>
      <w:r>
        <w:t xml:space="preserve"> </w:t>
      </w:r>
      <w:r>
        <w:t xml:space="preserve">gives it everything a ledger would, cheaper.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Must records outlive the institutions?</w:t>
      </w:r>
      <w:r>
        <w:t xml:space="preserve"> </w:t>
      </w:r>
      <w:r>
        <w:t xml:space="preserve">If every record’s useful life is</w:t>
      </w:r>
      <w:r>
        <w:t xml:space="preserve"> </w:t>
      </w:r>
      <w:r>
        <w:t xml:space="preserve">shorter than the vendor relationship (operational telemetry, most SCADA), the</w:t>
      </w:r>
      <w:r>
        <w:t xml:space="preserve"> </w:t>
      </w:r>
      <w:r>
        <w:t xml:space="preserve">evidential spine adds nothing — keep it in the twin.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 there a binding mechanism?</w:t>
      </w:r>
      <w:r>
        <w:t xml:space="preserve"> </w:t>
      </w:r>
      <w:r>
        <w:t xml:space="preserve">Without Chapter 3’s binding layer, the ledger</w:t>
      </w:r>
      <w:r>
        <w:t xml:space="preserve"> </w:t>
      </w:r>
      <w:r>
        <w:t xml:space="preserve">preserves unverifiable claims. Build binding first or not at all.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 governance be constituted?</w:t>
      </w:r>
      <w:r>
        <w:t xml:space="preserve"> </w:t>
      </w:r>
      <w:r>
        <w:t xml:space="preserve">A consortium that cannot agree on registrar</w:t>
      </w:r>
      <w:r>
        <w:t xml:space="preserve"> </w:t>
      </w:r>
      <w:r>
        <w:t xml:space="preserve">accreditation and dispute procedures will not be saved by consensus algorithms;</w:t>
      </w:r>
      <w:r>
        <w:t xml:space="preserve"> </w:t>
      </w:r>
      <w:r>
        <w:t xml:space="preserve">the protocol automates agreement, it does not manufacture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the records cross jurisdictions or data-protection regimes?</w:t>
      </w:r>
      <w:r>
        <w:t xml:space="preserve"> </w:t>
      </w:r>
      <w:r>
        <w:t xml:space="preserve">If every</w:t>
      </w:r>
      <w:r>
        <w:t xml:space="preserve"> </w:t>
      </w:r>
      <w:r>
        <w:t xml:space="preserve">record, party, and dispute lives inside one legal system with a trusted</w:t>
      </w:r>
      <w:r>
        <w:t xml:space="preserve"> </w:t>
      </w:r>
      <w:r>
        <w:t xml:space="preserve">registry institution (some national metering regimes approximate this), the</w:t>
      </w:r>
      <w:r>
        <w:t xml:space="preserve"> </w:t>
      </w:r>
      <w:r>
        <w:t xml:space="preserve">institution-independence argument weakens and a regulated central registry</w:t>
      </w:r>
      <w:r>
        <w:t xml:space="preserve"> </w:t>
      </w:r>
      <w:r>
        <w:t xml:space="preserve">with published audits may serve. Where assets, owners, and adjudications</w:t>
      </w:r>
      <w:r>
        <w:t xml:space="preserve"> </w:t>
      </w:r>
      <w:r>
        <w:t xml:space="preserve">span borders — the normal case for manufactured energy hardware — no single</w:t>
      </w:r>
      <w:r>
        <w:t xml:space="preserve"> </w:t>
      </w:r>
      <w:r>
        <w:t xml:space="preserve">jurisdiction’s registry commands the necessary standing, and the</w:t>
      </w:r>
      <w:r>
        <w:t xml:space="preserve"> </w:t>
      </w:r>
      <w:r>
        <w:t xml:space="preserve">multi-party architecture earns its cost. This question also selects the</w:t>
      </w:r>
      <w:r>
        <w:t xml:space="preserve"> </w:t>
      </w:r>
      <w:r>
        <w:rPr>
          <w:iCs/>
          <w:i/>
        </w:rPr>
        <w:t xml:space="preserve">topology</w:t>
      </w:r>
      <w:r>
        <w:t xml:space="preserve">: multi-jurisdiction deployments should federate per Section 7.4</w:t>
      </w:r>
      <w:r>
        <w:t xml:space="preserve"> </w:t>
      </w:r>
      <w:r>
        <w:t xml:space="preserve">rather than centralize, for reasons Chapter 10 makes legally concrete.</w:t>
      </w:r>
    </w:p>
    <w:p>
      <w:pPr>
        <w:pStyle w:val="FirstParagraph"/>
      </w:pPr>
      <w:r>
        <w:t xml:space="preserve">Where the answers are yes across the board — which Part I argued is precisely the</w:t>
      </w:r>
      <w:r>
        <w:t xml:space="preserve"> </w:t>
      </w:r>
      <w:r>
        <w:t xml:space="preserve">situation of multi-party, multi-decade, high-value distributed energy assets —</w:t>
      </w:r>
      <w:r>
        <w:t xml:space="preserve"> </w:t>
      </w:r>
      <w:r>
        <w:t xml:space="preserve">the architecture of this chapter applies. Where any answer is no, the honest</w:t>
      </w:r>
      <w:r>
        <w:t xml:space="preserve"> </w:t>
      </w:r>
      <w:r>
        <w:t xml:space="preserve">recommendation is the simpler system, and Chapter 13’s cost model gives the</w:t>
      </w:r>
      <w:r>
        <w:t xml:space="preserve"> </w:t>
      </w:r>
      <w:r>
        <w:t xml:space="preserve">quantitative version of the same discipline.</w:t>
      </w:r>
    </w:p>
    <w:p>
      <w:pPr>
        <w:pStyle w:val="BodyText"/>
      </w:pPr>
      <w:r>
        <w:t xml:space="preserve">Two worked negatives make the discipline concrete.</w:t>
      </w:r>
      <w:r>
        <w:t xml:space="preserve"> </w:t>
      </w:r>
      <w:r>
        <w:rPr>
          <w:iCs/>
          <w:i/>
        </w:rPr>
        <w:t xml:space="preserve">Case one:</w:t>
      </w:r>
      <w:r>
        <w:t xml:space="preserve"> </w:t>
      </w:r>
      <w:r>
        <w:t xml:space="preserve">a vertically</w:t>
      </w:r>
      <w:r>
        <w:t xml:space="preserve"> </w:t>
      </w:r>
      <w:r>
        <w:t xml:space="preserve">integrated utility develops, builds, owns, and operates its own plants with</w:t>
      </w:r>
      <w:r>
        <w:t xml:space="preserve"> </w:t>
      </w:r>
      <w:r>
        <w:t xml:space="preserve">in-house O&amp;M, buys modules under long-term agreements with full factory data</w:t>
      </w:r>
      <w:r>
        <w:t xml:space="preserve"> </w:t>
      </w:r>
      <w:r>
        <w:t xml:space="preserve">access, and self-insures. Question 1 fails — there is no adversarial</w:t>
      </w:r>
      <w:r>
        <w:t xml:space="preserve"> </w:t>
      </w:r>
      <w:r>
        <w:t xml:space="preserve">counterparty in the record’s life — and the right system is a signed,</w:t>
      </w:r>
      <w:r>
        <w:t xml:space="preserve"> </w:t>
      </w:r>
      <w:r>
        <w:t xml:space="preserve">append-only internal register with periodic external timestamping (a</w:t>
      </w:r>
      <w:r>
        <w:t xml:space="preserve"> </w:t>
      </w:r>
      <w:r>
        <w:t xml:space="preserve">notarization service, or indeed a bare public-chain anchor of its own database</w:t>
      </w:r>
      <w:r>
        <w:t xml:space="preserve"> </w:t>
      </w:r>
      <w:r>
        <w:t xml:space="preserve">digests) at a tenth of the governance cost. The honest consultant walks away</w:t>
      </w:r>
      <w:r>
        <w:t xml:space="preserve"> </w:t>
      </w:r>
      <w:r>
        <w:t xml:space="preserve">from this client, or rather, sells them the timestamping.</w:t>
      </w:r>
      <w:r>
        <w:t xml:space="preserve"> </w:t>
      </w:r>
      <w:r>
        <w:rPr>
          <w:iCs/>
          <w:i/>
        </w:rPr>
        <w:t xml:space="preserve">Case two:</w:t>
      </w:r>
      <w:r>
        <w:t xml:space="preserve"> </w:t>
      </w:r>
      <w:r>
        <w:t xml:space="preserve">a</w:t>
      </w:r>
      <w:r>
        <w:t xml:space="preserve"> </w:t>
      </w:r>
      <w:r>
        <w:t xml:space="preserve">residential solar installer wants</w:t>
      </w:r>
      <w:r>
        <w:t xml:space="preserve"> </w:t>
      </w:r>
      <w:r>
        <w:t xml:space="preserve">“</w:t>
      </w:r>
      <w:r>
        <w:t xml:space="preserve">blockchain warranties</w:t>
      </w:r>
      <w:r>
        <w:t xml:space="preserve">”</w:t>
      </w:r>
      <w:r>
        <w:t xml:space="preserve"> </w:t>
      </w:r>
      <w:r>
        <w:t xml:space="preserve">for marketing.</w:t>
      </w:r>
      <w:r>
        <w:t xml:space="preserve"> </w:t>
      </w:r>
      <w:r>
        <w:t xml:space="preserve">Questions 1 and 2 arguably pass (homeowners and installers do have adverse</w:t>
      </w:r>
      <w:r>
        <w:t xml:space="preserve"> </w:t>
      </w:r>
      <w:r>
        <w:t xml:space="preserve">interests over decades), but question 3 fails hard: no binding mechanism exists</w:t>
      </w:r>
      <w:r>
        <w:t xml:space="preserve"> </w:t>
      </w:r>
      <w:r>
        <w:t xml:space="preserve">at consumer economics for the installed base, so the ledger would immutably</w:t>
      </w:r>
      <w:r>
        <w:t xml:space="preserve"> </w:t>
      </w:r>
      <w:r>
        <w:t xml:space="preserve">record unverifiable claims about unverifiable hardware — garbage-in permanence</w:t>
      </w:r>
      <w:r>
        <w:t xml:space="preserve"> </w:t>
      </w:r>
      <w:r>
        <w:t xml:space="preserve">sold as a feature. The right first investment is enrollment tooling, not</w:t>
      </w:r>
      <w:r>
        <w:t xml:space="preserve"> </w:t>
      </w:r>
      <w:r>
        <w:t xml:space="preserve">consensus infrastructure. The pattern generalizes: when the answer to any</w:t>
      </w:r>
      <w:r>
        <w:t xml:space="preserve"> </w:t>
      </w:r>
      <w:r>
        <w:t xml:space="preserve">question is no, there is usually a</w:t>
      </w:r>
      <w:r>
        <w:t xml:space="preserve"> </w:t>
      </w:r>
      <w:r>
        <w:rPr>
          <w:iCs/>
          <w:i/>
        </w:rPr>
        <w:t xml:space="preserve">cheaper subset</w:t>
      </w:r>
      <w:r>
        <w:t xml:space="preserve"> </w:t>
      </w:r>
      <w:r>
        <w:t xml:space="preserve">of the architecture worth</w:t>
      </w:r>
      <w:r>
        <w:t xml:space="preserve"> </w:t>
      </w:r>
      <w:r>
        <w:t xml:space="preserve">having (signatures, timestamping, binding alone), and selling the whole stack</w:t>
      </w:r>
      <w:r>
        <w:t xml:space="preserve"> </w:t>
      </w:r>
      <w:r>
        <w:t xml:space="preserve">anyway is how the first wave earned its reputation.</w:t>
      </w:r>
    </w:p>
    <w:bookmarkEnd w:id="33"/>
    <w:bookmarkStart w:id="34" w:name="X911606c5edddc864cfa60befb2e331d95499ffb"/>
    <w:p>
      <w:pPr>
        <w:pStyle w:val="Heading2"/>
      </w:pPr>
      <w:r>
        <w:t xml:space="preserve">4.7 Node Architecture and Deployment Topology</w:t>
      </w:r>
    </w:p>
    <w:p>
      <w:pPr>
        <w:pStyle w:val="FirstParagraph"/>
      </w:pPr>
      <w:r>
        <w:t xml:space="preserve">The chapter closes its constructive work with the deployment view — what</w:t>
      </w:r>
      <w:r>
        <w:t xml:space="preserve"> </w:t>
      </w:r>
      <w:r>
        <w:t xml:space="preserve">actually runs where — because architecture documents that stop at logical</w:t>
      </w:r>
      <w:r>
        <w:t xml:space="preserve"> </w:t>
      </w:r>
      <w:r>
        <w:t xml:space="preserve">layers leave every operational decision to the integrator, and several of</w:t>
      </w:r>
      <w:r>
        <w:t xml:space="preserve"> </w:t>
      </w:r>
      <w:r>
        <w:t xml:space="preserve">those decisions carry security weight.</w:t>
      </w:r>
    </w:p>
    <w:p>
      <w:pPr>
        <w:pStyle w:val="BodyText"/>
      </w:pPr>
      <w:r>
        <w:rPr>
          <w:bCs/>
          <w:b/>
        </w:rPr>
        <w:t xml:space="preserve">Figure 4.4</w:t>
      </w:r>
      <w:r>
        <w:t xml:space="preserve"> </w:t>
      </w:r>
      <w:r>
        <w:t xml:space="preserve">Deployment topology for a national-scale identity layer. Every</w:t>
      </w:r>
      <w:r>
        <w:t xml:space="preserve"> </w:t>
      </w:r>
      <w:r>
        <w:t xml:space="preserve">organization runs the components in its own box; nothing in the architecture</w:t>
      </w:r>
      <w:r>
        <w:t xml:space="preserve"> </w:t>
      </w:r>
      <w:r>
        <w:t xml:space="preserve">requires shared infrastructure beyond the protocols.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MFR [Manufacturer premises]</w:t>
      </w:r>
      <w:r>
        <w:br/>
      </w:r>
      <w:r>
        <w:rPr>
          <w:rStyle w:val="VerbatimChar"/>
        </w:rPr>
        <w:t xml:space="preserve">        QA[QA instruments I-A] --&gt; RAG[Registrar agent + HSM]</w:t>
      </w:r>
      <w:r>
        <w:br/>
      </w:r>
      <w:r>
        <w:rPr>
          <w:rStyle w:val="VerbatimChar"/>
        </w:rPr>
        <w:t xml:space="preserve">        RAG --&gt; VN1[Validator node]</w:t>
      </w:r>
      <w:r>
        <w:br/>
      </w:r>
      <w:r>
        <w:rPr>
          <w:rStyle w:val="VerbatimChar"/>
        </w:rPr>
        <w:t xml:space="preserve">        RAG --&gt; ST1[(Custody store)]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OWN [Owner / operator]</w:t>
      </w:r>
      <w:r>
        <w:br/>
      </w:r>
      <w:r>
        <w:rPr>
          <w:rStyle w:val="VerbatimChar"/>
        </w:rPr>
        <w:t xml:space="preserve">        WOS[Work-order system&lt;br&gt;event emission] --&gt; VN2[Validator node]</w:t>
      </w:r>
      <w:r>
        <w:br/>
      </w:r>
      <w:r>
        <w:rPr>
          <w:rStyle w:val="VerbatimChar"/>
        </w:rPr>
        <w:t xml:space="preserve">        ST2[(Custody store)]</w:t>
      </w:r>
      <w:r>
        <w:br/>
      </w:r>
      <w:r>
        <w:rPr>
          <w:rStyle w:val="VerbatimChar"/>
        </w:rPr>
        <w:t xml:space="preserve">        MONC[Cohort monitor&lt;br&gt;read-side]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INSR [Insurer / certifier / archival]</w:t>
      </w:r>
      <w:r>
        <w:br/>
      </w:r>
      <w:r>
        <w:rPr>
          <w:rStyle w:val="VerbatimChar"/>
        </w:rPr>
        <w:t xml:space="preserve">        VC2[Verification clients] --&gt; RR[Read replica&lt;br&gt;+ proof service]</w:t>
      </w:r>
      <w:r>
        <w:br/>
      </w:r>
      <w:r>
        <w:rPr>
          <w:rStyle w:val="VerbatimChar"/>
        </w:rPr>
        <w:t xml:space="preserve">        VN3[Validator nodes ×k]</w:t>
      </w:r>
      <w:r>
        <w:br/>
      </w:r>
      <w:r>
        <w:rPr>
          <w:rStyle w:val="VerbatimChar"/>
        </w:rPr>
        <w:t xml:space="preserve">        ST3[(Archival custody&lt;br&gt;+ cold export)]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FIELD [Field]</w:t>
      </w:r>
      <w:r>
        <w:br/>
      </w:r>
      <w:r>
        <w:rPr>
          <w:rStyle w:val="VerbatimChar"/>
        </w:rPr>
        <w:t xml:space="preserve">        HH2[Handheld verify kits I-B]</w:t>
      </w:r>
      <w:r>
        <w:br/>
      </w:r>
      <w:r>
        <w:rPr>
          <w:rStyle w:val="VerbatimChar"/>
        </w:rPr>
        <w:t xml:space="preserve">        INV2[Active devices I-A]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VN1 &lt;--&gt; VN2</w:t>
      </w:r>
      <w:r>
        <w:br/>
      </w:r>
      <w:r>
        <w:rPr>
          <w:rStyle w:val="VerbatimChar"/>
        </w:rPr>
        <w:t xml:space="preserve">    VN2 &lt;--&gt; VN3</w:t>
      </w:r>
      <w:r>
        <w:br/>
      </w:r>
      <w:r>
        <w:rPr>
          <w:rStyle w:val="VerbatimChar"/>
        </w:rPr>
        <w:t xml:space="preserve">    VN1 &lt;--&gt; VN3</w:t>
      </w:r>
      <w:r>
        <w:br/>
      </w:r>
      <w:r>
        <w:rPr>
          <w:rStyle w:val="VerbatimChar"/>
        </w:rPr>
        <w:t xml:space="preserve">    VN3 --&gt; ANCC[Anchor agent] --&gt; PUB2[Public chains ×2]</w:t>
      </w:r>
      <w:r>
        <w:br/>
      </w:r>
      <w:r>
        <w:rPr>
          <w:rStyle w:val="VerbatimChar"/>
        </w:rPr>
        <w:t xml:space="preserve">    HH2 --&gt; WOS</w:t>
      </w:r>
      <w:r>
        <w:br/>
      </w:r>
      <w:r>
        <w:rPr>
          <w:rStyle w:val="VerbatimChar"/>
        </w:rPr>
        <w:t xml:space="preserve">    INV2 --&gt; WOS</w:t>
      </w:r>
      <w:r>
        <w:br/>
      </w:r>
      <w:r>
        <w:rPr>
          <w:rStyle w:val="VerbatimChar"/>
        </w:rPr>
        <w:t xml:space="preserve">    RR --&gt; EXT[External verifiers:&lt;br&gt;buyers, lenders, regulators]</w:t>
      </w:r>
    </w:p>
    <w:p>
      <w:pPr>
        <w:pStyle w:val="FirstParagraph"/>
      </w:pPr>
      <w:r>
        <w:t xml:space="preserve">Four topology decisions deserve their rationale.</w:t>
      </w:r>
      <w:r>
        <w:t xml:space="preserve"> </w:t>
      </w:r>
      <w:r>
        <w:rPr>
          <w:bCs/>
          <w:b/>
        </w:rPr>
        <w:t xml:space="preserve">Validators live with their</w:t>
      </w:r>
      <w:r>
        <w:rPr>
          <w:bCs/>
          <w:b/>
        </w:rPr>
        <w:t xml:space="preserve"> </w:t>
      </w:r>
      <w:r>
        <w:rPr>
          <w:bCs/>
          <w:b/>
        </w:rPr>
        <w:t xml:space="preserve">institutions</w:t>
      </w:r>
      <w:r>
        <w:t xml:space="preserve">, not in a shared cloud account: the consortium’s fault tolerance</w:t>
      </w:r>
      <w:r>
        <w:t xml:space="preserve"> </w:t>
      </w:r>
      <w:r>
        <w:t xml:space="preserve">is institutional, and co-locating validators under one hosting contract quietly</w:t>
      </w:r>
      <w:r>
        <w:t xml:space="preserve"> </w:t>
      </w:r>
      <w:r>
        <w:t xml:space="preserve">converts (f &lt; n/3) Byzantine tolerance into a single procurement decision —</w:t>
      </w:r>
      <w:r>
        <w:t xml:space="preserve"> </w:t>
      </w:r>
      <w:r>
        <w:t xml:space="preserve">the operational-centralization trap Chapter 10 warns about, in infrastructure</w:t>
      </w:r>
      <w:r>
        <w:t xml:space="preserve"> </w:t>
      </w:r>
      <w:r>
        <w:t xml:space="preserve">form.</w:t>
      </w:r>
      <w:r>
        <w:t xml:space="preserve"> </w:t>
      </w:r>
      <w:r>
        <w:rPr>
          <w:bCs/>
          <w:b/>
        </w:rPr>
        <w:t xml:space="preserve">Read replicas are promiscuous by design</w:t>
      </w:r>
      <w:r>
        <w:t xml:space="preserve">: any party may operate one</w:t>
      </w:r>
      <w:r>
        <w:t xml:space="preserve"> </w:t>
      </w:r>
      <w:r>
        <w:t xml:space="preserve">from the public header stream plus consortium data-access agreements, proofs</w:t>
      </w:r>
      <w:r>
        <w:t xml:space="preserve"> </w:t>
      </w:r>
      <w:r>
        <w:t xml:space="preserve">make them trustless, and the architecture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insurers and data vendors</w:t>
      </w:r>
      <w:r>
        <w:t xml:space="preserve"> </w:t>
      </w:r>
      <w:r>
        <w:t xml:space="preserve">running their own — read capacity and read independence grow together.</w:t>
      </w:r>
      <w:r>
        <w:t xml:space="preserve"> </w:t>
      </w:r>
      <w:r>
        <w:rPr>
          <w:bCs/>
          <w:b/>
        </w:rPr>
        <w:t xml:space="preserve">Field equipment is a cache, not an authority</w:t>
      </w:r>
      <w:r>
        <w:t xml:space="preserve">: handhelds and gateways hold</w:t>
      </w:r>
      <w:r>
        <w:t xml:space="preserve"> </w:t>
      </w:r>
      <w:r>
        <w:t xml:space="preserve">header checkpoints and asset bundles for offline verification, sync</w:t>
      </w:r>
      <w:r>
        <w:t xml:space="preserve"> </w:t>
      </w:r>
      <w:r>
        <w:t xml:space="preserve">opportunistically, and never hold write credentials beyond their operator’s</w:t>
      </w:r>
      <w:r>
        <w:t xml:space="preserve"> </w:t>
      </w:r>
      <w:r>
        <w:t xml:space="preserve">own signing scope; a stolen handheld is an inconvenience, not an incident.</w:t>
      </w:r>
      <w:r>
        <w:t xml:space="preserve"> </w:t>
      </w:r>
      <w:r>
        <w:rPr>
          <w:bCs/>
          <w:b/>
        </w:rPr>
        <w:t xml:space="preserve">The anchor agent is duplicated and dumb</w:t>
      </w:r>
      <w:r>
        <w:t xml:space="preserve">: two independent implementations</w:t>
      </w:r>
      <w:r>
        <w:t xml:space="preserve"> </w:t>
      </w:r>
      <w:r>
        <w:t xml:space="preserve">at different members, each posting to both public chains; anchoring is the one</w:t>
      </w:r>
      <w:r>
        <w:t xml:space="preserve"> </w:t>
      </w:r>
      <w:r>
        <w:t xml:space="preserve">function where a silent common-mode bug would cost dearly and where redundancy</w:t>
      </w:r>
      <w:r>
        <w:t xml:space="preserve"> </w:t>
      </w:r>
      <w:r>
        <w:t xml:space="preserve">costs almost nothing.</w:t>
      </w:r>
    </w:p>
    <w:p>
      <w:pPr>
        <w:pStyle w:val="BodyText"/>
      </w:pPr>
      <w:r>
        <w:t xml:space="preserve">Sizing, for planning purposes at national scale (the Chapter 7 model gives the</w:t>
      </w:r>
      <w:r>
        <w:t xml:space="preserve"> </w:t>
      </w:r>
      <w:r>
        <w:t xml:space="preserve">derivation): validator nodes are modest servers — the consensus workload is</w:t>
      </w:r>
      <w:r>
        <w:t xml:space="preserve"> </w:t>
      </w:r>
      <w:r>
        <w:t xml:space="preserve">tens of transactions per second of kilobyte envelopes — whose real requirements</w:t>
      </w:r>
      <w:r>
        <w:t xml:space="preserve"> </w:t>
      </w:r>
      <w:r>
        <w:t xml:space="preserve">are operational (monitored, patched, HSM-attached, twenty-year procurement</w:t>
      </w:r>
      <w:r>
        <w:t xml:space="preserve"> </w:t>
      </w:r>
      <w:r>
        <w:t xml:space="preserve">continuity); custody stores are ordinary object storage at low-petabyte fleet</w:t>
      </w:r>
      <w:r>
        <w:t xml:space="preserve"> </w:t>
      </w:r>
      <w:r>
        <w:t xml:space="preserve">scale; read replicas size to their query customers, not to the ledger. The</w:t>
      </w:r>
      <w:r>
        <w:t xml:space="preserve"> </w:t>
      </w:r>
      <w:r>
        <w:t xml:space="preserve">whole national deployment’s compute footprint is smaller than a mid-size</w:t>
      </w:r>
      <w:r>
        <w:t xml:space="preserve"> </w:t>
      </w:r>
      <w:r>
        <w:t xml:space="preserve">bank’s test environment, a fact worth stating because the sector’s</w:t>
      </w:r>
      <w:r>
        <w:t xml:space="preserve"> </w:t>
      </w:r>
      <w:r>
        <w:t xml:space="preserve">first-wave skepticism priced blockchain infrastructure by cryptocurrency</w:t>
      </w:r>
      <w:r>
        <w:t xml:space="preserve"> </w:t>
      </w:r>
      <w:r>
        <w:t xml:space="preserve">precedents. The costs that matter are institutional — HSM ceremonies,</w:t>
      </w:r>
      <w:r>
        <w:t xml:space="preserve"> </w:t>
      </w:r>
      <w:r>
        <w:t xml:space="preserve">accreditation audits, custody contracts, governance — and they are the subject</w:t>
      </w:r>
      <w:r>
        <w:t xml:space="preserve"> </w:t>
      </w:r>
      <w:r>
        <w:t xml:space="preserve">of Chapters 10 and 13.</w:t>
      </w:r>
    </w:p>
    <w:p>
      <w:pPr>
        <w:pStyle w:val="BodyText"/>
      </w:pPr>
      <w:r>
        <w:t xml:space="preserve">A failure walkthrough closes the topology, because resilience claims deserve a</w:t>
      </w:r>
      <w:r>
        <w:t xml:space="preserve"> </w:t>
      </w:r>
      <w:r>
        <w:t xml:space="preserve">scenario. Suppose, in year 8, the owner-side validator suffers a ransomware</w:t>
      </w:r>
      <w:r>
        <w:t xml:space="preserve"> </w:t>
      </w:r>
      <w:r>
        <w:t xml:space="preserve">incident and its custody store is encrypted by an attacker. Consensus</w:t>
      </w:r>
      <w:r>
        <w:t xml:space="preserve"> </w:t>
      </w:r>
      <w:r>
        <w:t xml:space="preserve">continues — fifteen of sixteen validators exceed the BFT quorum comfortably —</w:t>
      </w:r>
      <w:r>
        <w:t xml:space="preserve"> </w:t>
      </w:r>
      <w:r>
        <w:t xml:space="preserve">and the incident validator is expelled by governance event, rebuilt from an</w:t>
      </w:r>
      <w:r>
        <w:t xml:space="preserve"> </w:t>
      </w:r>
      <w:r>
        <w:t xml:space="preserve">epochal checkpoint (Section 7.3), and re-admitted after audit; total ledger</w:t>
      </w:r>
      <w:r>
        <w:t xml:space="preserve"> </w:t>
      </w:r>
      <w:r>
        <w:t xml:space="preserve">impact, none. The custody loss is likewise absorbed: every payload the owner</w:t>
      </w:r>
      <w:r>
        <w:t xml:space="preserve"> </w:t>
      </w:r>
      <w:r>
        <w:t xml:space="preserve">held exists at the manufacturer and archival replicas; the retrievability</w:t>
      </w:r>
      <w:r>
        <w:t xml:space="preserve"> </w:t>
      </w:r>
      <w:r>
        <w:t xml:space="preserve">audit detects the store’s failure within its challenge cycle; re-replication</w:t>
      </w:r>
      <w:r>
        <w:t xml:space="preserve"> </w:t>
      </w:r>
      <w:r>
        <w:t xml:space="preserve">to a replacement store proceeds under the standing procedure; and the</w:t>
      </w:r>
      <w:r>
        <w:t xml:space="preserve"> </w:t>
      </w:r>
      <w:r>
        <w:t xml:space="preserve">attacker holds ciphertext (Section 4.2.1’s encryption at rest) whose keys</w:t>
      </w:r>
      <w:r>
        <w:t xml:space="preserve"> </w:t>
      </w:r>
      <w:r>
        <w:t xml:space="preserve">lived in the owner’s HSM, not on the encrypted volumes. The single genuinely</w:t>
      </w:r>
      <w:r>
        <w:t xml:space="preserve"> </w:t>
      </w:r>
      <w:r>
        <w:t xml:space="preserve">dangerous variant — the same incident at a store holding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replica of</w:t>
      </w:r>
      <w:r>
        <w:t xml:space="preserve"> </w:t>
      </w:r>
      <w:r>
        <w:t xml:space="preserve">some payload class — is precisely what the divergent-interest replica policy</w:t>
      </w:r>
      <w:r>
        <w:t xml:space="preserve"> </w:t>
      </w:r>
      <w:r>
        <w:t xml:space="preserve">exists to make un-constructible, and the weekly audit turns</w:t>
      </w:r>
      <w:r>
        <w:t xml:space="preserve"> </w:t>
      </w:r>
      <w:r>
        <w:t xml:space="preserve">“</w:t>
      </w:r>
      <w:r>
        <w:t xml:space="preserve">we assumed the</w:t>
      </w:r>
      <w:r>
        <w:t xml:space="preserve"> </w:t>
      </w:r>
      <w:r>
        <w:t xml:space="preserve">replicas existed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we measured that they did.</w:t>
      </w:r>
      <w:r>
        <w:t xml:space="preserve">”</w:t>
      </w:r>
      <w:r>
        <w:t xml:space="preserve"> </w:t>
      </w:r>
      <w:r>
        <w:t xml:space="preserve">Contrast the status-quo</w:t>
      </w:r>
      <w:r>
        <w:t xml:space="preserve"> </w:t>
      </w:r>
      <w:r>
        <w:t xml:space="preserve">counterfactual, in which the same ransomware event at an O&amp;M contractor</w:t>
      </w:r>
      <w:r>
        <w:t xml:space="preserve"> </w:t>
      </w:r>
      <w:r>
        <w:t xml:space="preserve">deletes the only copy of a decade of inspection reports; the sector does not</w:t>
      </w:r>
      <w:r>
        <w:t xml:space="preserve"> </w:t>
      </w:r>
      <w:r>
        <w:t xml:space="preserve">have to imagine this scenario, because it happens.</w:t>
      </w:r>
    </w:p>
    <w:bookmarkEnd w:id="34"/>
    <w:bookmarkStart w:id="35" w:name="chapter-summary"/>
    <w:p>
      <w:pPr>
        <w:pStyle w:val="Heading2"/>
      </w:pPr>
      <w:r>
        <w:t xml:space="preserve">4.8 Chapter Summary</w:t>
      </w:r>
    </w:p>
    <w:p>
      <w:pPr>
        <w:pStyle w:val="FirstParagraph"/>
      </w:pPr>
      <w:r>
        <w:t xml:space="preserve">The identity layer’s design falls out of its workload, and the chapter has now</w:t>
      </w:r>
      <w:r>
        <w:t xml:space="preserve"> </w:t>
      </w:r>
      <w:r>
        <w:t xml:space="preserve">walked the full path from numbers to running systems. The workload analysis</w:t>
      </w:r>
      <w:r>
        <w:t xml:space="preserve"> </w:t>
      </w:r>
      <w:r>
        <w:t xml:space="preserve">(Table 4.1) split the record stream into a small evidential core and enormous</w:t>
      </w:r>
      <w:r>
        <w:t xml:space="preserve"> </w:t>
      </w:r>
      <w:r>
        <w:t xml:space="preserve">payloads, and Table 4.2 converted that split into requirements with</w:t>
      </w:r>
      <w:r>
        <w:t xml:space="preserve"> </w:t>
      </w:r>
      <w:r>
        <w:t xml:space="preserve">derivations — durability and enrollment cost being the rows that filter</w:t>
      </w:r>
      <w:r>
        <w:t xml:space="preserve"> </w:t>
      </w:r>
      <w:r>
        <w:t xml:space="preserve">platforms hardest. The on-chain/off-chain partition stores commitments and</w:t>
      </w:r>
      <w:r>
        <w:t xml:space="preserve"> </w:t>
      </w:r>
      <w:r>
        <w:t xml:space="preserve">state on a BFT consortium ledger and content in replicated custody with</w:t>
      </w:r>
      <w:r>
        <w:t xml:space="preserve"> </w:t>
      </w:r>
      <w:r>
        <w:t xml:space="preserve">divergent interests, disciplined by canonical serialization, mutable content</w:t>
      </w:r>
      <w:r>
        <w:t xml:space="preserve"> </w:t>
      </w:r>
      <w:r>
        <w:t xml:space="preserve">references over immutable digests, and weekly retrievability challenges with</w:t>
      </w:r>
      <w:r>
        <w:t xml:space="preserve"> </w:t>
      </w:r>
      <w:r>
        <w:t xml:space="preserve">contractual teeth. Trust originates at manufacture-time issuance — enrollment</w:t>
      </w:r>
      <w:r>
        <w:t xml:space="preserve"> </w:t>
      </w:r>
      <w:r>
        <w:t xml:space="preserve">folded into existing factory QA at zero marginal takt time, exception paths</w:t>
      </w:r>
      <w:r>
        <w:t xml:space="preserve"> </w:t>
      </w:r>
      <w:r>
        <w:t xml:space="preserve">that never permit unsigned enrollment, composition references that make</w:t>
      </w:r>
      <w:r>
        <w:t xml:space="preserve"> </w:t>
      </w:r>
      <w:r>
        <w:t xml:space="preserve">supply-chain claims auditable, plural accredited registrars, and honest</w:t>
      </w:r>
      <w:r>
        <w:t xml:space="preserve"> </w:t>
      </w:r>
      <w:r>
        <w:t xml:space="preserve">labeling of retroactive enrollments. Public-chain anchoring rents an</w:t>
      </w:r>
      <w:r>
        <w:t xml:space="preserve"> </w:t>
      </w:r>
      <w:r>
        <w:t xml:space="preserve">immutability stronger than any consortium’s promise for cents a day, with</w:t>
      </w:r>
      <w:r>
        <w:t xml:space="preserve"> </w:t>
      </w:r>
      <w:r>
        <w:t xml:space="preserve">anchor contents designed to be parsed by strangers and event-triggered anchors</w:t>
      </w:r>
      <w:r>
        <w:t xml:space="preserve"> </w:t>
      </w:r>
      <w:r>
        <w:t xml:space="preserve">for the records that cannot wait. The oracle layer holds the whole</w:t>
      </w:r>
      <w:r>
        <w:t xml:space="preserve"> </w:t>
      </w:r>
      <w:r>
        <w:t xml:space="preserve">construction to the physical world through three rules — sign at the sensor,</w:t>
      </w:r>
      <w:r>
        <w:t xml:space="preserve"> </w:t>
      </w:r>
      <w:r>
        <w:t xml:space="preserve">corroborate in proportion to incentive with genuine independence, and treat</w:t>
      </w:r>
      <w:r>
        <w:t xml:space="preserve"> </w:t>
      </w:r>
      <w:r>
        <w:t xml:space="preserve">instruments as assets graded I-A through I-D. And the decision discipline of</w:t>
      </w:r>
      <w:r>
        <w:t xml:space="preserve"> </w:t>
      </w:r>
      <w:r>
        <w:t xml:space="preserve">Section 4.6, with its worked negatives, keeps the architecture honest about</w:t>
      </w:r>
      <w:r>
        <w:t xml:space="preserve"> </w:t>
      </w:r>
      <w:r>
        <w:t xml:space="preserve">when not to deploy it. The event stream this layer carries needs a formal</w:t>
      </w:r>
      <w:r>
        <w:t xml:space="preserve"> </w:t>
      </w:r>
      <w:r>
        <w:t xml:space="preserve">vocabulary — which events exist, what each must contain, and which transitions</w:t>
      </w:r>
      <w:r>
        <w:t xml:space="preserve"> </w:t>
      </w:r>
      <w:r>
        <w:t xml:space="preserve">are legal. That vocabulary is Chapter 5.</w:t>
      </w:r>
    </w:p>
    <w:bookmarkEnd w:id="35"/>
    <w:bookmarkStart w:id="36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4"/>
        </w:numPr>
        <w:pStyle w:val="Compact"/>
      </w:pPr>
      <w:r>
        <w:t xml:space="preserve">Eberhardt, J., and S. Tai.</w:t>
      </w:r>
      <w:r>
        <w:t xml:space="preserve"> </w:t>
      </w:r>
      <w:r>
        <w:t xml:space="preserve">“</w:t>
      </w:r>
      <w:r>
        <w:t xml:space="preserve">On or Off the Blockchain? Insights on Off-Chaining</w:t>
      </w:r>
      <w:r>
        <w:t xml:space="preserve"> </w:t>
      </w:r>
      <w:r>
        <w:t xml:space="preserve">Computation and Data.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Service-Oriented and Cloud Computing (ESOCC 2017)</w:t>
      </w:r>
      <w:r>
        <w:t xml:space="preserve">,</w:t>
      </w:r>
      <w:r>
        <w:t xml:space="preserve"> </w:t>
      </w:r>
      <w:r>
        <w:t xml:space="preserve">3–15. Springer, 2017. The systematic treatment of the partition pattern</w:t>
      </w:r>
      <w:r>
        <w:t xml:space="preserve"> </w:t>
      </w:r>
      <w:r>
        <w:t xml:space="preserve">Section 4.2 applies.</w:t>
      </w:r>
    </w:p>
    <w:p>
      <w:pPr>
        <w:numPr>
          <w:ilvl w:val="0"/>
          <w:numId w:val="1004"/>
        </w:numPr>
        <w:pStyle w:val="Compact"/>
      </w:pPr>
      <w:r>
        <w:t xml:space="preserve">Haber, S., and W. S. Stornetta.</w:t>
      </w:r>
      <w:r>
        <w:t xml:space="preserve"> </w:t>
      </w:r>
      <w:r>
        <w:t xml:space="preserve">“</w:t>
      </w:r>
      <w:r>
        <w:t xml:space="preserve">How to Time-Stamp a Digital Document.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Cryptology</w:t>
      </w:r>
      <w:r>
        <w:t xml:space="preserve"> </w:t>
      </w:r>
      <w:r>
        <w:t xml:space="preserve">3, no. 2 (1991): 99–111.</w:t>
      </w:r>
    </w:p>
    <w:p>
      <w:pPr>
        <w:numPr>
          <w:ilvl w:val="0"/>
          <w:numId w:val="1004"/>
        </w:numPr>
        <w:pStyle w:val="Compact"/>
      </w:pPr>
      <w:r>
        <w:t xml:space="preserve">Juels, A., and B. S. Kaliski.</w:t>
      </w:r>
      <w:r>
        <w:t xml:space="preserve"> </w:t>
      </w:r>
      <w:r>
        <w:t xml:space="preserve">“</w:t>
      </w:r>
      <w:r>
        <w:t xml:space="preserve">PORs: Proofs of Retrievability for Large Files.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14th ACM Conference on Computer and Communications</w:t>
      </w:r>
      <w:r>
        <w:rPr>
          <w:iCs/>
          <w:i/>
        </w:rPr>
        <w:t xml:space="preserve"> </w:t>
      </w:r>
      <w:r>
        <w:rPr>
          <w:iCs/>
          <w:i/>
        </w:rPr>
        <w:t xml:space="preserve">Security (CCS ’07)</w:t>
      </w:r>
      <w:r>
        <w:t xml:space="preserve">, 584–597. ACM, 2007.</w:t>
      </w:r>
    </w:p>
    <w:p>
      <w:pPr>
        <w:numPr>
          <w:ilvl w:val="0"/>
          <w:numId w:val="1004"/>
        </w:numPr>
        <w:pStyle w:val="Compact"/>
      </w:pPr>
      <w:r>
        <w:t xml:space="preserve">Bormann, C., and P. Hoffman.</w:t>
      </w:r>
      <w:r>
        <w:t xml:space="preserve"> </w:t>
      </w:r>
      <w:r>
        <w:rPr>
          <w:iCs/>
          <w:i/>
        </w:rPr>
        <w:t xml:space="preserve">Concise Binary Object Representation (CBOR).</w:t>
      </w:r>
      <w:r>
        <w:t xml:space="preserve"> </w:t>
      </w:r>
      <w:r>
        <w:t xml:space="preserve">RFC 8949, IETF, 2020 (deterministic encoding, §4.2).</w:t>
      </w:r>
    </w:p>
    <w:p>
      <w:pPr>
        <w:numPr>
          <w:ilvl w:val="0"/>
          <w:numId w:val="1004"/>
        </w:numPr>
        <w:pStyle w:val="Compact"/>
      </w:pPr>
      <w:r>
        <w:t xml:space="preserve">Al-Breiki, H., M. H. U. Rehman, K. Salah, and D. Svetinovic.</w:t>
      </w:r>
      <w:r>
        <w:t xml:space="preserve"> </w:t>
      </w:r>
      <w:r>
        <w:t xml:space="preserve">“</w:t>
      </w:r>
      <w:r>
        <w:t xml:space="preserve">Trustworthy</w:t>
      </w:r>
      <w:r>
        <w:t xml:space="preserve"> </w:t>
      </w:r>
      <w:r>
        <w:t xml:space="preserve">Blockchain Oracles: Review, Comparison, and Open Research Challenges.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8 (2020): 85675–85685.</w:t>
      </w:r>
    </w:p>
    <w:p>
      <w:pPr>
        <w:numPr>
          <w:ilvl w:val="0"/>
          <w:numId w:val="1004"/>
        </w:numPr>
        <w:pStyle w:val="Compac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ISO/IEC 17025: General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 for the Competence of Testing and Calibration Laboratories.</w:t>
      </w:r>
      <w:r>
        <w:t xml:space="preserve"> </w:t>
      </w:r>
      <w:r>
        <w:t xml:space="preserve">Geneva: ISO.</w:t>
      </w:r>
    </w:p>
    <w:p>
      <w:pPr>
        <w:numPr>
          <w:ilvl w:val="0"/>
          <w:numId w:val="1004"/>
        </w:numPr>
        <w:pStyle w:val="Compact"/>
      </w:pPr>
      <w:r>
        <w:t xml:space="preserve">Wüst, K., and A. Gervais.</w:t>
      </w:r>
      <w:r>
        <w:t xml:space="preserve"> </w:t>
      </w:r>
      <w:r>
        <w:t xml:space="preserve">“</w:t>
      </w:r>
      <w:r>
        <w:t xml:space="preserve">Do You Need a Blockchain?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2018 Crypto Valley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Blockchain Technology (CVCBT)</w:t>
      </w:r>
      <w:r>
        <w:t xml:space="preserve">, 45–54. IEEE, 2018.</w:t>
      </w:r>
    </w:p>
    <w:p>
      <w:pPr>
        <w:numPr>
          <w:ilvl w:val="0"/>
          <w:numId w:val="1004"/>
        </w:numPr>
        <w:pStyle w:val="Compact"/>
      </w:pPr>
      <w:r>
        <w:t xml:space="preserve">Consultative Committee for Space Data Systems.</w:t>
      </w:r>
      <w:r>
        <w:t xml:space="preserve"> </w:t>
      </w:r>
      <w:r>
        <w:rPr>
          <w:iCs/>
          <w:i/>
        </w:rPr>
        <w:t xml:space="preserve">Reference Model for an Open</w:t>
      </w:r>
      <w:r>
        <w:rPr>
          <w:iCs/>
          <w:i/>
        </w:rPr>
        <w:t xml:space="preserve"> </w:t>
      </w:r>
      <w:r>
        <w:rPr>
          <w:iCs/>
          <w:i/>
        </w:rPr>
        <w:t xml:space="preserve">Archival Information System (OAIS).</w:t>
      </w:r>
      <w:r>
        <w:t xml:space="preserve"> </w:t>
      </w:r>
      <w:r>
        <w:t xml:space="preserve">CCSDS 650.0-M-3. The digital-preservation</w:t>
      </w:r>
      <w:r>
        <w:t xml:space="preserve"> </w:t>
      </w:r>
      <w:r>
        <w:t xml:space="preserve">discipline behind Section 4.2.1’s format-longevity rules.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2026-07-03T09:17:36Z</dcterms:created>
  <dcterms:modified xsi:type="dcterms:W3CDTF">2026-07-03T09:17:36Z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