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Blockchain-Based</w:t>
      </w:r>
      <w:r>
        <w:t xml:space="preserve"> </w:t>
      </w:r>
      <w:r>
        <w:t xml:space="preserve">Identity</w:t>
      </w:r>
      <w:r>
        <w:t xml:space="preserve"> </w:t>
      </w:r>
      <w:r>
        <w:t xml:space="preserve">and</w:t>
      </w:r>
      <w:r>
        <w:t xml:space="preserve"> </w:t>
      </w:r>
      <w:r>
        <w:t xml:space="preserve">Provenance</w:t>
      </w:r>
      <w:r>
        <w:t xml:space="preserve"> </w:t>
      </w:r>
      <w:r>
        <w:t xml:space="preserve">for</w:t>
      </w:r>
      <w:r>
        <w:t xml:space="preserve"> </w:t>
      </w:r>
      <w:r>
        <w:t xml:space="preserve">Distributed</w:t>
      </w:r>
      <w:r>
        <w:t xml:space="preserve"> </w:t>
      </w:r>
      <w:r>
        <w:t xml:space="preserve">Energy</w:t>
      </w:r>
      <w:r>
        <w:t xml:space="preserve"> </w:t>
      </w:r>
      <w:r>
        <w:t xml:space="preserve">Assets</w:t>
      </w:r>
    </w:p>
    <w:p>
      <w:pPr>
        <w:pStyle w:val="Subtitle"/>
      </w:pPr>
      <w:r>
        <w:t xml:space="preserve">Immutable</w:t>
      </w:r>
      <w:r>
        <w:t xml:space="preserve"> </w:t>
      </w:r>
      <w:r>
        <w:t xml:space="preserve">Identity,</w:t>
      </w:r>
      <w:r>
        <w:t xml:space="preserve"> </w:t>
      </w:r>
      <w:r>
        <w:t xml:space="preserve">Lifecycle</w:t>
      </w:r>
      <w:r>
        <w:t xml:space="preserve"> </w:t>
      </w:r>
      <w:r>
        <w:t xml:space="preserve">Traceability,</w:t>
      </w:r>
      <w:r>
        <w:t xml:space="preserve"> </w:t>
      </w:r>
      <w:r>
        <w:t xml:space="preserve">and</w:t>
      </w:r>
      <w:r>
        <w:t xml:space="preserve"> </w:t>
      </w:r>
      <w:r>
        <w:t xml:space="preserve">Integrity</w:t>
      </w:r>
      <w:r>
        <w:t xml:space="preserve"> </w:t>
      </w:r>
      <w:r>
        <w:t xml:space="preserve">Verification</w:t>
      </w:r>
      <w:r>
        <w:t xml:space="preserve"> </w:t>
      </w:r>
      <w:r>
        <w:t xml:space="preserve">for</w:t>
      </w:r>
      <w:r>
        <w:t xml:space="preserve"> </w:t>
      </w:r>
      <w:r>
        <w:t xml:space="preserve">Solar</w:t>
      </w:r>
      <w:r>
        <w:t xml:space="preserve"> </w:t>
      </w:r>
      <w:r>
        <w:t xml:space="preserve">and</w:t>
      </w:r>
      <w:r>
        <w:t xml:space="preserve"> </w:t>
      </w:r>
      <w:r>
        <w:t xml:space="preserve">Renewable</w:t>
      </w:r>
      <w:r>
        <w:t xml:space="preserve"> </w:t>
      </w:r>
      <w:r>
        <w:t xml:space="preserve">Infrastructure</w:t>
      </w:r>
    </w:p>
    <w:p>
      <w:pPr>
        <w:pStyle w:val="Author"/>
      </w:pPr>
      <w:r>
        <w:t xml:space="preserve">[AUTHOR</w:t>
      </w:r>
      <w:r>
        <w:t xml:space="preserve"> </w:t>
      </w:r>
      <w:r>
        <w:t xml:space="preserve">NAME</w:t>
      </w:r>
      <w:r>
        <w:t xml:space="preserve"> </w:t>
      </w:r>
      <w:r>
        <w:t xml:space="preserve">—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SUPPLIED]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X1fcf253b62a14a12b30c0319dabec18e4a9517b"/>
    <w:p>
      <w:pPr>
        <w:pStyle w:val="Heading1"/>
      </w:pPr>
      <w:r>
        <w:t xml:space="preserve">Lifecycle Event Modeling — Manufacture to Decommissioning</w:t>
      </w:r>
    </w:p>
    <w:bookmarkStart w:id="20" w:name="what-this-chapter-covers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Chapter 4 built the machinery that carries events; this chapter defines the events.</w:t>
      </w:r>
      <w:r>
        <w:t xml:space="preserve"> </w:t>
      </w:r>
      <w:r>
        <w:t xml:space="preserve">It develops a formal lifecycle model for distributed energy assets — the states an</w:t>
      </w:r>
      <w:r>
        <w:t xml:space="preserve"> </w:t>
      </w:r>
      <w:r>
        <w:t xml:space="preserve">asset can occupy, the events that move it between them, and the data each event must</w:t>
      </w:r>
      <w:r>
        <w:t xml:space="preserve"> </w:t>
      </w:r>
      <w:r>
        <w:t xml:space="preserve">carry — and shows how the model is enforced by a state-machine contract at write</w:t>
      </w:r>
      <w:r>
        <w:t xml:space="preserve"> </w:t>
      </w:r>
      <w:r>
        <w:t xml:space="preserve">time. The design goal is stated up front because it governs every choice: the schema</w:t>
      </w:r>
      <w:r>
        <w:t xml:space="preserve"> </w:t>
      </w:r>
      <w:r>
        <w:t xml:space="preserve">must be</w:t>
      </w:r>
      <w:r>
        <w:t xml:space="preserve"> </w:t>
      </w:r>
      <w:r>
        <w:rPr>
          <w:iCs/>
          <w:i/>
        </w:rPr>
        <w:t xml:space="preserve">strict enough that conforming records are useful as evidence twenty years</w:t>
      </w:r>
      <w:r>
        <w:rPr>
          <w:iCs/>
          <w:i/>
        </w:rPr>
        <w:t xml:space="preserve"> </w:t>
      </w:r>
      <w:r>
        <w:rPr>
          <w:iCs/>
          <w:i/>
        </w:rPr>
        <w:t xml:space="preserve">later, and loose enough that real field operations can actually conform to it</w:t>
      </w:r>
      <w:r>
        <w:t xml:space="preserve">. A</w:t>
      </w:r>
      <w:r>
        <w:t xml:space="preserve"> </w:t>
      </w:r>
      <w:r>
        <w:t xml:space="preserve">schema that field technicians route around produces a ledger of fiction more</w:t>
      </w:r>
      <w:r>
        <w:t xml:space="preserve"> </w:t>
      </w:r>
      <w:r>
        <w:t xml:space="preserve">dangerous than no ledger at all. The chapter proceeds from design principles</w:t>
      </w:r>
      <w:r>
        <w:t xml:space="preserve"> </w:t>
      </w:r>
      <w:r>
        <w:t xml:space="preserve">(each one a named failure mode’s remedy) through the nine-state model with its</w:t>
      </w:r>
      <w:r>
        <w:t xml:space="preserve"> </w:t>
      </w:r>
      <w:r>
        <w:t xml:space="preserve">invariants, the closed event vocabulary with the field judgments its payloads</w:t>
      </w:r>
      <w:r>
        <w:t xml:space="preserve"> </w:t>
      </w:r>
      <w:r>
        <w:t xml:space="preserve">encode, the envelope and the evidence DAG it generates, a complete worked</w:t>
      </w:r>
      <w:r>
        <w:t xml:space="preserve"> </w:t>
      </w:r>
      <w:r>
        <w:t xml:space="preserve">asset biography, the write-time enforcement contract and the</w:t>
      </w:r>
      <w:r>
        <w:t xml:space="preserve"> </w:t>
      </w:r>
      <w:r>
        <w:t xml:space="preserve">constitution/judgment boundary that keeps it small, the stage-by-stage</w:t>
      </w:r>
      <w:r>
        <w:t xml:space="preserve"> </w:t>
      </w:r>
      <w:r>
        <w:t xml:space="preserve">integrity map with its honest residual-exposure column, the completeness</w:t>
      </w:r>
      <w:r>
        <w:t xml:space="preserve"> </w:t>
      </w:r>
      <w:r>
        <w:t xml:space="preserve">problem and its cadence-analytics answer, and finally the evolution regime by</w:t>
      </w:r>
      <w:r>
        <w:t xml:space="preserve"> </w:t>
      </w:r>
      <w:r>
        <w:t xml:space="preserve">which the schema itself survives thirty years of amendment without ever</w:t>
      </w:r>
      <w:r>
        <w:t xml:space="preserve"> </w:t>
      </w:r>
      <w:r>
        <w:t xml:space="preserve">breaking an old record.</w:t>
      </w:r>
    </w:p>
    <w:bookmarkEnd w:id="20"/>
    <w:bookmarkStart w:id="21" w:name="X0a79e0a234440f95223e1e98d8581b96daf5e86"/>
    <w:p>
      <w:pPr>
        <w:pStyle w:val="Heading2"/>
      </w:pPr>
      <w:r>
        <w:t xml:space="preserve">5.1 Design Principles for an Evidential Schema</w:t>
      </w:r>
    </w:p>
    <w:p>
      <w:pPr>
        <w:pStyle w:val="FirstParagraph"/>
      </w:pPr>
      <w:r>
        <w:t xml:space="preserve">The schema is the system’s most consequential artifact and its least glamorous.</w:t>
      </w:r>
      <w:r>
        <w:t xml:space="preserve"> </w:t>
      </w:r>
      <w:r>
        <w:t xml:space="preserve">Platforms will be re-selected, contracts re-implemented, and instruments</w:t>
      </w:r>
      <w:r>
        <w:t xml:space="preserve"> </w:t>
      </w:r>
      <w:r>
        <w:t xml:space="preserve">re-procured over the asset fleet’s life; the schema — the definition of what a</w:t>
      </w:r>
      <w:r>
        <w:t xml:space="preserve"> </w:t>
      </w:r>
      <w:r>
        <w:t xml:space="preserve">recorded fact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— must survive all of it, because the records written under</w:t>
      </w:r>
      <w:r>
        <w:t xml:space="preserve"> </w:t>
      </w:r>
      <w:r>
        <w:t xml:space="preserve">it are immutable and the parties relying on them are unborn. It is also the</w:t>
      </w:r>
      <w:r>
        <w:t xml:space="preserve"> </w:t>
      </w:r>
      <w:r>
        <w:t xml:space="preserve">artifact where engineering meets field anthropology: every field is a demand</w:t>
      </w:r>
      <w:r>
        <w:t xml:space="preserve"> </w:t>
      </w:r>
      <w:r>
        <w:t xml:space="preserve">placed on a technician, a factory system, or a counterparty, and demands that</w:t>
      </w:r>
      <w:r>
        <w:t xml:space="preserve"> </w:t>
      </w:r>
      <w:r>
        <w:t xml:space="preserve">ignore how work actually happens get fictional compliance. The five principles</w:t>
      </w:r>
      <w:r>
        <w:t xml:space="preserve"> </w:t>
      </w:r>
      <w:r>
        <w:t xml:space="preserve">below are therefore stated with their justifying failure modes, and the reader</w:t>
      </w:r>
      <w:r>
        <w:t xml:space="preserve"> </w:t>
      </w:r>
      <w:r>
        <w:t xml:space="preserve">evaluating any competing schema — including the passport data models now</w:t>
      </w:r>
      <w:r>
        <w:t xml:space="preserve"> </w:t>
      </w:r>
      <w:r>
        <w:t xml:space="preserve">emerging from regulation — is invited to score it against the same five.</w:t>
      </w:r>
    </w:p>
    <w:p>
      <w:pPr>
        <w:pStyle w:val="BodyText"/>
      </w:pPr>
      <w:r>
        <w:t xml:space="preserve">Five principles, distilled from the failure modes of asset-management systems that</w:t>
      </w:r>
      <w:r>
        <w:t xml:space="preserve"> </w:t>
      </w:r>
      <w:r>
        <w:t xml:space="preserve">came before: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Events, not states, are primary.</w:t>
      </w:r>
      <w:r>
        <w:t xml:space="preserve"> </w:t>
      </w:r>
      <w:r>
        <w:t xml:space="preserve">The ledger records</w:t>
      </w:r>
      <w:r>
        <w:t xml:space="preserve"> </w:t>
      </w:r>
      <w:r>
        <w:rPr>
          <w:iCs/>
          <w:i/>
        </w:rPr>
        <w:t xml:space="preserve">what happened</w:t>
      </w:r>
      <w:r>
        <w:t xml:space="preserve"> </w:t>
      </w:r>
      <w:r>
        <w:t xml:space="preserve">—</w:t>
      </w:r>
      <w:r>
        <w:t xml:space="preserve"> </w:t>
      </w:r>
      <w:r>
        <w:t xml:space="preserve">observations and acts, each attributed and timestamped. Current state (who is the</w:t>
      </w:r>
      <w:r>
        <w:t xml:space="preserve"> </w:t>
      </w:r>
      <w:r>
        <w:t xml:space="preserve">custodian, is the asset commissioned) is</w:t>
      </w:r>
      <w:r>
        <w:t xml:space="preserve"> </w:t>
      </w:r>
      <w:r>
        <w:rPr>
          <w:iCs/>
          <w:i/>
        </w:rPr>
        <w:t xml:space="preserve">derived</w:t>
      </w:r>
      <w:r>
        <w:t xml:space="preserve"> </w:t>
      </w:r>
      <w:r>
        <w:t xml:space="preserve">by replaying events. Recording</w:t>
      </w:r>
      <w:r>
        <w:t xml:space="preserve"> </w:t>
      </w:r>
      <w:r>
        <w:t xml:space="preserve">state directly invites the silent overwrite; recording events makes every change</w:t>
      </w:r>
      <w:r>
        <w:t xml:space="preserve"> </w:t>
      </w:r>
      <w:r>
        <w:t xml:space="preserve">somebody’s signed act. The database community reached the same conclusion</w:t>
      </w:r>
      <w:r>
        <w:t xml:space="preserve"> </w:t>
      </w:r>
      <w:r>
        <w:t xml:space="preserve">from performance and auditability directions under the name</w:t>
      </w:r>
      <w:r>
        <w:t xml:space="preserve"> </w:t>
      </w:r>
      <w:r>
        <w:rPr>
          <w:iCs/>
          <w:i/>
        </w:rPr>
        <w:t xml:space="preserve">event</w:t>
      </w:r>
      <w:r>
        <w:rPr>
          <w:iCs/>
          <w:i/>
        </w:rPr>
        <w:t xml:space="preserve"> </w:t>
      </w:r>
      <w:r>
        <w:rPr>
          <w:iCs/>
          <w:i/>
        </w:rPr>
        <w:t xml:space="preserve">sourcing</w:t>
      </w:r>
      <w:r>
        <w:t xml:space="preserve">; this schema is event sourcing with adversaries.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schema records claims with authorship, not adjudicated truth.</w:t>
      </w:r>
      <w:r>
        <w:t xml:space="preserve"> </w:t>
      </w:r>
      <w:r>
        <w:t xml:space="preserve">A fault</w:t>
      </w:r>
      <w:r>
        <w:t xml:space="preserve"> </w:t>
      </w:r>
      <w:r>
        <w:t xml:space="preserve">event asserts</w:t>
      </w:r>
      <w:r>
        <w:t xml:space="preserve"> </w:t>
      </w:r>
      <w:r>
        <w:t xml:space="preserve">“</w:t>
      </w:r>
      <w:r>
        <w:t xml:space="preserve">party X reported observation Y.</w:t>
      </w:r>
      <w:r>
        <w:t xml:space="preserve">”</w:t>
      </w:r>
      <w:r>
        <w:t xml:space="preserve"> </w:t>
      </w:r>
      <w:r>
        <w:t xml:space="preserve">Where parties disagree, both</w:t>
      </w:r>
      <w:r>
        <w:t xml:space="preserve"> </w:t>
      </w:r>
      <w:r>
        <w:t xml:space="preserve">events stand, linked by a dispute reference; resolution is itself an event. The</w:t>
      </w:r>
      <w:r>
        <w:t xml:space="preserve"> </w:t>
      </w:r>
      <w:r>
        <w:t xml:space="preserve">ledger is the evidence locker, not the judge — a division of labor the</w:t>
      </w:r>
      <w:r>
        <w:t xml:space="preserve"> </w:t>
      </w:r>
      <w:r>
        <w:t xml:space="preserve">legal system will recognize and, in the pilot’s S4 rehearsal, visibly</w:t>
      </w:r>
      <w:r>
        <w:t xml:space="preserve"> </w:t>
      </w:r>
      <w:r>
        <w:t xml:space="preserve">appreciated.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Every event answers six questions.</w:t>
      </w:r>
      <w:r>
        <w:t xml:space="preserve"> </w:t>
      </w:r>
      <w:r>
        <w:t xml:space="preserve">Which asset (DID). What kind (event type</w:t>
      </w:r>
      <w:r>
        <w:t xml:space="preserve"> </w:t>
      </w:r>
      <w:r>
        <w:t xml:space="preserve">from a closed vocabulary). When (both the physical-world time claimed by the</w:t>
      </w:r>
      <w:r>
        <w:t xml:space="preserve"> </w:t>
      </w:r>
      <w:r>
        <w:t xml:space="preserve">submitter and the consensus time of ledger inclusion — the pair matters, since</w:t>
      </w:r>
      <w:r>
        <w:t xml:space="preserve"> </w:t>
      </w:r>
      <w:r>
        <w:t xml:space="preserve">backdating claims are a known abuse). Who (submitter signature plus the</w:t>
      </w:r>
      <w:r>
        <w:t xml:space="preserve"> </w:t>
      </w:r>
      <w:r>
        <w:t xml:space="preserve">corroboration class of Section 4.5). On what evidence (payload digests and</w:t>
      </w:r>
      <w:r>
        <w:t xml:space="preserve"> </w:t>
      </w:r>
      <w:r>
        <w:t xml:space="preserve">provenance-chain references). In what context (references to prior events —</w:t>
      </w:r>
      <w:r>
        <w:t xml:space="preserve"> </w:t>
      </w:r>
      <w:r>
        <w:t xml:space="preserve">installations reference deliveries, claims reference condition records).</w:t>
      </w:r>
      <w:r>
        <w:t xml:space="preserve"> </w:t>
      </w:r>
      <w:r>
        <w:t xml:space="preserve">An event that cannot answer all six is not rejected as immoral; it is</w:t>
      </w:r>
      <w:r>
        <w:t xml:space="preserve"> </w:t>
      </w:r>
      <w:r>
        <w:t xml:space="preserve">rejected as</w:t>
      </w:r>
      <w:r>
        <w:t xml:space="preserve"> </w:t>
      </w:r>
      <w:r>
        <w:rPr>
          <w:iCs/>
          <w:i/>
        </w:rPr>
        <w:t xml:space="preserve">unfinished</w:t>
      </w:r>
      <w:r>
        <w:t xml:space="preserve">, and the reason codes of Section 5.5 tell the</w:t>
      </w:r>
      <w:r>
        <w:t xml:space="preserve"> </w:t>
      </w:r>
      <w:r>
        <w:t xml:space="preserve">submitter which answer is missing.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Extensible payloads, closed envelope.</w:t>
      </w:r>
      <w:r>
        <w:t xml:space="preserve"> </w:t>
      </w:r>
      <w:r>
        <w:t xml:space="preserve">The envelope — the six answers above —</w:t>
      </w:r>
      <w:r>
        <w:t xml:space="preserve"> </w:t>
      </w:r>
      <w:r>
        <w:t xml:space="preserve">is fixed and machine-enforced. Payload schemas are versioned per event type, so</w:t>
      </w:r>
      <w:r>
        <w:t xml:space="preserve"> </w:t>
      </w:r>
      <w:r>
        <w:t xml:space="preserve">the vocabulary can grow (a new inspection modality, a new battery SoH metric)</w:t>
      </w:r>
      <w:r>
        <w:t xml:space="preserve"> </w:t>
      </w:r>
      <w:r>
        <w:t xml:space="preserve">without breaking replayability of old records. The pattern is the network</w:t>
      </w:r>
      <w:r>
        <w:t xml:space="preserve"> </w:t>
      </w:r>
      <w:r>
        <w:t xml:space="preserve">stack’s oldest lesson applied to evidence: a stable, minimal header</w:t>
      </w:r>
      <w:r>
        <w:t xml:space="preserve"> </w:t>
      </w:r>
      <w:r>
        <w:t xml:space="preserve">beneath innovating payloads is how heterogeneous systems stay</w:t>
      </w:r>
      <w:r>
        <w:t xml:space="preserve"> </w:t>
      </w:r>
      <w:r>
        <w:t xml:space="preserve">interoperable across decades of change.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Late and offline entry are first-class.</w:t>
      </w:r>
      <w:r>
        <w:t xml:space="preserve"> </w:t>
      </w:r>
      <w:r>
        <w:t xml:space="preserve">Field work happens in warehouses</w:t>
      </w:r>
      <w:r>
        <w:t xml:space="preserve"> </w:t>
      </w:r>
      <w:r>
        <w:t xml:space="preserve">without connectivity and on rooftops in the rain. Events may be signed offline and</w:t>
      </w:r>
      <w:r>
        <w:t xml:space="preserve"> </w:t>
      </w:r>
      <w:r>
        <w:t xml:space="preserve">submitted later; the claimed-time/ledger-time split represents this honestly, and</w:t>
      </w:r>
      <w:r>
        <w:t xml:space="preserve"> </w:t>
      </w:r>
      <w:r>
        <w:t xml:space="preserve">the contract bounds only the</w:t>
      </w:r>
      <w:r>
        <w:t xml:space="preserve"> </w:t>
      </w:r>
      <w:r>
        <w:rPr>
          <w:iCs/>
          <w:i/>
        </w:rPr>
        <w:t xml:space="preserve">envelope</w:t>
      </w:r>
      <w:r>
        <w:t xml:space="preserve"> </w:t>
      </w:r>
      <w:r>
        <w:t xml:space="preserve">(a submission window per event class), not</w:t>
      </w:r>
      <w:r>
        <w:t xml:space="preserve"> </w:t>
      </w:r>
      <w:r>
        <w:t xml:space="preserve">the fantasy of real-time entry.</w:t>
      </w:r>
    </w:p>
    <w:p>
      <w:pPr>
        <w:pStyle w:val="FirstParagraph"/>
      </w:pPr>
      <w:r>
        <w:t xml:space="preserve">Each principle is a scar from a failure mode worth naming, because schemas are</w:t>
      </w:r>
      <w:r>
        <w:t xml:space="preserve"> </w:t>
      </w:r>
      <w:r>
        <w:t xml:space="preserve">argued in committee and committees deserve the evidence. Principle 1 answers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silent overwrite</w:t>
      </w:r>
      <w:r>
        <w:t xml:space="preserve">: every asset-management database this author has audited</w:t>
      </w:r>
      <w:r>
        <w:t xml:space="preserve"> </w:t>
      </w:r>
      <w:r>
        <w:t xml:space="preserve">contained state fields —</w:t>
      </w:r>
      <w:r>
        <w:t xml:space="preserve"> </w:t>
      </w:r>
      <w:r>
        <w:rPr>
          <w:rStyle w:val="VerbatimChar"/>
        </w:rPr>
        <w:t xml:space="preserve">current_owner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— whose history was</w:t>
      </w:r>
      <w:r>
        <w:t xml:space="preserve"> </w:t>
      </w:r>
      <w:r>
        <w:t xml:space="preserve">unrecoverable because updates destroyed their predecessors; the one question a</w:t>
      </w:r>
      <w:r>
        <w:t xml:space="preserve"> </w:t>
      </w:r>
      <w:r>
        <w:t xml:space="preserve">dispute always asks (</w:t>
      </w:r>
      <w:r>
        <w:t xml:space="preserve">“</w:t>
      </w:r>
      <w:r>
        <w:t xml:space="preserve">what did the record say</w:t>
      </w:r>
      <w:r>
        <w:t xml:space="preserve"> </w:t>
      </w:r>
      <w:r>
        <w:rPr>
          <w:iCs/>
          <w:i/>
        </w:rPr>
        <w:t xml:space="preserve">then</w:t>
      </w:r>
      <w:r>
        <w:t xml:space="preserve">?</w:t>
      </w:r>
      <w:r>
        <w:t xml:space="preserve">”</w:t>
      </w:r>
      <w:r>
        <w:t xml:space="preserve">) is exactly the question</w:t>
      </w:r>
      <w:r>
        <w:t xml:space="preserve"> </w:t>
      </w:r>
      <w:r>
        <w:t xml:space="preserve">a state-primary design cannot answer. Principle 2 answers the</w:t>
      </w:r>
      <w:r>
        <w:t xml:space="preserve"> </w:t>
      </w:r>
      <w:r>
        <w:rPr>
          <w:iCs/>
          <w:i/>
        </w:rPr>
        <w:t xml:space="preserve">premature</w:t>
      </w:r>
      <w:r>
        <w:rPr>
          <w:iCs/>
          <w:i/>
        </w:rPr>
        <w:t xml:space="preserve"> </w:t>
      </w:r>
      <w:r>
        <w:rPr>
          <w:iCs/>
          <w:i/>
        </w:rPr>
        <w:t xml:space="preserve">adjudication</w:t>
      </w:r>
      <w:r>
        <w:t xml:space="preserve"> </w:t>
      </w:r>
      <w:r>
        <w:t xml:space="preserve">failure: schemas that force a single truth at write time (one</w:t>
      </w:r>
      <w:r>
        <w:t xml:space="preserve"> </w:t>
      </w:r>
      <w:r>
        <w:rPr>
          <w:rStyle w:val="VerbatimChar"/>
        </w:rPr>
        <w:t xml:space="preserve">fault_cause</w:t>
      </w:r>
      <w:r>
        <w:t xml:space="preserve"> </w:t>
      </w:r>
      <w:r>
        <w:t xml:space="preserve">field, say) turn every disagreement into a write conflict, and</w:t>
      </w:r>
      <w:r>
        <w:t xml:space="preserve"> </w:t>
      </w:r>
      <w:r>
        <w:t xml:space="preserve">the party holding the pen wins — recording claims-with-authorship instead keeps</w:t>
      </w:r>
      <w:r>
        <w:t xml:space="preserve"> </w:t>
      </w:r>
      <w:r>
        <w:t xml:space="preserve">the disagreement, which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evidence. Principle 3’s six questions are the</w:t>
      </w:r>
      <w:r>
        <w:t xml:space="preserve"> </w:t>
      </w:r>
      <w:r>
        <w:t xml:space="preserve">cross-examination checklist: every hostile review of a record in a dispute</w:t>
      </w:r>
      <w:r>
        <w:t xml:space="preserve"> </w:t>
      </w:r>
      <w:r>
        <w:t xml:space="preserve">reduces to which-asset, what, when, who, on-what-evidence, in-what-context, and</w:t>
      </w:r>
      <w:r>
        <w:t xml:space="preserve"> </w:t>
      </w:r>
      <w:r>
        <w:t xml:space="preserve">a schema that answers all six at write time has pre-empted the</w:t>
      </w:r>
      <w:r>
        <w:t xml:space="preserve"> </w:t>
      </w:r>
      <w:r>
        <w:t xml:space="preserve">document-discovery fight that consumes most of a dispute’s budget. Principle 4</w:t>
      </w:r>
      <w:r>
        <w:t xml:space="preserve"> </w:t>
      </w:r>
      <w:r>
        <w:t xml:space="preserve">answers the</w:t>
      </w:r>
      <w:r>
        <w:t xml:space="preserve"> </w:t>
      </w:r>
      <w:r>
        <w:rPr>
          <w:iCs/>
          <w:i/>
        </w:rPr>
        <w:t xml:space="preserve">frozen schema</w:t>
      </w:r>
      <w:r>
        <w:t xml:space="preserve"> </w:t>
      </w:r>
      <w:r>
        <w:t xml:space="preserve">failure — systems that could not add a battery SoH</w:t>
      </w:r>
      <w:r>
        <w:t xml:space="preserve"> </w:t>
      </w:r>
      <w:r>
        <w:t xml:space="preserve">metric without a migration that broke old records’ parsers — and its</w:t>
      </w:r>
      <w:r>
        <w:t xml:space="preserve"> </w:t>
      </w:r>
      <w:r>
        <w:t xml:space="preserve">closed-envelope half answers the opposite</w:t>
      </w:r>
      <w:r>
        <w:t xml:space="preserve"> </w:t>
      </w:r>
      <w:r>
        <w:rPr>
          <w:iCs/>
          <w:i/>
        </w:rPr>
        <w:t xml:space="preserve">schema sprawl</w:t>
      </w:r>
      <w:r>
        <w:t xml:space="preserve"> </w:t>
      </w:r>
      <w:r>
        <w:t xml:space="preserve">failure, in which</w:t>
      </w:r>
      <w:r>
        <w:t xml:space="preserve"> </w:t>
      </w:r>
      <w:r>
        <w:t xml:space="preserve">every integrator adds fields until no two events are comparable. Principle 5</w:t>
      </w:r>
      <w:r>
        <w:t xml:space="preserve"> </w:t>
      </w:r>
      <w:r>
        <w:t xml:space="preserve">answers the failure with the highest human cost: schemas that assume</w:t>
      </w:r>
      <w:r>
        <w:t xml:space="preserve"> </w:t>
      </w:r>
      <w:r>
        <w:t xml:space="preserve">connectivity get falsified data at exactly the moments that matter, because the</w:t>
      </w:r>
      <w:r>
        <w:t xml:space="preserve"> </w:t>
      </w:r>
      <w:r>
        <w:t xml:space="preserve">technician whose tablet cannot sync</w:t>
      </w:r>
      <w:r>
        <w:t xml:space="preserve"> </w:t>
      </w:r>
      <w:r>
        <w:rPr>
          <w:iCs/>
          <w:i/>
        </w:rPr>
        <w:t xml:space="preserve">will</w:t>
      </w:r>
      <w:r>
        <w:t xml:space="preserve"> </w:t>
      </w:r>
      <w:r>
        <w:t xml:space="preserve">complete the job and</w:t>
      </w:r>
      <w:r>
        <w:t xml:space="preserve"> </w:t>
      </w:r>
      <w:r>
        <w:rPr>
          <w:iCs/>
          <w:i/>
        </w:rPr>
        <w:t xml:space="preserve">will</w:t>
      </w:r>
      <w:r>
        <w:t xml:space="preserve"> </w:t>
      </w:r>
      <w:r>
        <w:t xml:space="preserve">reconstruct the paperwork afterward, and an honest schema plans for that</w:t>
      </w:r>
      <w:r>
        <w:t xml:space="preserve"> </w:t>
      </w:r>
      <w:r>
        <w:t xml:space="preserve">reconstruction instead of pretending it away.</w:t>
      </w:r>
    </w:p>
    <w:bookmarkEnd w:id="21"/>
    <w:bookmarkStart w:id="22" w:name="the-state-model"/>
    <w:p>
      <w:pPr>
        <w:pStyle w:val="Heading2"/>
      </w:pPr>
      <w:r>
        <w:t xml:space="preserve">5.2 The State Model</w:t>
      </w:r>
    </w:p>
    <w:p>
      <w:pPr>
        <w:pStyle w:val="FirstParagraph"/>
      </w:pPr>
      <w:r>
        <w:t xml:space="preserve">Figure 5.1 gives the asset lifecycle as a state machine. States are deliberately</w:t>
      </w:r>
      <w:r>
        <w:t xml:space="preserve"> </w:t>
      </w:r>
      <w:r>
        <w:t xml:space="preserve">few — nine — because states multiply combinatorially in committee and every state</w:t>
      </w:r>
      <w:r>
        <w:t xml:space="preserve"> </w:t>
      </w:r>
      <w:r>
        <w:t xml:space="preserve">must be maintained for decades. Nuance lives in the events, not the states.</w:t>
      </w:r>
    </w:p>
    <w:p>
      <w:pPr>
        <w:pStyle w:val="BodyText"/>
      </w:pPr>
      <w:r>
        <w:rPr>
          <w:bCs/>
          <w:b/>
        </w:rPr>
        <w:t xml:space="preserve">Figure 5.1</w:t>
      </w:r>
      <w:r>
        <w:t xml:space="preserve"> </w:t>
      </w:r>
      <w:r>
        <w:t xml:space="preserve">Asset lifecycle state machine. Every transition is effected only by a</w:t>
      </w:r>
      <w:r>
        <w:t xml:space="preserve"> </w:t>
      </w:r>
      <w:r>
        <w:t xml:space="preserve">ledger event of the named type; the state-machine contract rejects events whose</w:t>
      </w:r>
      <w:r>
        <w:t xml:space="preserve"> </w:t>
      </w:r>
      <w:r>
        <w:t xml:space="preserve">transition is not an arrow in this diagram.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Registered: EVT_REGISTER</w:t>
      </w:r>
      <w:r>
        <w:br/>
      </w:r>
      <w:r>
        <w:rPr>
          <w:rStyle w:val="VerbatimChar"/>
        </w:rPr>
        <w:t xml:space="preserve">    Registered --&gt; InTransit: EVT_SHIP</w:t>
      </w:r>
      <w:r>
        <w:br/>
      </w:r>
      <w:r>
        <w:rPr>
          <w:rStyle w:val="VerbatimChar"/>
        </w:rPr>
        <w:t xml:space="preserve">    InTransit --&gt; InTransit: EVT_CUSTODY_TRANSFER</w:t>
      </w:r>
      <w:r>
        <w:br/>
      </w:r>
      <w:r>
        <w:rPr>
          <w:rStyle w:val="VerbatimChar"/>
        </w:rPr>
        <w:t xml:space="preserve">    InTransit --&gt; Installed: EVT_INSTALL</w:t>
      </w:r>
      <w:r>
        <w:br/>
      </w:r>
      <w:r>
        <w:rPr>
          <w:rStyle w:val="VerbatimChar"/>
        </w:rPr>
        <w:t xml:space="preserve">    Registered --&gt; Installed: EVT_INSTALL</w:t>
      </w:r>
      <w:r>
        <w:br/>
      </w:r>
      <w:r>
        <w:rPr>
          <w:rStyle w:val="VerbatimChar"/>
        </w:rPr>
        <w:t xml:space="preserve">    Installed --&gt; Commissioned: EVT_COMMISSION</w:t>
      </w:r>
      <w:r>
        <w:br/>
      </w:r>
      <w:r>
        <w:rPr>
          <w:rStyle w:val="VerbatimChar"/>
        </w:rPr>
        <w:t xml:space="preserve">    Commissioned --&gt; Commissioned: EVT_INSPECT, EVT_MAINTAIN, EVT_FAULT, EVT_OWNERSHIP_TRANSFER</w:t>
      </w:r>
      <w:r>
        <w:br/>
      </w:r>
      <w:r>
        <w:rPr>
          <w:rStyle w:val="VerbatimChar"/>
        </w:rPr>
        <w:t xml:space="preserve">    Commissioned --&gt; Suspended: EVT_SUSPEND</w:t>
      </w:r>
      <w:r>
        <w:br/>
      </w:r>
      <w:r>
        <w:rPr>
          <w:rStyle w:val="VerbatimChar"/>
        </w:rPr>
        <w:t xml:space="preserve">    Suspended --&gt; Commissioned: EVT_RECOMMISSION</w:t>
      </w:r>
      <w:r>
        <w:br/>
      </w:r>
      <w:r>
        <w:rPr>
          <w:rStyle w:val="VerbatimChar"/>
        </w:rPr>
        <w:t xml:space="preserve">    Commissioned --&gt; Removed: EVT_REMOVE</w:t>
      </w:r>
      <w:r>
        <w:br/>
      </w:r>
      <w:r>
        <w:rPr>
          <w:rStyle w:val="VerbatimChar"/>
        </w:rPr>
        <w:t xml:space="preserve">    Suspended --&gt; Removed: EVT_REMOVE</w:t>
      </w:r>
      <w:r>
        <w:br/>
      </w:r>
      <w:r>
        <w:rPr>
          <w:rStyle w:val="VerbatimChar"/>
        </w:rPr>
        <w:t xml:space="preserve">    Removed --&gt; InTransit: EVT_SHIP (redeployment / resale)</w:t>
      </w:r>
      <w:r>
        <w:br/>
      </w:r>
      <w:r>
        <w:rPr>
          <w:rStyle w:val="VerbatimChar"/>
        </w:rPr>
        <w:t xml:space="preserve">    Removed --&gt; Decommissioned: EVT_DECOMMISSION</w:t>
      </w:r>
      <w:r>
        <w:br/>
      </w:r>
      <w:r>
        <w:rPr>
          <w:rStyle w:val="VerbatimChar"/>
        </w:rPr>
        <w:t xml:space="preserve">    Decommissioned --&gt; Recycled: EVT_RECYCLE</w:t>
      </w:r>
      <w:r>
        <w:br/>
      </w:r>
      <w:r>
        <w:rPr>
          <w:rStyle w:val="VerbatimChar"/>
        </w:rPr>
        <w:t xml:space="preserve">    Recycled --&gt; [*]</w:t>
      </w:r>
      <w:r>
        <w:br/>
      </w:r>
      <w:r>
        <w:rPr>
          <w:rStyle w:val="VerbatimChar"/>
        </w:rPr>
        <w:t xml:space="preserve">    Decommissioned --&gt; [*]</w:t>
      </w:r>
    </w:p>
    <w:p>
      <w:pPr>
        <w:pStyle w:val="FirstParagraph"/>
      </w:pPr>
      <w:r>
        <w:t xml:space="preserve">Reading conventions for the diagram: every arrow is an event type from</w:t>
      </w:r>
      <w:r>
        <w:t xml:space="preserve"> </w:t>
      </w:r>
      <w:r>
        <w:t xml:space="preserve">Table 5.1, and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those arrows exist — the contract’s transition check is</w:t>
      </w:r>
      <w:r>
        <w:t xml:space="preserve"> </w:t>
      </w:r>
      <w:r>
        <w:t xml:space="preserve">literally</w:t>
      </w:r>
      <w:r>
        <w:t xml:space="preserve"> </w:t>
      </w:r>
      <w:r>
        <w:t xml:space="preserve">“</w:t>
      </w:r>
      <w:r>
        <w:t xml:space="preserve">is this (state, event) pair an arrow?</w:t>
      </w:r>
      <w:r>
        <w:t xml:space="preserve">”</w:t>
      </w:r>
      <w:r>
        <w:t xml:space="preserve"> </w:t>
      </w:r>
      <w:r>
        <w:t xml:space="preserve">Self-loops (the</w:t>
      </w:r>
      <w:r>
        <w:t xml:space="preserve"> </w:t>
      </w:r>
      <w:r>
        <w:rPr>
          <w:rStyle w:val="VerbatimChar"/>
        </w:rPr>
        <w:t xml:space="preserve">Commissioned → Commissioned</w:t>
      </w:r>
      <w:r>
        <w:t xml:space="preserve"> </w:t>
      </w:r>
      <w:r>
        <w:t xml:space="preserve">cluster) are events that enrich the record</w:t>
      </w:r>
      <w:r>
        <w:t xml:space="preserve"> </w:t>
      </w:r>
      <w:r>
        <w:t xml:space="preserve">without moving the asset; they are where most of the lifetime’s events live.</w:t>
      </w:r>
      <w:r>
        <w:t xml:space="preserve"> </w:t>
      </w:r>
      <w:r>
        <w:t xml:space="preserve">The two terminal paths encode a real-world distinction:</w:t>
      </w:r>
      <w:r>
        <w:t xml:space="preserve"> </w:t>
      </w:r>
      <w:r>
        <w:rPr>
          <w:rStyle w:val="VerbatimChar"/>
        </w:rPr>
        <w:t xml:space="preserve">Recycled</w:t>
      </w:r>
      <w:r>
        <w:t xml:space="preserve"> </w:t>
      </w:r>
      <w:r>
        <w:t xml:space="preserve">is the</w:t>
      </w:r>
      <w:r>
        <w:t xml:space="preserve"> </w:t>
      </w:r>
      <w:r>
        <w:t xml:space="preserve">documented-material-recovery ending the regulations increasingly require,</w:t>
      </w:r>
      <w:r>
        <w:t xml:space="preserve"> </w:t>
      </w:r>
      <w:r>
        <w:t xml:space="preserve">while termination from</w:t>
      </w:r>
      <w:r>
        <w:t xml:space="preserve"> </w:t>
      </w:r>
      <w:r>
        <w:rPr>
          <w:rStyle w:val="VerbatimChar"/>
        </w:rPr>
        <w:t xml:space="preserve">Decommissioned</w:t>
      </w:r>
      <w:r>
        <w:t xml:space="preserve"> </w:t>
      </w:r>
      <w:r>
        <w:t xml:space="preserve">without recycling records an asset</w:t>
      </w:r>
      <w:r>
        <w:t xml:space="preserve"> </w:t>
      </w:r>
      <w:r>
        <w:t xml:space="preserve">that left the documented world — exported beyond the system’s reach, destroyed</w:t>
      </w:r>
      <w:r>
        <w:t xml:space="preserve"> </w:t>
      </w:r>
      <w:r>
        <w:t xml:space="preserve">in an incident, or simply lost — and the schema prefers an honest dead end to</w:t>
      </w:r>
      <w:r>
        <w:t xml:space="preserve"> </w:t>
      </w:r>
      <w:r>
        <w:t xml:space="preserve">a fictitious recovery. Following one path through: a resold module runs</w:t>
      </w:r>
      <w:r>
        <w:t xml:space="preserve"> </w:t>
      </w:r>
      <w:r>
        <w:rPr>
          <w:rStyle w:val="VerbatimChar"/>
        </w:rPr>
        <w:t xml:space="preserve">Commissioned → Removed → InTransit → Installed → Commissioned</w:t>
      </w:r>
      <w:r>
        <w:t xml:space="preserve">, accumulating</w:t>
      </w:r>
      <w:r>
        <w:t xml:space="preserve"> </w:t>
      </w:r>
      <w:r>
        <w:t xml:space="preserve">custody and condition events at each hop, and arrives at its second</w:t>
      </w:r>
      <w:r>
        <w:t xml:space="preserve"> </w:t>
      </w:r>
      <w:r>
        <w:t xml:space="preserve">commissioning with its first life attached — the exact property the</w:t>
      </w:r>
      <w:r>
        <w:t xml:space="preserve"> </w:t>
      </w:r>
      <w:r>
        <w:t xml:space="preserve">secondary-market analysis of Chapter 13 monetizes.</w:t>
      </w:r>
    </w:p>
    <w:p>
      <w:pPr>
        <w:pStyle w:val="BodyText"/>
      </w:pPr>
      <w:r>
        <w:t xml:space="preserve">Points of the design that experience says need defending:</w:t>
      </w:r>
    </w:p>
    <w:p>
      <w:pPr>
        <w:pStyle w:val="BodyText"/>
      </w:pPr>
      <w:r>
        <w:rPr>
          <w:rStyle w:val="VerbatimChar"/>
          <w:bCs/>
          <w:b/>
        </w:rPr>
        <w:t xml:space="preserve">Removed</w:t>
      </w:r>
      <w:r>
        <w:rPr>
          <w:bCs/>
          <w:b/>
        </w:rPr>
        <w:t xml:space="preserve"> </w:t>
      </w:r>
      <w:r>
        <w:rPr>
          <w:bCs/>
          <w:b/>
        </w:rPr>
        <w:t xml:space="preserve">is distinct from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Decommissioned</w:t>
      </w:r>
      <w:r>
        <w:rPr>
          <w:bCs/>
          <w:b/>
        </w:rPr>
        <w:t xml:space="preserve">.</w:t>
      </w:r>
      <w:r>
        <w:t xml:space="preserve"> </w:t>
      </w:r>
      <w:r>
        <w:t xml:space="preserve">A module taken off a roof may be</w:t>
      </w:r>
      <w:r>
        <w:t xml:space="preserve"> </w:t>
      </w:r>
      <w:r>
        <w:t xml:space="preserve">scrap, warranty return, or secondary-market inventory — the removal event does not</w:t>
      </w:r>
      <w:r>
        <w:t xml:space="preserve"> </w:t>
      </w:r>
      <w:r>
        <w:t xml:space="preserve">yet know which. Collapsing these produced, in earlier industry databases, the</w:t>
      </w:r>
      <w:r>
        <w:t xml:space="preserve"> </w:t>
      </w:r>
      <w:r>
        <w:t xml:space="preserve">systematic mislabeling of resold equipment as end-of-life. The</w:t>
      </w:r>
      <w:r>
        <w:t xml:space="preserve"> </w:t>
      </w:r>
      <w:r>
        <w:rPr>
          <w:rStyle w:val="VerbatimChar"/>
        </w:rPr>
        <w:t xml:space="preserve">Removed → InTransit</w:t>
      </w:r>
      <w:r>
        <w:t xml:space="preserve"> </w:t>
      </w:r>
      <w:r>
        <w:t xml:space="preserve">arrow is precisely the secondary market of Section 1.4.4, now a first-class,</w:t>
      </w:r>
      <w:r>
        <w:t xml:space="preserve"> </w:t>
      </w:r>
      <w:r>
        <w:t xml:space="preserve">history-preserving path. The distinction also carries regulatory weight:</w:t>
      </w:r>
      <w:r>
        <w:t xml:space="preserve"> </w:t>
      </w:r>
      <w:r>
        <w:t xml:space="preserve">extended-producer-responsibility accounting needs to know whether a unit left</w:t>
      </w:r>
      <w:r>
        <w:t xml:space="preserve"> </w:t>
      </w:r>
      <w:r>
        <w:t xml:space="preserve">service</w:t>
      </w:r>
      <w:r>
        <w:t xml:space="preserve"> </w:t>
      </w:r>
      <w:r>
        <w:rPr>
          <w:iCs/>
          <w:i/>
        </w:rPr>
        <w:t xml:space="preserve">permanently</w:t>
      </w:r>
      <w:r>
        <w:t xml:space="preserve"> </w:t>
      </w:r>
      <w:r>
        <w:t xml:space="preserve">(a decommissioning, entering the waste stream’s mass</w:t>
      </w:r>
      <w:r>
        <w:t xml:space="preserve"> </w:t>
      </w:r>
      <w:r>
        <w:t xml:space="preserve">balance) or</w:t>
      </w:r>
      <w:r>
        <w:t xml:space="preserve"> </w:t>
      </w:r>
      <w:r>
        <w:rPr>
          <w:iCs/>
          <w:i/>
        </w:rPr>
        <w:t xml:space="preserve">provisionally</w:t>
      </w:r>
      <w:r>
        <w:t xml:space="preserve"> </w:t>
      </w:r>
      <w:r>
        <w:t xml:space="preserve">(a removal, still an asset), and databases that</w:t>
      </w:r>
      <w:r>
        <w:t xml:space="preserve"> </w:t>
      </w:r>
      <w:r>
        <w:t xml:space="preserve">conflated the two have made the sector’s official end-of-life statistics —</w:t>
      </w:r>
      <w:r>
        <w:t xml:space="preserve"> </w:t>
      </w:r>
      <w:r>
        <w:t xml:space="preserve">the inputs to recycling-capacity planning — systematically wrong in a known</w:t>
      </w:r>
      <w:r>
        <w:t xml:space="preserve"> </w:t>
      </w:r>
      <w:r>
        <w:t xml:space="preserve">direction.</w:t>
      </w:r>
    </w:p>
    <w:p>
      <w:pPr>
        <w:pStyle w:val="BodyText"/>
      </w:pPr>
      <w:r>
        <w:rPr>
          <w:rStyle w:val="VerbatimChar"/>
          <w:bCs/>
          <w:b/>
        </w:rPr>
        <w:t xml:space="preserve">Suspended</w:t>
      </w:r>
      <w:r>
        <w:rPr>
          <w:bCs/>
          <w:b/>
        </w:rPr>
        <w:t xml:space="preserve"> </w:t>
      </w:r>
      <w:r>
        <w:rPr>
          <w:bCs/>
          <w:b/>
        </w:rPr>
        <w:t xml:space="preserve">exists because plants do.</w:t>
      </w:r>
      <w:r>
        <w:t xml:space="preserve"> </w:t>
      </w:r>
      <w:r>
        <w:t xml:space="preserve">Curtailment seasons, insurance disputes,</w:t>
      </w:r>
      <w:r>
        <w:t xml:space="preserve"> </w:t>
      </w:r>
      <w:r>
        <w:t xml:space="preserve">long supply-chain waits for replacement parts — an asset can be physically present</w:t>
      </w:r>
      <w:r>
        <w:t xml:space="preserve"> </w:t>
      </w:r>
      <w:r>
        <w:t xml:space="preserve">and deliberately non-operational for months. Without the state, real operations</w:t>
      </w:r>
      <w:r>
        <w:t xml:space="preserve"> </w:t>
      </w:r>
      <w:r>
        <w:t xml:space="preserve">falsify either</w:t>
      </w:r>
      <w:r>
        <w:t xml:space="preserve"> </w:t>
      </w:r>
      <w:r>
        <w:rPr>
          <w:rStyle w:val="VerbatimChar"/>
        </w:rPr>
        <w:t xml:space="preserve">Commissioned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Removed</w:t>
      </w:r>
      <w:r>
        <w:t xml:space="preserve">. The state earns its place under the</w:t>
      </w:r>
      <w:r>
        <w:t xml:space="preserve"> </w:t>
      </w:r>
      <w:r>
        <w:t xml:space="preserve">strict criterion above because different events are legal within it:</w:t>
      </w:r>
      <w:r>
        <w:t xml:space="preserve"> </w:t>
      </w:r>
      <w:r>
        <w:t xml:space="preserve">production-dependent claims are suspended with the asset, while condition and</w:t>
      </w:r>
      <w:r>
        <w:t xml:space="preserve"> </w:t>
      </w:r>
      <w:r>
        <w:t xml:space="preserve">maintenance events continue — which is exactly the evidential profile of a</w:t>
      </w:r>
      <w:r>
        <w:t xml:space="preserve"> </w:t>
      </w:r>
      <w:r>
        <w:t xml:space="preserve">plant idled by a grid dispute, still inspected, not producing.</w:t>
      </w:r>
    </w:p>
    <w:p>
      <w:pPr>
        <w:pStyle w:val="BodyText"/>
      </w:pPr>
      <w:r>
        <w:rPr>
          <w:bCs/>
          <w:b/>
        </w:rPr>
        <w:t xml:space="preserve">Ownership and custody are orthogonal to lifecycle state.</w:t>
      </w:r>
      <w:r>
        <w:t xml:space="preserve"> </w:t>
      </w:r>
      <w:r>
        <w:rPr>
          <w:rStyle w:val="VerbatimChar"/>
        </w:rPr>
        <w:t xml:space="preserve">EVT_OWNERSHIP_TRANSFER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EVT_CUSTODY_TRANSFER</w:t>
      </w:r>
      <w:r>
        <w:t xml:space="preserve"> </w:t>
      </w:r>
      <w:r>
        <w:t xml:space="preserve">change</w:t>
      </w:r>
      <w:r>
        <w:t xml:space="preserve"> </w:t>
      </w:r>
      <w:r>
        <w:rPr>
          <w:iCs/>
          <w:i/>
        </w:rPr>
        <w:t xml:space="preserve">derived registers</w:t>
      </w:r>
      <w:r>
        <w:t xml:space="preserve"> </w:t>
      </w:r>
      <w:r>
        <w:t xml:space="preserve">(who owns, who holds) without</w:t>
      </w:r>
      <w:r>
        <w:t xml:space="preserve"> </w:t>
      </w:r>
      <w:r>
        <w:t xml:space="preserve">changing lifecycle state — a plant sale transfers 250,000 ownerships with zero state</w:t>
      </w:r>
      <w:r>
        <w:t xml:space="preserve"> </w:t>
      </w:r>
      <w:r>
        <w:t xml:space="preserve">transitions. Conflating ownership with state is the classic modeling error here,</w:t>
      </w:r>
      <w:r>
        <w:t xml:space="preserve"> </w:t>
      </w:r>
      <w:r>
        <w:t xml:space="preserve">inherited from financial-asset schemas where possession is abstract; a module, unlike</w:t>
      </w:r>
      <w:r>
        <w:t xml:space="preserve"> </w:t>
      </w:r>
      <w:r>
        <w:t xml:space="preserve">a bond, is simultaneously</w:t>
      </w:r>
      <w:r>
        <w:t xml:space="preserve"> </w:t>
      </w:r>
      <w:r>
        <w:rPr>
          <w:iCs/>
          <w:i/>
        </w:rPr>
        <w:t xml:space="preserve">owned</w:t>
      </w:r>
      <w:r>
        <w:t xml:space="preserve"> </w:t>
      </w:r>
      <w:r>
        <w:t xml:space="preserve">by a fund,</w:t>
      </w:r>
      <w:r>
        <w:t xml:space="preserve"> </w:t>
      </w:r>
      <w:r>
        <w:rPr>
          <w:iCs/>
          <w:i/>
        </w:rPr>
        <w:t xml:space="preserve">held</w:t>
      </w:r>
      <w:r>
        <w:t xml:space="preserve"> </w:t>
      </w:r>
      <w:r>
        <w:t xml:space="preserve">by an O&amp;M contractor, and</w:t>
      </w:r>
      <w:r>
        <w:t xml:space="preserve"> </w:t>
      </w:r>
      <w:r>
        <w:rPr>
          <w:iCs/>
          <w:i/>
        </w:rPr>
        <w:t xml:space="preserve">operated</w:t>
      </w:r>
      <w:r>
        <w:t xml:space="preserve"> </w:t>
      </w:r>
      <w:r>
        <w:t xml:space="preserve">under a PPA counterparty’s dispatch.</w:t>
      </w:r>
    </w:p>
    <w:p>
      <w:pPr>
        <w:pStyle w:val="BodyText"/>
      </w:pPr>
      <w:r>
        <w:t xml:space="preserve">Each state also carries</w:t>
      </w:r>
      <w:r>
        <w:t xml:space="preserve"> </w:t>
      </w:r>
      <w:r>
        <w:rPr>
          <w:iCs/>
          <w:i/>
        </w:rPr>
        <w:t xml:space="preserve">invariants</w:t>
      </w:r>
      <w:r>
        <w:t xml:space="preserve"> </w:t>
      </w:r>
      <w:r>
        <w:t xml:space="preserve">— facts the contract guarantees hold while</w:t>
      </w:r>
      <w:r>
        <w:t xml:space="preserve"> </w:t>
      </w:r>
      <w:r>
        <w:t xml:space="preserve">an asset occupies it — and stating them makes the model checkable rather than</w:t>
      </w:r>
      <w:r>
        <w:t xml:space="preserve"> </w:t>
      </w:r>
      <w:r>
        <w:t xml:space="preserve">merely drawable. Table 5.2 collects them.</w:t>
      </w:r>
    </w:p>
    <w:p>
      <w:pPr>
        <w:pStyle w:val="BodyText"/>
      </w:pPr>
      <w:r>
        <w:rPr>
          <w:bCs/>
          <w:b/>
        </w:rPr>
        <w:t xml:space="preserve">Table 5.2</w:t>
      </w:r>
      <w:r>
        <w:t xml:space="preserve"> </w:t>
      </w:r>
      <w:r>
        <w:t xml:space="preserve">State invariants maintained by the lifecycle contract.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Invariants enforced while in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unique; enrollment template committed; controller = registrar’s named initial controller; no operational events 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InTransit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Custody chain unbroken (each transfer dual-signed); condition events limited to receiving-inspection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reference and position map present; custodian holds installer or operator role at 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Commissioned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Warranty clock exists; condition, maintenance, fault, and transfer events accepted; suspension reversible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Suspended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 class recorded; no commissioning-dependent events (production claims) 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Post-removal condition digest present; disposition undetermined — resale, redeploy, and decommission all 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Decommissioned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 intent recorded; only recycling and audit events 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Recycled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Terminal; mass-balance declaration present; DID resurrection detectable via template match (§8.3)</w:t>
            </w:r>
          </w:p>
        </w:tc>
      </w:tr>
    </w:tbl>
    <w:p>
      <w:pPr>
        <w:pStyle w:val="BodyText"/>
      </w:pPr>
      <w:r>
        <w:t xml:space="preserve">The invariants do quiet work in three places. They give the write-time contract</w:t>
      </w:r>
      <w:r>
        <w:t xml:space="preserve"> </w:t>
      </w:r>
      <w:r>
        <w:t xml:space="preserve">its rejection logic (an event violating an invariant is refused with a reason</w:t>
      </w:r>
      <w:r>
        <w:t xml:space="preserve"> </w:t>
      </w:r>
      <w:r>
        <w:t xml:space="preserve">code, Section 5.5). They give verifiers a fast coherence check (a condition</w:t>
      </w:r>
      <w:r>
        <w:t xml:space="preserve"> </w:t>
      </w:r>
      <w:r>
        <w:t xml:space="preserve">record timestamped during</w:t>
      </w:r>
      <w:r>
        <w:t xml:space="preserve"> </w:t>
      </w:r>
      <w:r>
        <w:rPr>
          <w:rStyle w:val="VerbatimChar"/>
        </w:rPr>
        <w:t xml:space="preserve">InTransit</w:t>
      </w:r>
      <w:r>
        <w:t xml:space="preserve"> </w:t>
      </w:r>
      <w:r>
        <w:t xml:space="preserve">from a plant-mounted instrument is</w:t>
      </w:r>
      <w:r>
        <w:t xml:space="preserve"> </w:t>
      </w:r>
      <w:r>
        <w:t xml:space="preserve">incoherent regardless of its signatures). And they give the schema’s committee</w:t>
      </w:r>
      <w:r>
        <w:t xml:space="preserve"> </w:t>
      </w:r>
      <w:r>
        <w:t xml:space="preserve">a regression test: any proposed vocabulary change must state which invariants</w:t>
      </w:r>
      <w:r>
        <w:t xml:space="preserve"> </w:t>
      </w:r>
      <w:r>
        <w:t xml:space="preserve">it touches, which is how Chapter 11’s governance kept its schema amendments</w:t>
      </w:r>
      <w:r>
        <w:t xml:space="preserve"> </w:t>
      </w:r>
      <w:r>
        <w:t xml:space="preserve">from becoming schema erosion.</w:t>
      </w:r>
    </w:p>
    <w:p>
      <w:pPr>
        <w:pStyle w:val="BodyText"/>
      </w:pPr>
      <w:r>
        <w:t xml:space="preserve">Two roads not taken complete the state model’s defense, because both will be</w:t>
      </w:r>
      <w:r>
        <w:t xml:space="preserve"> </w:t>
      </w:r>
      <w:r>
        <w:t xml:space="preserve">proposed in any committee that reviews it.</w:t>
      </w:r>
      <w:r>
        <w:t xml:space="preserve"> </w:t>
      </w:r>
      <w:r>
        <w:rPr>
          <w:iCs/>
          <w:i/>
        </w:rPr>
        <w:t xml:space="preserve">Why not more states?</w:t>
      </w:r>
      <w:r>
        <w:t xml:space="preserve"> </w:t>
      </w:r>
      <w:r>
        <w:t xml:space="preserve">Proposals</w:t>
      </w:r>
      <w:r>
        <w:t xml:space="preserve"> </w:t>
      </w:r>
      <w:r>
        <w:t xml:space="preserve">accumulate — a</w:t>
      </w:r>
      <w:r>
        <w:t xml:space="preserve"> </w:t>
      </w:r>
      <w:r>
        <w:rPr>
          <w:rStyle w:val="VerbatimChar"/>
        </w:rPr>
        <w:t xml:space="preserve">Curtailed</w:t>
      </w:r>
      <w:r>
        <w:t xml:space="preserve"> </w:t>
      </w:r>
      <w:r>
        <w:t xml:space="preserve">state, a</w:t>
      </w:r>
      <w:r>
        <w:t xml:space="preserve"> </w:t>
      </w:r>
      <w:r>
        <w:rPr>
          <w:rStyle w:val="VerbatimChar"/>
        </w:rPr>
        <w:t xml:space="preserve">UnderWarrantyClaim</w:t>
      </w:r>
      <w:r>
        <w:t xml:space="preserve"> </w:t>
      </w:r>
      <w:r>
        <w:t xml:space="preserve">state, a</w:t>
      </w:r>
      <w:r>
        <w:t xml:space="preserve"> </w:t>
      </w:r>
      <w:r>
        <w:rPr>
          <w:rStyle w:val="VerbatimChar"/>
        </w:rPr>
        <w:t xml:space="preserve">PendingResale</w:t>
      </w:r>
      <w:r>
        <w:t xml:space="preserve"> </w:t>
      </w:r>
      <w:r>
        <w:t xml:space="preserve">state — and each fails the same test: it encodes a</w:t>
      </w:r>
      <w:r>
        <w:t xml:space="preserve"> </w:t>
      </w:r>
      <w:r>
        <w:rPr>
          <w:iCs/>
          <w:i/>
        </w:rPr>
        <w:t xml:space="preserve">condition</w:t>
      </w:r>
      <w:r>
        <w:rPr>
          <w:iCs/>
          <w:i/>
        </w:rPr>
        <w:t xml:space="preserve"> </w:t>
      </w:r>
      <w:r>
        <w:rPr>
          <w:iCs/>
          <w:i/>
        </w:rPr>
        <w:t xml:space="preserve">or process</w:t>
      </w:r>
      <w:r>
        <w:t xml:space="preserve"> </w:t>
      </w:r>
      <w:r>
        <w:t xml:space="preserve">as a</w:t>
      </w:r>
      <w:r>
        <w:t xml:space="preserve"> </w:t>
      </w:r>
      <w:r>
        <w:rPr>
          <w:iCs/>
          <w:i/>
        </w:rPr>
        <w:t xml:space="preserve">lifecycle position</w:t>
      </w:r>
      <w:r>
        <w:t xml:space="preserve">, forcing transitions where nothing</w:t>
      </w:r>
      <w:r>
        <w:t xml:space="preserve"> </w:t>
      </w:r>
      <w:r>
        <w:t xml:space="preserve">physical changed and doubling the transition matrix that every verifier,</w:t>
      </w:r>
      <w:r>
        <w:t xml:space="preserve"> </w:t>
      </w:r>
      <w:r>
        <w:t xml:space="preserve">contract, and analyst must handle forever. Conditions belong in events</w:t>
      </w:r>
      <w:r>
        <w:t xml:space="preserve"> </w:t>
      </w:r>
      <w:r>
        <w:t xml:space="preserve">(curtailment is operational data; a claim is a dispute pair; a planned resale</w:t>
      </w:r>
      <w:r>
        <w:t xml:space="preserve"> </w:t>
      </w:r>
      <w:r>
        <w:t xml:space="preserve">is nobody’s business until it is a transfer). The nine states earn their</w:t>
      </w:r>
      <w:r>
        <w:t xml:space="preserve"> </w:t>
      </w:r>
      <w:r>
        <w:t xml:space="preserve">places by a strict criterion: each is a position in which</w:t>
      </w:r>
      <w:r>
        <w:t xml:space="preserve"> </w:t>
      </w:r>
      <w:r>
        <w:rPr>
          <w:iCs/>
          <w:i/>
        </w:rPr>
        <w:t xml:space="preserve">different events</w:t>
      </w:r>
      <w:r>
        <w:rPr>
          <w:iCs/>
          <w:i/>
        </w:rPr>
        <w:t xml:space="preserve"> </w:t>
      </w:r>
      <w:r>
        <w:rPr>
          <w:iCs/>
          <w:i/>
        </w:rPr>
        <w:t xml:space="preserve">are legal</w:t>
      </w:r>
      <w:r>
        <w:t xml:space="preserve"> </w:t>
      </w:r>
      <w:r>
        <w:t xml:space="preserve">— that is the only thing a state machine’s states are for.</w:t>
      </w:r>
      <w:r>
        <w:t xml:space="preserve"> </w:t>
      </w:r>
      <w:r>
        <w:rPr>
          <w:iCs/>
          <w:i/>
        </w:rPr>
        <w:t xml:space="preserve">Why not</w:t>
      </w:r>
      <w:r>
        <w:rPr>
          <w:iCs/>
          <w:i/>
        </w:rPr>
        <w:t xml:space="preserve"> </w:t>
      </w:r>
      <w:r>
        <w:rPr>
          <w:iCs/>
          <w:i/>
        </w:rPr>
        <w:t xml:space="preserve">per-asset-class state machines?</w:t>
      </w:r>
      <w:r>
        <w:t xml:space="preserve"> </w:t>
      </w:r>
      <w:r>
        <w:t xml:space="preserve">Because Chapter 12’s generalization test</w:t>
      </w:r>
      <w:r>
        <w:t xml:space="preserve"> </w:t>
      </w:r>
      <w:r>
        <w:t xml:space="preserve">would then be a rewrite instead of an extension: batteries add states and</w:t>
      </w:r>
      <w:r>
        <w:t xml:space="preserve"> </w:t>
      </w:r>
      <w:r>
        <w:t xml:space="preserve">events (Figure 12.1) but inherit the base machine unchanged, which is only</w:t>
      </w:r>
      <w:r>
        <w:t xml:space="preserve"> </w:t>
      </w:r>
      <w:r>
        <w:t xml:space="preserve">possible because the base machine models custody-and-service reality common</w:t>
      </w:r>
      <w:r>
        <w:t xml:space="preserve"> </w:t>
      </w:r>
      <w:r>
        <w:t xml:space="preserve">to all manufactured assets rather than solar particulars. Class-specific</w:t>
      </w:r>
      <w:r>
        <w:t xml:space="preserve"> </w:t>
      </w:r>
      <w:r>
        <w:t xml:space="preserve">richness lives in payloads and added transitions, never in forked</w:t>
      </w:r>
      <w:r>
        <w:t xml:space="preserve"> </w:t>
      </w:r>
      <w:r>
        <w:t xml:space="preserve">foundations.</w:t>
      </w:r>
    </w:p>
    <w:bookmarkEnd w:id="22"/>
    <w:bookmarkStart w:id="24" w:name="the-event-vocabulary"/>
    <w:p>
      <w:pPr>
        <w:pStyle w:val="Heading2"/>
      </w:pPr>
      <w:r>
        <w:t xml:space="preserve">5.3 The Event Vocabulary</w:t>
      </w:r>
    </w:p>
    <w:p>
      <w:pPr>
        <w:pStyle w:val="FirstParagraph"/>
      </w:pPr>
      <w:r>
        <w:t xml:space="preserve">Table 5.1 is the closed envelope vocabulary — the complete set of event types in the</w:t>
      </w:r>
      <w:r>
        <w:t xml:space="preserve"> </w:t>
      </w:r>
      <w:r>
        <w:t xml:space="preserve">base schema, with the corroboration class (Section 4.5, Rule 2) each requires. Class</w:t>
      </w:r>
      <w:r>
        <w:t xml:space="preserve"> </w:t>
      </w:r>
      <w:r>
        <w:t xml:space="preserve">A = submitter signature only; Class B = submitter plus instrument attestation;</w:t>
      </w:r>
      <w:r>
        <w:t xml:space="preserve"> </w:t>
      </w:r>
      <w:r>
        <w:t xml:space="preserve">Class C = submitter plus instrument plus adverse-or-independent co-signature.</w:t>
      </w:r>
      <w:r>
        <w:t xml:space="preserve"> </w:t>
      </w:r>
      <w:r>
        <w:t xml:space="preserve">Class assignment follows one rule applied case by case:</w:t>
      </w:r>
      <w:r>
        <w:t xml:space="preserve"> </w:t>
      </w:r>
      <w:r>
        <w:rPr>
          <w:bCs/>
          <w:b/>
        </w:rPr>
        <w:t xml:space="preserve">the corroboration</w:t>
      </w:r>
      <w:r>
        <w:rPr>
          <w:bCs/>
          <w:b/>
        </w:rPr>
        <w:t xml:space="preserve"> </w:t>
      </w:r>
      <w:r>
        <w:rPr>
          <w:bCs/>
          <w:b/>
        </w:rPr>
        <w:t xml:space="preserve">cost of an event should approximate the fraud value of forging it, at the</w:t>
      </w:r>
      <w:r>
        <w:rPr>
          <w:bCs/>
          <w:b/>
        </w:rPr>
        <w:t xml:space="preserve"> </w:t>
      </w:r>
      <w:r>
        <w:rPr>
          <w:bCs/>
          <w:b/>
        </w:rPr>
        <w:t xml:space="preserve">moment of writing</w:t>
      </w:r>
      <w:r>
        <w:t xml:space="preserve"> </w:t>
      </w:r>
      <w:r>
        <w:t xml:space="preserve">— cheap where honesty is incentive-compatible anyway,</w:t>
      </w:r>
      <w:r>
        <w:t xml:space="preserve"> </w:t>
      </w:r>
      <w:r>
        <w:t xml:space="preserve">expensive where a lone signature could move money or terminate liability. The</w:t>
      </w:r>
      <w:r>
        <w:t xml:space="preserve"> </w:t>
      </w:r>
      <w:r>
        <w:t xml:space="preserve">per-event rationales below and in Table 5.1 are instances of this rule, and</w:t>
      </w:r>
      <w:r>
        <w:t xml:space="preserve"> </w:t>
      </w:r>
      <w:r>
        <w:t xml:space="preserve">proposals to amend a class should be argued in its terms.</w:t>
      </w:r>
    </w:p>
    <w:p>
      <w:pPr>
        <w:pStyle w:val="BodyText"/>
      </w:pPr>
      <w:r>
        <w:rPr>
          <w:bCs/>
          <w:b/>
        </w:rPr>
        <w:t xml:space="preserve">Table 5.1</w:t>
      </w:r>
      <w:r>
        <w:t xml:space="preserve"> </w:t>
      </w:r>
      <w:r>
        <w:t xml:space="preserve">Base event vocabulary. Payload schema versions are per-type; the</w:t>
      </w:r>
      <w:r>
        <w:t xml:space="preserve"> </w:t>
      </w:r>
      <w:r>
        <w:t xml:space="preserve">corroboration class is enforced at write time by the state-machine contract.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submitter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Corrob.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payload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DID; → Registered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Manufacturer registrar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Enrollment template digest, flash-test VC, batch/BOM refs, registration class (factory / retroactive)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InTransit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Shipper / distributor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Consignment ref, carrier, packaging condition attestation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EVT_CUSTODY_TRANSFER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Custody register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Releasing + receiving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(dual-sign)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 DIDs, location class, exception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Installed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contractor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ref, string/position map, mounting torque &amp; DC checks, installer credential VC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Commissioned; warranty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+ owner’s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Commissioning test payloads (IV, insulation, EL sample), grid-connection ref, warranty activation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EVT_INSPECT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record appended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O&amp;M / independent inspector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Modality (EL, IR, defect map…), instrument DID, findings payload digest, sampling design ref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EVT_MAINTAIN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record appended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O&amp;M contractor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A–B by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order ref, parts consumed (their DIDs), post-work test digests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Fault record appended;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authorized observer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(observation)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Symptom class, evidence payload, disputed-by refs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EVT_OWNERSHIP_TRANSFER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 register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+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 DIDs, encumbrance refs, price band (optional, Ch. 10 privacy)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EVT_SUSPEND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EVT_RECOMMISSION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↔ Suspended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 class, expected 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O&amp;M / EPC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Removal reason class, post-removal condition digest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EVT_DECOMMISSION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Decommissioned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 intent, regulatory refs (WEEE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EVT_RECYCLE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Recycled (terminal)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Accredited recycler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recovery declaration, mass balance, recycler accreditation VC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EVT_DISPUTE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EVT_RESOLVE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 contested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party / adjudicator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Contested event refs, resolution instrument digest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EVT_REENROLL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binding template supersedes 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Accredited verifier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template digest, supersession ref, reason (Ch. 6, 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Governance/audit finding appended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Auditor, monitor, or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A–C by finding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role/store DID, finding class, evidence digest (§4.2.1, §4.3.2)</w:t>
            </w:r>
          </w:p>
        </w:tc>
      </w:tr>
    </w:tbl>
    <w:p>
      <w:pPr>
        <w:pStyle w:val="BodyText"/>
      </w:pPr>
      <w:r>
        <w:t xml:space="preserve">Two vocabulary decisions deserve their rationale on the record.</w:t>
      </w:r>
      <w:r>
        <w:t xml:space="preserve"> </w:t>
      </w:r>
      <w:r>
        <w:rPr>
          <w:rStyle w:val="VerbatimChar"/>
        </w:rPr>
        <w:t xml:space="preserve">EVT_FAULT</w:t>
      </w:r>
      <w:r>
        <w:t xml:space="preserve"> </w:t>
      </w:r>
      <w:r>
        <w:t xml:space="preserve">is</w:t>
      </w:r>
      <w:r>
        <w:t xml:space="preserve"> </w:t>
      </w:r>
      <w:r>
        <w:t xml:space="preserve">deliberately cheap (Class A): raising the cost of reporting problems suppresses</w:t>
      </w:r>
      <w:r>
        <w:t xml:space="preserve"> </w:t>
      </w:r>
      <w:r>
        <w:t xml:space="preserve">reporting, and a false fault claim is corrected by the dispute mechanism, whereas an</w:t>
      </w:r>
      <w:r>
        <w:t xml:space="preserve"> </w:t>
      </w:r>
      <w:r>
        <w:t xml:space="preserve">unreported crack is corrected by nothing. Conversely</w:t>
      </w:r>
      <w:r>
        <w:t xml:space="preserve"> </w:t>
      </w:r>
      <w:r>
        <w:rPr>
          <w:rStyle w:val="VerbatimChar"/>
        </w:rPr>
        <w:t xml:space="preserve">EVT_RECYCLE</w:t>
      </w:r>
      <w:r>
        <w:t xml:space="preserve"> </w:t>
      </w:r>
      <w:r>
        <w:t xml:space="preserve">is deliberately</w:t>
      </w:r>
      <w:r>
        <w:t xml:space="preserve"> </w:t>
      </w:r>
      <w:r>
        <w:t xml:space="preserve">expensive (Class C, accredited submitter): it is the terminal event on which the EU</w:t>
      </w:r>
      <w:r>
        <w:t xml:space="preserve"> </w:t>
      </w:r>
      <w:r>
        <w:t xml:space="preserve">battery-passport material-recovery obligations and any future PV equivalent hang, and</w:t>
      </w:r>
      <w:r>
        <w:t xml:space="preserve"> </w:t>
      </w:r>
      <w:r>
        <w:t xml:space="preserve">a cheap terminal event invites laundering assets out of existence (Chapter 8’s</w:t>
      </w:r>
      <w:r>
        <w:t xml:space="preserve"> </w:t>
      </w:r>
      <w:r>
        <w:t xml:space="preserve">“</w:t>
      </w:r>
      <w:r>
        <w:t xml:space="preserve">identity retirement</w:t>
      </w:r>
      <w:r>
        <w:t xml:space="preserve">”</w:t>
      </w:r>
      <w:r>
        <w:t xml:space="preserve"> </w:t>
      </w:r>
      <w:r>
        <w:t xml:space="preserve">attack).</w:t>
      </w:r>
    </w:p>
    <w:p>
      <w:pPr>
        <w:pStyle w:val="BodyText"/>
      </w:pPr>
      <w:r>
        <w:t xml:space="preserve">A granularity note before the per-event commentary: an</w:t>
      </w:r>
      <w:r>
        <w:t xml:space="preserve"> </w:t>
      </w:r>
      <w:r>
        <w:t xml:space="preserve">“</w:t>
      </w:r>
      <w:r>
        <w:t xml:space="preserve">event</w:t>
      </w:r>
      <w:r>
        <w:t xml:space="preserve">”</w:t>
      </w:r>
      <w:r>
        <w:t xml:space="preserve"> </w:t>
      </w:r>
      <w:r>
        <w:t xml:space="preserve">in this schema</w:t>
      </w:r>
      <w:r>
        <w:t xml:space="preserve"> </w:t>
      </w:r>
      <w:r>
        <w:t xml:space="preserve">is a</w:t>
      </w:r>
      <w:r>
        <w:t xml:space="preserve"> </w:t>
      </w:r>
      <w:r>
        <w:rPr>
          <w:iCs/>
          <w:i/>
        </w:rPr>
        <w:t xml:space="preserve">domain fact</w:t>
      </w:r>
      <w:r>
        <w:t xml:space="preserve">, not a keystroke or a transaction. One maintenance visit</w:t>
      </w:r>
      <w:r>
        <w:t xml:space="preserve"> </w:t>
      </w:r>
      <w:r>
        <w:t xml:space="preserve">that touches forty modules is forty</w:t>
      </w:r>
      <w:r>
        <w:t xml:space="preserve"> </w:t>
      </w:r>
      <w:r>
        <w:rPr>
          <w:rStyle w:val="VerbatimChar"/>
        </w:rPr>
        <w:t xml:space="preserve">EVT_MAINTAIN</w:t>
      </w:r>
      <w:r>
        <w:t xml:space="preserve"> </w:t>
      </w:r>
      <w:r>
        <w:t xml:space="preserve">events (facts about</w:t>
      </w:r>
      <w:r>
        <w:t xml:space="preserve"> </w:t>
      </w:r>
      <w:r>
        <w:t xml:space="preserve">distinct assets) but typically one work order, one crew, one batched</w:t>
      </w:r>
      <w:r>
        <w:t xml:space="preserve"> </w:t>
      </w:r>
      <w:r>
        <w:t xml:space="preserve">submission, and — under Section 7.2’s aggregation — one ledger transaction;</w:t>
      </w:r>
      <w:r>
        <w:t xml:space="preserve"> </w:t>
      </w:r>
      <w:r>
        <w:t xml:space="preserve">conversely, a single physical incident (the hailstorm) fans out into exactly</w:t>
      </w:r>
      <w:r>
        <w:t xml:space="preserve"> </w:t>
      </w:r>
      <w:r>
        <w:t xml:space="preserve">as many events as there are assets with distinct recorded consequences, each</w:t>
      </w:r>
      <w:r>
        <w:t xml:space="preserve"> </w:t>
      </w:r>
      <w:r>
        <w:t xml:space="preserve">independently verifiable, all sharing a common incident reference in their</w:t>
      </w:r>
      <w:r>
        <w:t xml:space="preserve"> </w:t>
      </w:r>
      <w:r>
        <w:t xml:space="preserve">payloads so the fleet-level view reassembles cheaply. The schema’s unit of</w:t>
      </w:r>
      <w:r>
        <w:t xml:space="preserve"> </w:t>
      </w:r>
      <w:r>
        <w:t xml:space="preserve">account is thus the (asset, fact) pair, and every efficiency concern about</w:t>
      </w:r>
      <w:r>
        <w:t xml:space="preserve"> </w:t>
      </w:r>
      <w:r>
        <w:t xml:space="preserve">that choice is answered at the transport and consensus layers rather than by</w:t>
      </w:r>
      <w:r>
        <w:t xml:space="preserve"> </w:t>
      </w:r>
      <w:r>
        <w:t xml:space="preserve">coarsening the evidence.</w:t>
      </w:r>
    </w:p>
    <w:p>
      <w:pPr>
        <w:pStyle w:val="BodyText"/>
      </w:pPr>
      <w:r>
        <w:t xml:space="preserve">Several other entries repay a closer look, because their payload designs encode</w:t>
      </w:r>
      <w:r>
        <w:t xml:space="preserve"> </w:t>
      </w:r>
      <w:r>
        <w:t xml:space="preserve">hard-won field judgments.</w:t>
      </w:r>
    </w:p>
    <w:p>
      <w:pPr>
        <w:pStyle w:val="BodyText"/>
      </w:pPr>
      <w:r>
        <w:rPr>
          <w:rStyle w:val="VerbatimChar"/>
          <w:bCs/>
          <w:b/>
        </w:rPr>
        <w:t xml:space="preserve">EVT_CUSTODY_TRANSFER</w:t>
      </w:r>
      <w:r>
        <w:rPr>
          <w:bCs/>
          <w:b/>
        </w:rPr>
        <w:t xml:space="preserve"> </w:t>
      </w:r>
      <w:r>
        <w:rPr>
          <w:bCs/>
          <w:b/>
        </w:rPr>
        <w:t xml:space="preserve">and the dual-signature discipline.</w:t>
      </w:r>
      <w:r>
        <w:t xml:space="preserve"> </w:t>
      </w:r>
      <w:r>
        <w:t xml:space="preserve">The releasing and</w:t>
      </w:r>
      <w:r>
        <w:t xml:space="preserve"> </w:t>
      </w:r>
      <w:r>
        <w:t xml:space="preserve">receiving parties both sign the same event — which sounds like ceremony until</w:t>
      </w:r>
      <w:r>
        <w:t xml:space="preserve"> </w:t>
      </w:r>
      <w:r>
        <w:t xml:space="preserve">one examines what each signature buys. The releaser’s signature ends its</w:t>
      </w:r>
      <w:r>
        <w:t xml:space="preserve"> </w:t>
      </w:r>
      <w:r>
        <w:t xml:space="preserve">liability window at a provable instant; the receiver’s signature, which the</w:t>
      </w:r>
      <w:r>
        <w:t xml:space="preserve"> </w:t>
      </w:r>
      <w:r>
        <w:t xml:space="preserve">schema requires to reference a receiving-inspection payload (packaging</w:t>
      </w:r>
      <w:r>
        <w:t xml:space="preserve"> </w:t>
      </w:r>
      <w:r>
        <w:t xml:space="preserve">condition, count verification, sampled V1 checks per Section 3.6),</w:t>
      </w:r>
      <w:r>
        <w:t xml:space="preserve"> </w:t>
      </w:r>
      <w:r>
        <w:rPr>
          <w:iCs/>
          <w:i/>
        </w:rPr>
        <w:t xml:space="preserve">starts</w:t>
      </w:r>
      <w:r>
        <w:t xml:space="preserve"> </w:t>
      </w:r>
      <w:r>
        <w:t xml:space="preserve">its</w:t>
      </w:r>
      <w:r>
        <w:t xml:space="preserve"> </w:t>
      </w:r>
      <w:r>
        <w:t xml:space="preserve">own with eyes open. Disagreement at the dock — a crushed pallet corner, a count</w:t>
      </w:r>
      <w:r>
        <w:t xml:space="preserve"> </w:t>
      </w:r>
      <w:r>
        <w:t xml:space="preserve">short by three — is not a failure of the protocol but its product: the receiver</w:t>
      </w:r>
      <w:r>
        <w:t xml:space="preserve"> </w:t>
      </w:r>
      <w:r>
        <w:t xml:space="preserve">signs with exception notes, the exceptions are timestamped into both parties’</w:t>
      </w:r>
      <w:r>
        <w:t xml:space="preserve"> </w:t>
      </w:r>
      <w:r>
        <w:t xml:space="preserve">records, and the transport insurer has, for the first time in this industry, a</w:t>
      </w:r>
      <w:r>
        <w:t xml:space="preserve"> </w:t>
      </w:r>
      <w:r>
        <w:t xml:space="preserve">contemporaneous, dual-attested damage record instead of two retrospective</w:t>
      </w:r>
      <w:r>
        <w:t xml:space="preserve"> </w:t>
      </w:r>
      <w:r>
        <w:t xml:space="preserve">accounts. Transport damage is among the largest unattributable loss categories</w:t>
      </w:r>
      <w:r>
        <w:t xml:space="preserve"> </w:t>
      </w:r>
      <w:r>
        <w:t xml:space="preserve">in Section 1.4.3; this one event type is where the architecture attacks it.</w:t>
      </w:r>
    </w:p>
    <w:p>
      <w:pPr>
        <w:pStyle w:val="BodyText"/>
      </w:pPr>
      <w:r>
        <w:rPr>
          <w:rStyle w:val="VerbatimChar"/>
          <w:bCs/>
          <w:b/>
        </w:rPr>
        <w:t xml:space="preserve">EVT_INSTALL</w:t>
      </w:r>
      <w:r>
        <w:rPr>
          <w:bCs/>
          <w:b/>
        </w:rPr>
        <w:t xml:space="preserve"> </w:t>
      </w:r>
      <w:r>
        <w:rPr>
          <w:bCs/>
          <w:b/>
        </w:rPr>
        <w:t xml:space="preserve">and the position map.</w:t>
      </w:r>
      <w:r>
        <w:t xml:space="preserve"> </w:t>
      </w:r>
      <w:r>
        <w:t xml:space="preserve">The installation payload binds each</w:t>
      </w:r>
      <w:r>
        <w:t xml:space="preserve"> </w:t>
      </w:r>
      <w:r>
        <w:t xml:space="preserve">unit to a</w:t>
      </w:r>
      <w:r>
        <w:t xml:space="preserve"> </w:t>
      </w:r>
      <w:r>
        <w:rPr>
          <w:iCs/>
          <w:i/>
        </w:rPr>
        <w:t xml:space="preserve">position</w:t>
      </w:r>
      <w:r>
        <w:t xml:space="preserve"> </w:t>
      </w:r>
      <w:r>
        <w:t xml:space="preserve">— site, block, row, string, index — and the position map</w:t>
      </w:r>
      <w:r>
        <w:t xml:space="preserve"> </w:t>
      </w:r>
      <w:r>
        <w:t xml:space="preserve">is what converts fleet-level analytics into unit-level evidence: a string’s</w:t>
      </w:r>
      <w:r>
        <w:t xml:space="preserve"> </w:t>
      </w:r>
      <w:r>
        <w:t xml:space="preserve">underperformance implicates nineteen specific DIDs, drone thermography</w:t>
      </w:r>
      <w:r>
        <w:t xml:space="preserve"> </w:t>
      </w:r>
      <w:r>
        <w:t xml:space="preserve">georeferences to positions and thence to identities, and PID risk (a</w:t>
      </w:r>
      <w:r>
        <w:t xml:space="preserve"> </w:t>
      </w:r>
      <w:r>
        <w:t xml:space="preserve">position-dependent phenomenon, Section 1.4.3) becomes computable per unit. The</w:t>
      </w:r>
      <w:r>
        <w:t xml:space="preserve"> </w:t>
      </w:r>
      <w:r>
        <w:t xml:space="preserve">installer-credential VC in the payload does double duty: it feeds the</w:t>
      </w:r>
      <w:r>
        <w:t xml:space="preserve"> </w:t>
      </w:r>
      <w:r>
        <w:t xml:space="preserve">workmanship warranty (installation by certified personnel is a condition of</w:t>
      </w:r>
      <w:r>
        <w:t xml:space="preserve"> </w:t>
      </w:r>
      <w:r>
        <w:t xml:space="preserve">most module warranties, today unverifiable) and it prices the installer’s own</w:t>
      </w:r>
      <w:r>
        <w:t xml:space="preserve"> </w:t>
      </w:r>
      <w:r>
        <w:t xml:space="preserve">reputation into the record.</w:t>
      </w:r>
    </w:p>
    <w:p>
      <w:pPr>
        <w:pStyle w:val="BodyText"/>
      </w:pPr>
      <w:r>
        <w:rPr>
          <w:rStyle w:val="VerbatimChar"/>
          <w:bCs/>
          <w:b/>
        </w:rPr>
        <w:t xml:space="preserve">EVT_OWNERSHIP_TRANSFER</w:t>
      </w:r>
      <w:r>
        <w:rPr>
          <w:bCs/>
          <w:b/>
        </w:rPr>
        <w:t xml:space="preserve"> </w:t>
      </w:r>
      <w:r>
        <w:rPr>
          <w:bCs/>
          <w:b/>
        </w:rPr>
        <w:t xml:space="preserve">and encumbrances.</w:t>
      </w:r>
      <w:r>
        <w:t xml:space="preserve"> </w:t>
      </w:r>
      <w:r>
        <w:t xml:space="preserve">The transfer payload carries</w:t>
      </w:r>
      <w:r>
        <w:t xml:space="preserve"> </w:t>
      </w:r>
      <w:r>
        <w:t xml:space="preserve">encumbrance references — security interests, PPA assignments, insurance</w:t>
      </w:r>
      <w:r>
        <w:t xml:space="preserve"> </w:t>
      </w:r>
      <w:r>
        <w:t xml:space="preserve">endorsements — as digests of the underlying instruments. The ledger does not</w:t>
      </w:r>
      <w:r>
        <w:t xml:space="preserve"> </w:t>
      </w:r>
      <w:r>
        <w:t xml:space="preserve">adjudicate priority (that remains the law’s job through whatever filing regime</w:t>
      </w:r>
      <w:r>
        <w:t xml:space="preserve"> </w:t>
      </w:r>
      <w:r>
        <w:t xml:space="preserve">governs); what it contributes is</w:t>
      </w:r>
      <w:r>
        <w:t xml:space="preserve"> </w:t>
      </w:r>
      <w:r>
        <w:rPr>
          <w:iCs/>
          <w:i/>
        </w:rPr>
        <w:t xml:space="preserve">discoverability with timestamps</w:t>
      </w:r>
      <w:r>
        <w:t xml:space="preserve">: a lender</w:t>
      </w:r>
      <w:r>
        <w:t xml:space="preserve"> </w:t>
      </w:r>
      <w:r>
        <w:t xml:space="preserve">can verify that no prior recorded transfer conflicts with its collateral, and</w:t>
      </w:r>
      <w:r>
        <w:t xml:space="preserve"> </w:t>
      </w:r>
      <w:r>
        <w:t xml:space="preserve">the double-pledge fraud that plagues equipment finance acquires a detection</w:t>
      </w:r>
      <w:r>
        <w:t xml:space="preserve"> </w:t>
      </w:r>
      <w:r>
        <w:t xml:space="preserve">mechanism that operates before the money moves rather than after.</w:t>
      </w:r>
    </w:p>
    <w:p>
      <w:pPr>
        <w:pStyle w:val="BodyText"/>
      </w:pPr>
      <w:r>
        <w:rPr>
          <w:rStyle w:val="VerbatimChar"/>
          <w:bCs/>
          <w:b/>
        </w:rPr>
        <w:t xml:space="preserve">EVT_DISPUTE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EVT_RESOLVE</w:t>
      </w:r>
      <w:r>
        <w:rPr>
          <w:bCs/>
          <w:b/>
        </w:rPr>
        <w:t xml:space="preserve"> </w:t>
      </w:r>
      <w:r>
        <w:rPr>
          <w:bCs/>
          <w:b/>
        </w:rPr>
        <w:t xml:space="preserve">as pressure valves.</w:t>
      </w:r>
      <w:r>
        <w:t xml:space="preserve"> </w:t>
      </w:r>
      <w:r>
        <w:t xml:space="preserve">Their design goal is to</w:t>
      </w:r>
      <w:r>
        <w:t xml:space="preserve"> </w:t>
      </w:r>
      <w:r>
        <w:t xml:space="preserve">keep disagreement</w:t>
      </w:r>
      <w:r>
        <w:t xml:space="preserve"> </w:t>
      </w:r>
      <w:r>
        <w:rPr>
          <w:iCs/>
          <w:i/>
        </w:rPr>
        <w:t xml:space="preserve">inside</w:t>
      </w:r>
      <w:r>
        <w:t xml:space="preserve"> </w:t>
      </w:r>
      <w:r>
        <w:t xml:space="preserve">the record system rather than beside it. A dispute</w:t>
      </w:r>
      <w:r>
        <w:t xml:space="preserve"> </w:t>
      </w:r>
      <w:r>
        <w:t xml:space="preserve">event references the contested events, states a position class (contest of</w:t>
      </w:r>
      <w:r>
        <w:t xml:space="preserve"> </w:t>
      </w:r>
      <w:r>
        <w:t xml:space="preserve">fact, of authorization, of measurement validity), and freezes nothing — the</w:t>
      </w:r>
      <w:r>
        <w:t xml:space="preserve"> </w:t>
      </w:r>
      <w:r>
        <w:t xml:space="preserve">asset’s operational life continues, because a system that halts assets on</w:t>
      </w:r>
      <w:r>
        <w:t xml:space="preserve"> </w:t>
      </w:r>
      <w:r>
        <w:t xml:space="preserve">dispute invites denial-of-service by litigation. Resolution events carry the</w:t>
      </w:r>
      <w:r>
        <w:t xml:space="preserve"> </w:t>
      </w:r>
      <w:r>
        <w:t xml:space="preserve">adjudicator’s instrument digest and bind only the parties that accept them;</w:t>
      </w:r>
      <w:r>
        <w:t xml:space="preserve"> </w:t>
      </w:r>
      <w:r>
        <w:t xml:space="preserve">an unaccepted resolution is simply another attributed claim. The pilot’s S4</w:t>
      </w:r>
      <w:r>
        <w:t xml:space="preserve"> </w:t>
      </w:r>
      <w:r>
        <w:t xml:space="preserve">rehearsal (Section 11.3) exercised exactly this pair, and the eleven-day</w:t>
      </w:r>
      <w:r>
        <w:t xml:space="preserve"> </w:t>
      </w:r>
      <w:r>
        <w:t xml:space="preserve">outcome owed as much to the dispute’s structure — both sides arguing from the</w:t>
      </w:r>
      <w:r>
        <w:t xml:space="preserve"> </w:t>
      </w:r>
      <w:r>
        <w:t xml:space="preserve">same frozen evidence DAG — as to any technology beneath it.</w:t>
      </w:r>
    </w:p>
    <w:bookmarkStart w:id="23" w:name="mapping-the-sectors-existing-paperwork"/>
    <w:p>
      <w:pPr>
        <w:pStyle w:val="Heading3"/>
      </w:pPr>
      <w:r>
        <w:t xml:space="preserve">5.3.1 Mapping the Sector’s Existing Paperwork</w:t>
      </w:r>
    </w:p>
    <w:p>
      <w:pPr>
        <w:pStyle w:val="FirstParagraph"/>
      </w:pPr>
      <w:r>
        <w:t xml:space="preserve">The vocabulary was designed against the sector’s existing documentary</w:t>
      </w:r>
      <w:r>
        <w:t xml:space="preserve"> </w:t>
      </w:r>
      <w:r>
        <w:t xml:space="preserve">practice, and the correspondence is worth exhibiting because it answers the</w:t>
      </w:r>
      <w:r>
        <w:t xml:space="preserve"> </w:t>
      </w:r>
      <w:r>
        <w:t xml:space="preserve">adoption question —</w:t>
      </w:r>
      <w:r>
        <w:t xml:space="preserve"> </w:t>
      </w:r>
      <w:r>
        <w:rPr>
          <w:iCs/>
          <w:i/>
        </w:rPr>
        <w:t xml:space="preserve">how much retraining does this demand?</w:t>
      </w:r>
      <w:r>
        <w:t xml:space="preserve"> </w:t>
      </w:r>
      <w:r>
        <w:t xml:space="preserve">— with</w:t>
      </w:r>
      <w:r>
        <w:t xml:space="preserve"> </w:t>
      </w:r>
      <w:r>
        <w:t xml:space="preserve">“</w:t>
      </w:r>
      <w:r>
        <w:t xml:space="preserve">less than</w:t>
      </w:r>
      <w:r>
        <w:t xml:space="preserve"> </w:t>
      </w:r>
      <w:r>
        <w:t xml:space="preserve">feared.</w:t>
      </w:r>
      <w:r>
        <w:t xml:space="preserve">”</w:t>
      </w:r>
      <w:r>
        <w:t xml:space="preserve"> </w:t>
      </w:r>
      <w:r>
        <w:t xml:space="preserve">Table 5.5 maps the standard documents to their event carriers.</w:t>
      </w:r>
    </w:p>
    <w:p>
      <w:pPr>
        <w:pStyle w:val="BodyText"/>
      </w:pPr>
      <w:r>
        <w:rPr>
          <w:bCs/>
          <w:b/>
        </w:rPr>
        <w:t xml:space="preserve">Table 5.5</w:t>
      </w:r>
      <w:r>
        <w:t xml:space="preserve"> </w:t>
      </w:r>
      <w:r>
        <w:t xml:space="preserve">The sector’s existing documents and their representation in the</w:t>
      </w:r>
      <w:r>
        <w:t xml:space="preserve"> </w:t>
      </w:r>
      <w:r>
        <w:t xml:space="preserve">event schema.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Existing document /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representation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Factory flash-test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 in</w:t>
            </w:r>
            <w:r>
              <w:t xml:space="preserve"> </w:t>
            </w:r>
            <w:r>
              <w:rPr>
                <w:rStyle w:val="VerbatimChar"/>
              </w:rPr>
              <w:t xml:space="preserve">EVT_REGISTER</w:t>
            </w:r>
            <w:r>
              <w:t xml:space="preserve"> </w:t>
            </w:r>
            <w:r>
              <w:t xml:space="preserve">payload (§3.5.1’s walkthrough)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Packing list / shipping manifest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EVT_SHIP</w:t>
            </w:r>
            <w:r>
              <w:t xml:space="preserve"> </w:t>
            </w:r>
            <w:r>
              <w:t xml:space="preserve">payload + batch manifest refs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 receipt with 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Receiving side of dual-signed</w:t>
            </w:r>
            <w:r>
              <w:t xml:space="preserve"> </w:t>
            </w:r>
            <w:r>
              <w:rPr>
                <w:rStyle w:val="VerbatimChar"/>
              </w:rPr>
              <w:t xml:space="preserve">EVT_CUSTODY_TRANSFER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IEC 62446-1 commissioning documentation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EVT_COMMISSION</w:t>
            </w:r>
            <w:r>
              <w:t xml:space="preserve"> </w:t>
            </w:r>
            <w:r>
              <w:t xml:space="preserve">payload (test categories map 1:1 to §62446 checklists)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O&amp;M inspection 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EVT_INSPECT</w:t>
            </w:r>
            <w:r>
              <w:t xml:space="preserve"> </w:t>
            </w:r>
            <w:r>
              <w:t xml:space="preserve">payloads, modality-tagged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 orders / service 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EVT_MAINTAIN</w:t>
            </w:r>
            <w:r>
              <w:t xml:space="preserve"> </w:t>
            </w:r>
            <w:r>
              <w:t xml:space="preserve">payloads referencing parts’ DIDs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/ claim notices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EVT_FAULT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EVT_DISPUTE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 of sale, assignment agreements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EVT_OWNERSHIP_TRANSFER</w:t>
            </w:r>
            <w:r>
              <w:t xml:space="preserve"> </w:t>
            </w:r>
            <w:r>
              <w:t xml:space="preserve">with encumbrance digests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Decommissioning plans, WEEE documentation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EVT_DECOMMISSION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EVT_RECYCLE</w:t>
            </w:r>
            <w:r>
              <w:t xml:space="preserve"> </w:t>
            </w:r>
            <w:r>
              <w:t xml:space="preserve">payloads</w:t>
            </w:r>
          </w:p>
        </w:tc>
      </w:tr>
    </w:tbl>
    <w:p>
      <w:pPr>
        <w:pStyle w:val="BodyText"/>
      </w:pPr>
      <w:r>
        <w:t xml:space="preserve">The mapping’s fidelity is deliberate: field personnel continue producing the</w:t>
      </w:r>
      <w:r>
        <w:t xml:space="preserve"> </w:t>
      </w:r>
      <w:r>
        <w:t xml:space="preserve">documents their contracts and standards already require; the schema’s demand</w:t>
      </w:r>
      <w:r>
        <w:t xml:space="preserve"> </w:t>
      </w:r>
      <w:r>
        <w:t xml:space="preserve">is only that each document be canonically serialized, signed at the right</w:t>
      </w:r>
      <w:r>
        <w:t xml:space="preserve"> </w:t>
      </w:r>
      <w:r>
        <w:t xml:space="preserve">grade, and referenced from its event — the difference between a PDF in a</w:t>
      </w:r>
      <w:r>
        <w:t xml:space="preserve"> </w:t>
      </w:r>
      <w:r>
        <w:t xml:space="preserve">shared folder and evidence, purchased at the cost of integration software</w:t>
      </w:r>
      <w:r>
        <w:t xml:space="preserve"> </w:t>
      </w:r>
      <w:r>
        <w:t xml:space="preserve">rather than of new field procedure. Where the mapping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one-to-one —</w:t>
      </w:r>
      <w:r>
        <w:t xml:space="preserve"> </w:t>
      </w:r>
      <w:r>
        <w:t xml:space="preserve">the dual-signed custody transfer replacing the one-sided delivery receipt is</w:t>
      </w:r>
      <w:r>
        <w:t xml:space="preserve"> </w:t>
      </w:r>
      <w:r>
        <w:t xml:space="preserve">the main case — the change is the point, not an accident, and the affected</w:t>
      </w:r>
      <w:r>
        <w:t xml:space="preserve"> </w:t>
      </w:r>
      <w:r>
        <w:t xml:space="preserve">workflow gets explicit treatment in the deployment chapters. The mapping also</w:t>
      </w:r>
      <w:r>
        <w:t xml:space="preserve"> </w:t>
      </w:r>
      <w:r>
        <w:t xml:space="preserve">supplies the migration path for history: an owner holding twenty years of</w:t>
      </w:r>
      <w:r>
        <w:t xml:space="preserve"> </w:t>
      </w:r>
      <w:r>
        <w:t xml:space="preserve">legacy documentation can</w:t>
      </w:r>
      <w:r>
        <w:t xml:space="preserve"> </w:t>
      </w:r>
      <w:r>
        <w:rPr>
          <w:iCs/>
          <w:i/>
        </w:rPr>
        <w:t xml:space="preserve">backfill</w:t>
      </w:r>
      <w:r>
        <w:t xml:space="preserve"> </w:t>
      </w:r>
      <w:r>
        <w:t xml:space="preserve">it as referenced payloads on retroactive</w:t>
      </w:r>
      <w:r>
        <w:t xml:space="preserve"> </w:t>
      </w:r>
      <w:r>
        <w:t xml:space="preserve">registrations — signed by the party vouching for each document today, dated</w:t>
      </w:r>
      <w:r>
        <w:t xml:space="preserve"> </w:t>
      </w:r>
      <w:r>
        <w:t xml:space="preserve">honestly with both the document’s claimed date and the backfill’s ledger</w:t>
      </w:r>
      <w:r>
        <w:t xml:space="preserve"> </w:t>
      </w:r>
      <w:r>
        <w:t xml:space="preserve">time — so that legacy paper enters the system as what it is (attributed,</w:t>
      </w:r>
      <w:r>
        <w:t xml:space="preserve"> </w:t>
      </w:r>
      <w:r>
        <w:t xml:space="preserve">unverifiable-at-origin claims) rather than being either discarded or</w:t>
      </w:r>
      <w:r>
        <w:t xml:space="preserve"> </w:t>
      </w:r>
      <w:r>
        <w:t xml:space="preserve">laundered into contemporaneous evidence.</w:t>
      </w:r>
    </w:p>
    <w:bookmarkEnd w:id="23"/>
    <w:bookmarkEnd w:id="24"/>
    <w:bookmarkStart w:id="26" w:name="the-envelope-schema"/>
    <w:p>
      <w:pPr>
        <w:pStyle w:val="Heading2"/>
      </w:pPr>
      <w:r>
        <w:t xml:space="preserve">5.4 The Envelope Schema</w:t>
      </w:r>
    </w:p>
    <w:p>
      <w:pPr>
        <w:pStyle w:val="FirstParagraph"/>
      </w:pPr>
      <w:r>
        <w:t xml:space="preserve">The envelope, common to all events, in the notation used throughout Part II (concrete</w:t>
      </w:r>
      <w:r>
        <w:t xml:space="preserve"> </w:t>
      </w:r>
      <w:r>
        <w:t xml:space="preserve">encodings in Appendix A):</w:t>
      </w:r>
    </w:p>
    <w:p>
      <w:pPr>
        <w:pStyle w:val="SourceCode"/>
      </w:pPr>
      <w:r>
        <w:rPr>
          <w:rStyle w:val="VerbatimChar"/>
        </w:rPr>
        <w:t xml:space="preserve">EventEnvelope {</w:t>
      </w:r>
      <w:r>
        <w:br/>
      </w:r>
      <w:r>
        <w:rPr>
          <w:rStyle w:val="VerbatimChar"/>
        </w:rPr>
        <w:t xml:space="preserve">  schema_version   : uint16          // envelope version, not payload version</w:t>
      </w:r>
      <w:r>
        <w:br/>
      </w:r>
      <w:r>
        <w:rPr>
          <w:rStyle w:val="VerbatimChar"/>
        </w:rPr>
        <w:t xml:space="preserve">  asset_did        : DID</w:t>
      </w:r>
      <w:r>
        <w:br/>
      </w:r>
      <w:r>
        <w:rPr>
          <w:rStyle w:val="VerbatimChar"/>
        </w:rPr>
        <w:t xml:space="preserve">  event_type       : enum (Table 5.1)</w:t>
      </w:r>
      <w:r>
        <w:br/>
      </w:r>
      <w:r>
        <w:rPr>
          <w:rStyle w:val="VerbatimChar"/>
        </w:rPr>
        <w:t xml:space="preserve">  payload_version  : uint16          // per-type payload schema version</w:t>
      </w:r>
      <w:r>
        <w:br/>
      </w:r>
      <w:r>
        <w:rPr>
          <w:rStyle w:val="VerbatimChar"/>
        </w:rPr>
        <w:t xml:space="preserve">  payload_digest   : bytes32         // over canonical payload serialization</w:t>
      </w:r>
      <w:r>
        <w:br/>
      </w:r>
      <w:r>
        <w:rPr>
          <w:rStyle w:val="VerbatimChar"/>
        </w:rPr>
        <w:t xml:space="preserve">  payload_refs     : ContentRef[]    // off-chain locators (≥ custody policy min)</w:t>
      </w:r>
      <w:r>
        <w:br/>
      </w:r>
      <w:r>
        <w:rPr>
          <w:rStyle w:val="VerbatimChar"/>
        </w:rPr>
        <w:t xml:space="preserve">  claimed_time     : timestamp       // submitter's asserted physical-world time</w:t>
      </w:r>
      <w:r>
        <w:br/>
      </w:r>
      <w:r>
        <w:rPr>
          <w:rStyle w:val="VerbatimChar"/>
        </w:rPr>
        <w:t xml:space="preserve">  prior_refs       : EventRef[]      // events this one contextually depends on</w:t>
      </w:r>
      <w:r>
        <w:br/>
      </w:r>
      <w:r>
        <w:rPr>
          <w:rStyle w:val="VerbatimChar"/>
        </w:rPr>
        <w:t xml:space="preserve">  submitter        : DID + signature</w:t>
      </w:r>
      <w:r>
        <w:br/>
      </w:r>
      <w:r>
        <w:rPr>
          <w:rStyle w:val="VerbatimChar"/>
        </w:rPr>
        <w:t xml:space="preserve">  corroborations   : Attestation[]   // per corroboration class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// ledger_time (block inclusion) and sequence are supplied by consensus, not the submitter</w:t>
      </w:r>
    </w:p>
    <w:p>
      <w:pPr>
        <w:pStyle w:val="FirstParagraph"/>
      </w:pPr>
      <w:r>
        <w:t xml:space="preserve">Size discipline, since Chapter 7’s arithmetic depends on it: a typical</w:t>
      </w:r>
      <w:r>
        <w:t xml:space="preserve"> </w:t>
      </w:r>
      <w:r>
        <w:t xml:space="preserve">envelope serializes to 600–1,200 bytes under deterministic CBOR — dominated</w:t>
      </w:r>
      <w:r>
        <w:t xml:space="preserve"> </w:t>
      </w:r>
      <w:r>
        <w:t xml:space="preserve">by signatures and corroborations, which is why post-quantum signature sizes</w:t>
      </w:r>
      <w:r>
        <w:t xml:space="preserve"> </w:t>
      </w:r>
      <w:r>
        <w:t xml:space="preserve">(Chapter 9) are the envelope’s main growth risk — and the schema’s rule is</w:t>
      </w:r>
      <w:r>
        <w:t xml:space="preserve"> </w:t>
      </w:r>
      <w:r>
        <w:t xml:space="preserve">that nothing in the envelope may scale with payload size or asset age.</w:t>
      </w:r>
      <w:r>
        <w:t xml:space="preserve"> </w:t>
      </w:r>
      <w:r>
        <w:rPr>
          <w:rStyle w:val="VerbatimChar"/>
        </w:rPr>
        <w:t xml:space="preserve">prior_refs</w:t>
      </w:r>
      <w:r>
        <w:t xml:space="preserve"> </w:t>
      </w:r>
      <w:r>
        <w:t xml:space="preserve">is capped (events needing many references carry a digest of a</w:t>
      </w:r>
      <w:r>
        <w:t xml:space="preserve"> </w:t>
      </w:r>
      <w:r>
        <w:t xml:space="preserve">reference manifest instead),</w:t>
      </w:r>
      <w:r>
        <w:t xml:space="preserve"> </w:t>
      </w:r>
      <w:r>
        <w:rPr>
          <w:rStyle w:val="VerbatimChar"/>
        </w:rPr>
        <w:t xml:space="preserve">payload_refs</w:t>
      </w:r>
      <w:r>
        <w:t xml:space="preserve"> </w:t>
      </w:r>
      <w:r>
        <w:t xml:space="preserve">carries locators rather than</w:t>
      </w:r>
      <w:r>
        <w:t xml:space="preserve"> </w:t>
      </w:r>
      <w:r>
        <w:t xml:space="preserve">inline metadata, and free-text fields do not exist at the envelope level at</w:t>
      </w:r>
      <w:r>
        <w:t xml:space="preserve"> </w:t>
      </w:r>
      <w:r>
        <w:t xml:space="preserve">all: prose lives in payloads, where it belongs, and the envelope remains the</w:t>
      </w:r>
      <w:r>
        <w:t xml:space="preserve"> </w:t>
      </w:r>
      <w:r>
        <w:t xml:space="preserve">fixed-cost, machine-verifiable skeleton that a validator can check in</w:t>
      </w:r>
      <w:r>
        <w:t xml:space="preserve"> </w:t>
      </w:r>
      <w:r>
        <w:t xml:space="preserve">microseconds and a national fleet can accumulate for decades without</w:t>
      </w:r>
      <w:r>
        <w:t xml:space="preserve"> </w:t>
      </w:r>
      <w:r>
        <w:t xml:space="preserve">embarrassment.</w:t>
      </w:r>
    </w:p>
    <w:p>
      <w:pPr>
        <w:pStyle w:val="BodyText"/>
      </w:pPr>
      <w:r>
        <w:t xml:space="preserve">Field-by-field rationale, briefly, because each line of the envelope survived</w:t>
      </w:r>
      <w:r>
        <w:t xml:space="preserve"> </w:t>
      </w:r>
      <w:r>
        <w:t xml:space="preserve">an argument.</w:t>
      </w:r>
      <w:r>
        <w:t xml:space="preserve"> </w:t>
      </w:r>
      <w:r>
        <w:rPr>
          <w:rStyle w:val="VerbatimChar"/>
        </w:rPr>
        <w:t xml:space="preserve">schema_version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payload_version</w:t>
      </w:r>
      <w:r>
        <w:t xml:space="preserve"> </w:t>
      </w:r>
      <w:r>
        <w:t xml:space="preserve">are separate because they</w:t>
      </w:r>
      <w:r>
        <w:t xml:space="preserve"> </w:t>
      </w:r>
      <w:r>
        <w:t xml:space="preserve">evolve at different rates and under different authorities — the envelope by</w:t>
      </w:r>
      <w:r>
        <w:t xml:space="preserve"> </w:t>
      </w:r>
      <w:r>
        <w:t xml:space="preserve">supermajority governance, payloads by technical-committee cadence. The digest</w:t>
      </w:r>
      <w:r>
        <w:t xml:space="preserve"> </w:t>
      </w:r>
      <w:r>
        <w:t xml:space="preserve">and refs separation is Section 4.2.1’s storage-migration freedom.</w:t>
      </w:r>
      <w:r>
        <w:t xml:space="preserve"> </w:t>
      </w:r>
      <w:r>
        <w:rPr>
          <w:rStyle w:val="VerbatimChar"/>
        </w:rPr>
        <w:t xml:space="preserve">claimed_time</w:t>
      </w:r>
      <w:r>
        <w:t xml:space="preserve"> </w:t>
      </w:r>
      <w:r>
        <w:t xml:space="preserve">is the submitter’s assertion and is</w:t>
      </w:r>
      <w:r>
        <w:t xml:space="preserve"> </w:t>
      </w:r>
      <w:r>
        <w:rPr>
          <w:iCs/>
          <w:i/>
        </w:rPr>
        <w:t xml:space="preserve">evidence about the</w:t>
      </w:r>
      <w:r>
        <w:rPr>
          <w:iCs/>
          <w:i/>
        </w:rPr>
        <w:t xml:space="preserve"> </w:t>
      </w:r>
      <w:r>
        <w:rPr>
          <w:iCs/>
          <w:i/>
        </w:rPr>
        <w:t xml:space="preserve">submitter</w:t>
      </w:r>
      <w:r>
        <w:t xml:space="preserve"> </w:t>
      </w:r>
      <w:r>
        <w:t xml:space="preserve">as much as about the world;</w:t>
      </w:r>
      <w:r>
        <w:t xml:space="preserve"> </w:t>
      </w:r>
      <w:r>
        <w:rPr>
          <w:rStyle w:val="VerbatimChar"/>
        </w:rPr>
        <w:t xml:space="preserve">ledger_time</w:t>
      </w:r>
      <w:r>
        <w:t xml:space="preserve"> </w:t>
      </w:r>
      <w:r>
        <w:t xml:space="preserve">is consensus fact; the</w:t>
      </w:r>
      <w:r>
        <w:t xml:space="preserve"> </w:t>
      </w:r>
      <w:r>
        <w:t xml:space="preserve">pair brackets the truth, and their gap is itself a monitored quantity (a</w:t>
      </w:r>
      <w:r>
        <w:t xml:space="preserve"> </w:t>
      </w:r>
      <w:r>
        <w:t xml:space="preserve">submitter whose gaps trend long is a process problem surfacing).</w:t>
      </w:r>
      <w:r>
        <w:t xml:space="preserve"> </w:t>
      </w:r>
      <w:r>
        <w:rPr>
          <w:rStyle w:val="VerbatimChar"/>
        </w:rPr>
        <w:t xml:space="preserve">submitter</w:t>
      </w:r>
      <w:r>
        <w:t xml:space="preserve"> </w:t>
      </w:r>
      <w:r>
        <w:t xml:space="preserve">is a role DID, never a legal person, per Chapter 10’s privacy architecture.</w:t>
      </w:r>
      <w:r>
        <w:t xml:space="preserve"> </w:t>
      </w:r>
      <w:r>
        <w:rPr>
          <w:rStyle w:val="VerbatimChar"/>
        </w:rPr>
        <w:t xml:space="preserve">corroborations</w:t>
      </w:r>
      <w:r>
        <w:t xml:space="preserve"> </w:t>
      </w:r>
      <w:r>
        <w:t xml:space="preserve">is an array rather than fixed fields because corroboration</w:t>
      </w:r>
      <w:r>
        <w:t xml:space="preserve"> </w:t>
      </w:r>
      <w:r>
        <w:t xml:space="preserve">classes are policy (Table 5.1) and policy changes; the array’s</w:t>
      </w:r>
      <w:r>
        <w:t xml:space="preserve"> </w:t>
      </w:r>
      <w:r>
        <w:rPr>
          <w:iCs/>
          <w:i/>
        </w:rPr>
        <w:t xml:space="preserve">contents</w:t>
      </w:r>
      <w:r>
        <w:t xml:space="preserve"> </w:t>
      </w:r>
      <w:r>
        <w:t xml:space="preserve">are</w:t>
      </w:r>
      <w:r>
        <w:t xml:space="preserve"> </w:t>
      </w:r>
      <w:r>
        <w:t xml:space="preserve">constrained at write time by the class in force, recorded via the policy</w:t>
      </w:r>
      <w:r>
        <w:t xml:space="preserve"> </w:t>
      </w:r>
      <w:r>
        <w:t xml:space="preserve">reference every event implicitly carries through its block’s governance-state</w:t>
      </w:r>
      <w:r>
        <w:t xml:space="preserve"> </w:t>
      </w:r>
      <w:r>
        <w:t xml:space="preserve">digest (Section 4.4).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prior_refs</w:t>
      </w:r>
      <w:r>
        <w:t xml:space="preserve"> </w:t>
      </w:r>
      <w:r>
        <w:t xml:space="preserve">field quietly does a lot of work: it turns the per-asset event</w:t>
      </w:r>
      <w:r>
        <w:t xml:space="preserve"> </w:t>
      </w:r>
      <w:r>
        <w:t xml:space="preserve">stream into a</w:t>
      </w:r>
      <w:r>
        <w:t xml:space="preserve"> </w:t>
      </w:r>
      <w:r>
        <w:rPr>
          <w:iCs/>
          <w:i/>
        </w:rPr>
        <w:t xml:space="preserve">directed acyclic graph</w:t>
      </w:r>
      <w:r>
        <w:t xml:space="preserve"> </w:t>
      </w:r>
      <w:r>
        <w:t xml:space="preserve">of evidence — a warranty claim references the</w:t>
      </w:r>
      <w:r>
        <w:t xml:space="preserve"> </w:t>
      </w:r>
      <w:r>
        <w:t xml:space="preserve">commissioning event and the two condition records that bracket the degradation; the</w:t>
      </w:r>
      <w:r>
        <w:t xml:space="preserve"> </w:t>
      </w:r>
      <w:r>
        <w:t xml:space="preserve">resolution references the claim. Verifiers traverse this graph; Chapter 6’s</w:t>
      </w:r>
      <w:r>
        <w:t xml:space="preserve"> </w:t>
      </w:r>
      <w:r>
        <w:t xml:space="preserve">verification workflow and Chapter 11’s walkthrough are both graph traversals, and the</w:t>
      </w:r>
      <w:r>
        <w:t xml:space="preserve"> </w:t>
      </w:r>
      <w:r>
        <w:t xml:space="preserve">graph structure is what lets a verifier check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the subgraph relevant to a</w:t>
      </w:r>
      <w:r>
        <w:t xml:space="preserve"> </w:t>
      </w:r>
      <w:r>
        <w:t xml:space="preserve">question instead of replaying an asset’s whole life.</w:t>
      </w:r>
    </w:p>
    <w:p>
      <w:pPr>
        <w:pStyle w:val="BodyText"/>
      </w:pPr>
      <w:r>
        <w:rPr>
          <w:bCs/>
          <w:b/>
        </w:rPr>
        <w:t xml:space="preserve">Figure 5.3</w:t>
      </w:r>
      <w:r>
        <w:t xml:space="preserve"> </w:t>
      </w:r>
      <w:r>
        <w:t xml:space="preserve">A fragment of one module’s evidence DAG, as a warranty</w:t>
      </w:r>
      <w:r>
        <w:t xml:space="preserve"> </w:t>
      </w:r>
      <w:r>
        <w:t xml:space="preserve">adjudicator would traverse it. Boxes are events; arrows are</w:t>
      </w:r>
      <w:r>
        <w:t xml:space="preserve"> </w:t>
      </w:r>
      <w:r>
        <w:rPr>
          <w:rStyle w:val="VerbatimChar"/>
        </w:rPr>
        <w:t xml:space="preserve">prior_refs</w:t>
      </w:r>
      <w:r>
        <w:t xml:space="preserve"> </w:t>
      </w:r>
      <w:r>
        <w:t xml:space="preserve">edges (each arrow points from an event to evidence it relies on).</w:t>
      </w:r>
    </w:p>
    <w:p>
      <w:pPr>
        <w:pStyle w:val="SourceCode"/>
      </w:pPr>
      <w:r>
        <w:rPr>
          <w:rStyle w:val="VerbatimChar"/>
        </w:rPr>
        <w:t xml:space="preserve">flowchart RL</w:t>
      </w:r>
      <w:r>
        <w:br/>
      </w:r>
      <w:r>
        <w:rPr>
          <w:rStyle w:val="VerbatimChar"/>
        </w:rPr>
        <w:t xml:space="preserve">    RES[EVT_RESOLVE&lt;br&gt;adjudicator, yr 13] --&gt; CLM[EVT_FAULT claim&lt;br&gt;owner, yr 12]</w:t>
      </w:r>
      <w:r>
        <w:br/>
      </w:r>
      <w:r>
        <w:rPr>
          <w:rStyle w:val="VerbatimChar"/>
        </w:rPr>
        <w:t xml:space="preserve">    RES --&gt; REB[Manufacturer response&lt;br&gt;+ factory first-article refs]</w:t>
      </w:r>
      <w:r>
        <w:br/>
      </w:r>
      <w:r>
        <w:rPr>
          <w:rStyle w:val="VerbatimChar"/>
        </w:rPr>
        <w:t xml:space="preserve">    CLM --&gt; C2[EVT_INSPECT&lt;br&gt;EL campaign, yr 11]</w:t>
      </w:r>
      <w:r>
        <w:br/>
      </w:r>
      <w:r>
        <w:rPr>
          <w:rStyle w:val="VerbatimChar"/>
        </w:rPr>
        <w:t xml:space="preserve">    CLM --&gt; C1[EVT_INSPECT&lt;br&gt;EL sample, yr 6]</w:t>
      </w:r>
      <w:r>
        <w:br/>
      </w:r>
      <w:r>
        <w:rPr>
          <w:rStyle w:val="VerbatimChar"/>
        </w:rPr>
        <w:t xml:space="preserve">    CLM --&gt; COM[EVT_COMMISSION&lt;br&gt;Class C, yr 0]</w:t>
      </w:r>
      <w:r>
        <w:br/>
      </w:r>
      <w:r>
        <w:rPr>
          <w:rStyle w:val="VerbatimChar"/>
        </w:rPr>
        <w:t xml:space="preserve">    REB --&gt; C2</w:t>
      </w:r>
      <w:r>
        <w:br/>
      </w:r>
      <w:r>
        <w:rPr>
          <w:rStyle w:val="VerbatimChar"/>
        </w:rPr>
        <w:t xml:space="preserve">    REB --&gt; REG[EVT_REGISTER&lt;br&gt;factory enrollment]</w:t>
      </w:r>
      <w:r>
        <w:br/>
      </w:r>
      <w:r>
        <w:rPr>
          <w:rStyle w:val="VerbatimChar"/>
        </w:rPr>
        <w:t xml:space="preserve">    C2 --&gt; C1</w:t>
      </w:r>
      <w:r>
        <w:br/>
      </w:r>
      <w:r>
        <w:rPr>
          <w:rStyle w:val="VerbatimChar"/>
        </w:rPr>
        <w:t xml:space="preserve">    C1 --&gt; COM</w:t>
      </w:r>
      <w:r>
        <w:br/>
      </w:r>
      <w:r>
        <w:rPr>
          <w:rStyle w:val="VerbatimChar"/>
        </w:rPr>
        <w:t xml:space="preserve">    COM --&gt; INS[EVT_INSTALL&lt;br&gt;position map]</w:t>
      </w:r>
      <w:r>
        <w:br/>
      </w:r>
      <w:r>
        <w:rPr>
          <w:rStyle w:val="VerbatimChar"/>
        </w:rPr>
        <w:t xml:space="preserve">    INS --&gt; REG</w:t>
      </w:r>
      <w:r>
        <w:br/>
      </w:r>
      <w:r>
        <w:rPr>
          <w:rStyle w:val="VerbatimChar"/>
        </w:rPr>
        <w:t xml:space="preserve">    C2 -.instrument DID.-&gt; CAL[Instrument calibration&lt;br&gt;chain, own DAG]</w:t>
      </w:r>
    </w:p>
    <w:p>
      <w:pPr>
        <w:pStyle w:val="FirstParagraph"/>
      </w:pPr>
      <w:r>
        <w:t xml:space="preserve">Reading the figure as the adjudicator does: the claim’s support is the</w:t>
      </w:r>
      <w:r>
        <w:t xml:space="preserve"> </w:t>
      </w:r>
      <w:r>
        <w:t xml:space="preserve">commissioning baseline plus two condition records; each condition record’s</w:t>
      </w:r>
      <w:r>
        <w:t xml:space="preserve"> </w:t>
      </w:r>
      <w:r>
        <w:t xml:space="preserve">support includes its instrument’s calibration DAG (the Rule 3 recursion of</w:t>
      </w:r>
      <w:r>
        <w:t xml:space="preserve"> </w:t>
      </w:r>
      <w:r>
        <w:t xml:space="preserve">Section 4.5); the manufacturer’s rebuttal reaches back to factory enrollment;</w:t>
      </w:r>
      <w:r>
        <w:t xml:space="preserve"> </w:t>
      </w:r>
      <w:r>
        <w:t xml:space="preserve">and every box resolves to signed, anchored, digest-committed bytes. The</w:t>
      </w:r>
      <w:r>
        <w:t xml:space="preserve"> </w:t>
      </w:r>
      <w:r>
        <w:t xml:space="preserve">traversal touches perhaps a dozen events out of the module’s lifetime few</w:t>
      </w:r>
      <w:r>
        <w:t xml:space="preserve"> </w:t>
      </w:r>
      <w:r>
        <w:t xml:space="preserve">hundred — the DAG is why verification cost scales with the</w:t>
      </w:r>
      <w:r>
        <w:t xml:space="preserve"> </w:t>
      </w:r>
      <w:r>
        <w:rPr>
          <w:iCs/>
          <w:i/>
        </w:rPr>
        <w:t xml:space="preserve">question</w:t>
      </w:r>
      <w:r>
        <w:t xml:space="preserve">, not</w:t>
      </w:r>
      <w:r>
        <w:t xml:space="preserve"> </w:t>
      </w:r>
      <w:r>
        <w:t xml:space="preserve">with the asset’s age. Note also what the DAG’s</w:t>
      </w:r>
      <w:r>
        <w:t xml:space="preserve"> </w:t>
      </w:r>
      <w:r>
        <w:rPr>
          <w:iCs/>
          <w:i/>
        </w:rPr>
        <w:t xml:space="preserve">shape</w:t>
      </w:r>
      <w:r>
        <w:t xml:space="preserve"> </w:t>
      </w:r>
      <w:r>
        <w:t xml:space="preserve">communicates before</w:t>
      </w:r>
      <w:r>
        <w:t xml:space="preserve"> </w:t>
      </w:r>
      <w:r>
        <w:t xml:space="preserve">any payload is opened: a claim citing no condition records, or citing records</w:t>
      </w:r>
      <w:r>
        <w:t xml:space="preserve"> </w:t>
      </w:r>
      <w:r>
        <w:t xml:space="preserve">whose instruments have no calibration edges, is structurally weak in a way a</w:t>
      </w:r>
      <w:r>
        <w:t xml:space="preserve"> </w:t>
      </w:r>
      <w:r>
        <w:t xml:space="preserve">policy engine can score mechanically — the graph is a triage instrument as</w:t>
      </w:r>
      <w:r>
        <w:t xml:space="preserve"> </w:t>
      </w:r>
      <w:r>
        <w:t xml:space="preserve">well as an evidence index, and Chapter 11’s insurer client exploits exactly</w:t>
      </w:r>
      <w:r>
        <w:t xml:space="preserve"> </w:t>
      </w:r>
      <w:r>
        <w:t xml:space="preserve">that.</w:t>
      </w:r>
    </w:p>
    <w:bookmarkStart w:id="25" w:name="a-complete-biography-in-events"/>
    <w:p>
      <w:pPr>
        <w:pStyle w:val="Heading3"/>
      </w:pPr>
      <w:r>
        <w:t xml:space="preserve">5.4.1 A Complete Biography in Events</w:t>
      </w:r>
    </w:p>
    <w:p>
      <w:pPr>
        <w:pStyle w:val="FirstParagraph"/>
      </w:pPr>
      <w:r>
        <w:t xml:space="preserve">To make the schema concrete at the scale it actually operates, here is one</w:t>
      </w:r>
      <w:r>
        <w:t xml:space="preserve"> </w:t>
      </w:r>
      <w:r>
        <w:t xml:space="preserve">module’s entire 26-year documentary life — every event it ever generates,</w:t>
      </w:r>
      <w:r>
        <w:t xml:space="preserve"> </w:t>
      </w:r>
      <w:r>
        <w:t xml:space="preserve">which is to say the complete cost of its record-keeping.</w:t>
      </w:r>
    </w:p>
    <w:p>
      <w:pPr>
        <w:pStyle w:val="BodyText"/>
      </w:pPr>
      <w:r>
        <w:rPr>
          <w:bCs/>
          <w:b/>
        </w:rPr>
        <w:t xml:space="preserve">Table 5.4</w:t>
      </w:r>
      <w:r>
        <w:t xml:space="preserve"> </w:t>
      </w:r>
      <w:r>
        <w:t xml:space="preserve">Complete event biography of one representative module. Twenty</w:t>
      </w:r>
      <w:r>
        <w:t xml:space="preserve"> </w:t>
      </w:r>
      <w:r>
        <w:t xml:space="preserve">events over 26 years; ~25 kB of envelopes on-chain, ~180 MB of payloads in</w:t>
      </w:r>
      <w:r>
        <w:t xml:space="preserve"> </w:t>
      </w:r>
      <w:r>
        <w:t xml:space="preserve">custody.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EVT_REGISTER</w:t>
            </w:r>
            <w:r>
              <w:t xml:space="preserve"> </w:t>
            </w:r>
            <w:r>
              <w:t xml:space="preserve">(factory class)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Enrollment templates, flash VC, batch/BOM refs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Factory → port consolidator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EVT_CUSTODY_TRANSFER</w:t>
            </w:r>
            <w:r>
              <w:t xml:space="preserve"> </w:t>
            </w:r>
            <w:r>
              <w:t xml:space="preserve">×3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Consolidator → carrier → import warehouse → site laydown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B4-R112-S07-17; installer credential VC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C; warranty clock starts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EVT_INSPECT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Drone IR campaign; unit in sampled subset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EVT_INSPECT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sample (2% annual policy); template match, condition delta 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EVT_OWNERSHIP_TRANSFER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sale; one of 126,000 batched transfers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EVT_INSPECT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Post-hailstorm EL campaign; new crack network 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claims accelerated degradation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EVT_DISPUTE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Manufacturer contests attribution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Adjudicated: transport-era crack, storm-extended; partial settlement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EVT_MAINTAIN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rework after settlement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EVT_INSPECT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Diligence campaign for refinancing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Repowering; post-removal condition digest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secondary-market broker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EVT_CUSTODY_TRANSFER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EVT_OWNERSHIP_TRANSFER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 sale, V2-verified lot (§3.6.1)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EVT_INSTALL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EVT_COMMISSION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life, price-sensitive market, retroactive-context noted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EVT_REMOVE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EVT_DECOMMISSION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second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EVT_RECYCLE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Accredited recycler; mass balance into EPR reporting</w:t>
            </w:r>
          </w:p>
        </w:tc>
      </w:tr>
    </w:tbl>
    <w:p>
      <w:pPr>
        <w:pStyle w:val="BodyText"/>
      </w:pPr>
      <w:r>
        <w:t xml:space="preserve">Three observations from the biography. First, the</w:t>
      </w:r>
      <w:r>
        <w:t xml:space="preserve"> </w:t>
      </w:r>
      <w:r>
        <w:rPr>
          <w:iCs/>
          <w:i/>
        </w:rPr>
        <w:t xml:space="preserve">volume</w:t>
      </w:r>
      <w:r>
        <w:t xml:space="preserve"> </w:t>
      </w:r>
      <w:r>
        <w:t xml:space="preserve">confirms the</w:t>
      </w:r>
      <w:r>
        <w:t xml:space="preserve"> </w:t>
      </w:r>
      <w:r>
        <w:t xml:space="preserve">Chapter 4 workload analysis from the unit side: twenty envelopes in 26 years,</w:t>
      </w:r>
      <w:r>
        <w:t xml:space="preserve"> </w:t>
      </w:r>
      <w:r>
        <w:t xml:space="preserve">of which half cluster at the custody-intensive beginning and end — the ledger</w:t>
      </w:r>
      <w:r>
        <w:t xml:space="preserve"> </w:t>
      </w:r>
      <w:r>
        <w:t xml:space="preserve">is nearly idle during the asset’s long productive middle, exactly when</w:t>
      </w:r>
      <w:r>
        <w:t xml:space="preserve"> </w:t>
      </w:r>
      <w:r>
        <w:t xml:space="preserve">operational telemetry (off-ledger) is busiest. The inversion is worth</w:t>
      </w:r>
      <w:r>
        <w:t xml:space="preserve"> </w:t>
      </w:r>
      <w:r>
        <w:t xml:space="preserve">noticing because it is the opposite of what casual intuition expects from</w:t>
      </w:r>
      <w:r>
        <w:t xml:space="preserve"> </w:t>
      </w:r>
      <w:r>
        <w:t xml:space="preserve">“</w:t>
      </w:r>
      <w:r>
        <w:t xml:space="preserve">asset tracking</w:t>
      </w:r>
      <w:r>
        <w:t xml:space="preserve">”</w:t>
      </w:r>
      <w:r>
        <w:t xml:space="preserve">: the record system works hardest precisely when the asset</w:t>
      </w:r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working. Second, the</w:t>
      </w:r>
      <w:r>
        <w:t xml:space="preserve"> </w:t>
      </w:r>
      <w:r>
        <w:rPr>
          <w:iCs/>
          <w:i/>
        </w:rPr>
        <w:t xml:space="preserve">value moments</w:t>
      </w:r>
      <w:r>
        <w:t xml:space="preserve"> </w:t>
      </w:r>
      <w:r>
        <w:t xml:space="preserve">—</w:t>
      </w:r>
      <w:r>
        <w:t xml:space="preserve"> </w:t>
      </w:r>
      <w:r>
        <w:t xml:space="preserve">the year-12 dispute, the year-19 refinancing, the year-22 resale — each</w:t>
      </w:r>
      <w:r>
        <w:t xml:space="preserve"> </w:t>
      </w:r>
      <w:r>
        <w:t xml:space="preserve">consumed evidence recorded years earlier by parties who could not have known</w:t>
      </w:r>
      <w:r>
        <w:t xml:space="preserve"> </w:t>
      </w:r>
      <w:r>
        <w:t xml:space="preserve">which future transaction would need it; that is the whole argument for</w:t>
      </w:r>
      <w:r>
        <w:t xml:space="preserve"> </w:t>
      </w:r>
      <w:r>
        <w:t xml:space="preserve">recording evidentially rather than transactionally, in one row-set. Third,</w:t>
      </w:r>
      <w:r>
        <w:t xml:space="preserve"> </w:t>
      </w:r>
      <w:r>
        <w:t xml:space="preserve">the biography’s second life exists</w:t>
      </w:r>
      <w:r>
        <w:t xml:space="preserve"> </w:t>
      </w:r>
      <w:r>
        <w:rPr>
          <w:iCs/>
          <w:i/>
        </w:rPr>
        <w:t xml:space="preserve">at all</w:t>
      </w:r>
      <w:r>
        <w:t xml:space="preserve"> </w:t>
      </w:r>
      <w:r>
        <w:t xml:space="preserve">because the record survived the</w:t>
      </w:r>
      <w:r>
        <w:t xml:space="preserve"> </w:t>
      </w:r>
      <w:r>
        <w:t xml:space="preserve">year-22 custody gauntlet; under status-quo documentation the same physical</w:t>
      </w:r>
      <w:r>
        <w:t xml:space="preserve"> </w:t>
      </w:r>
      <w:r>
        <w:t xml:space="preserve">module would have shipped to the shredder with its history, per the</w:t>
      </w:r>
      <w:r>
        <w:t xml:space="preserve"> </w:t>
      </w:r>
      <w:r>
        <w:t xml:space="preserve">deadweight analysis of Section 1.4.4.</w:t>
      </w:r>
    </w:p>
    <w:bookmarkEnd w:id="25"/>
    <w:bookmarkEnd w:id="26"/>
    <w:bookmarkStart w:id="27" w:name="enforcement-the-state-machine-contract"/>
    <w:p>
      <w:pPr>
        <w:pStyle w:val="Heading2"/>
      </w:pPr>
      <w:r>
        <w:t xml:space="preserve">5.5 Enforcement: The State-Machine Contract</w:t>
      </w:r>
    </w:p>
    <w:p>
      <w:pPr>
        <w:pStyle w:val="FirstParagraph"/>
      </w:pPr>
      <w:r>
        <w:t xml:space="preserve">The contract that admits events to the ledger enforces, at write time: envelope</w:t>
      </w:r>
      <w:r>
        <w:t xml:space="preserve"> </w:t>
      </w:r>
      <w:r>
        <w:t xml:space="preserve">well-formedness; transition legality against Figure 5.1; submitter authorization for</w:t>
      </w:r>
      <w:r>
        <w:t xml:space="preserve"> </w:t>
      </w:r>
      <w:r>
        <w:t xml:space="preserve">the event type (registrar accreditation for</w:t>
      </w:r>
      <w:r>
        <w:t xml:space="preserve"> </w:t>
      </w:r>
      <w:r>
        <w:rPr>
          <w:rStyle w:val="VerbatimChar"/>
        </w:rPr>
        <w:t xml:space="preserve">EVT_REGISTER</w:t>
      </w:r>
      <w:r>
        <w:t xml:space="preserve">, recycler accreditation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EVT_RECYCLE</w:t>
      </w:r>
      <w:r>
        <w:t xml:space="preserve">, current-custodian match for custody-sensitive types);</w:t>
      </w:r>
      <w:r>
        <w:t xml:space="preserve"> </w:t>
      </w:r>
      <w:r>
        <w:t xml:space="preserve">corroboration-class satisfaction; and submission-window bounds on the</w:t>
      </w:r>
      <w:r>
        <w:t xml:space="preserve"> </w:t>
      </w:r>
      <w:r>
        <w:t xml:space="preserve">claimed-time/ledger-time gap. Everything else — payload plausibility, engineering</w:t>
      </w:r>
      <w:r>
        <w:t xml:space="preserve"> </w:t>
      </w:r>
      <w:r>
        <w:t xml:space="preserve">judgment, fraud detection — is deliberately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enforced at write time. The</w:t>
      </w:r>
      <w:r>
        <w:t xml:space="preserve"> </w:t>
      </w:r>
      <w:r>
        <w:t xml:space="preserve">write-time contract is the schema’s constitution, not its police force; analytics,</w:t>
      </w:r>
      <w:r>
        <w:t xml:space="preserve"> </w:t>
      </w:r>
      <w:r>
        <w:t xml:space="preserve">insurers’ models, and human adjudication operate downstream on the admitted record</w:t>
      </w:r>
      <w:r>
        <w:t xml:space="preserve"> </w:t>
      </w:r>
      <w:r>
        <w:t xml:space="preserve">(Chapter 11 shows a degradation-envelope monitor built this way, as a reader of the</w:t>
      </w:r>
      <w:r>
        <w:t xml:space="preserve"> </w:t>
      </w:r>
      <w:r>
        <w:t xml:space="preserve">ledger rather than a gatekeeper of it). Keeping the contract small is also a security</w:t>
      </w:r>
      <w:r>
        <w:t xml:space="preserve"> </w:t>
      </w:r>
      <w:r>
        <w:t xml:space="preserve">decision: Chapter 8 treats contract complexity as attack surface, and Chapter 9 will</w:t>
      </w:r>
      <w:r>
        <w:t xml:space="preserve"> </w:t>
      </w:r>
      <w:r>
        <w:t xml:space="preserve">need to migrate whatever logic lives on-chain.</w:t>
      </w:r>
    </w:p>
    <w:p>
      <w:pPr>
        <w:pStyle w:val="BodyText"/>
      </w:pPr>
      <w:r>
        <w:t xml:space="preserve">The enforcement semantics deserve precision on four points that implementations</w:t>
      </w:r>
      <w:r>
        <w:t xml:space="preserve"> </w:t>
      </w:r>
      <w:r>
        <w:t xml:space="preserve">get wrong.</w:t>
      </w:r>
      <w:r>
        <w:t xml:space="preserve"> </w:t>
      </w:r>
      <w:r>
        <w:rPr>
          <w:iCs/>
          <w:i/>
        </w:rPr>
        <w:t xml:space="preserve">Rejection is total and reasoned</w:t>
      </w:r>
      <w:r>
        <w:t xml:space="preserve">: a failed check writes nothing —</w:t>
      </w:r>
      <w:r>
        <w:t xml:space="preserve"> </w:t>
      </w:r>
      <w:r>
        <w:t xml:space="preserve">no partial state, no</w:t>
      </w:r>
      <w:r>
        <w:t xml:space="preserve"> </w:t>
      </w:r>
      <w:r>
        <w:t xml:space="preserve">“</w:t>
      </w:r>
      <w:r>
        <w:t xml:space="preserve">pending</w:t>
      </w:r>
      <w:r>
        <w:t xml:space="preserve">”</w:t>
      </w:r>
      <w:r>
        <w:t xml:space="preserve"> </w:t>
      </w:r>
      <w:r>
        <w:t xml:space="preserve">purgatory — and returns a machine-readable</w:t>
      </w:r>
      <w:r>
        <w:t xml:space="preserve"> </w:t>
      </w:r>
      <w:r>
        <w:t xml:space="preserve">reason code, because the submitting agent in a warehouse needs to distinguish</w:t>
      </w:r>
      <w:r>
        <w:t xml:space="preserve"> </w:t>
      </w:r>
      <w:r>
        <w:t xml:space="preserve">“</w:t>
      </w:r>
      <w:r>
        <w:t xml:space="preserve">fix your corroboration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wrong state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your accreditation lapsed</w:t>
      </w:r>
      <w:r>
        <w:t xml:space="preserve">”</w:t>
      </w:r>
      <w:r>
        <w:t xml:space="preserve"> </w:t>
      </w:r>
      <w:r>
        <w:t xml:space="preserve">without a support ticket. (The reason-code taxonomy is part of the schema and</w:t>
      </w:r>
      <w:r>
        <w:t xml:space="preserve"> </w:t>
      </w:r>
      <w:r>
        <w:t xml:space="preserve">versioned with it; Appendix A carries the pilot’s.)</w:t>
      </w:r>
      <w:r>
        <w:t xml:space="preserve"> </w:t>
      </w:r>
      <w:r>
        <w:rPr>
          <w:iCs/>
          <w:i/>
        </w:rPr>
        <w:t xml:space="preserve">Submission is</w:t>
      </w:r>
      <w:r>
        <w:rPr>
          <w:iCs/>
          <w:i/>
        </w:rPr>
        <w:t xml:space="preserve"> </w:t>
      </w:r>
      <w:r>
        <w:rPr>
          <w:iCs/>
          <w:i/>
        </w:rPr>
        <w:t xml:space="preserve">idempotent</w:t>
      </w:r>
      <w:r>
        <w:t xml:space="preserve">: envelopes carry submitter-scoped nonces, so a flaky uplink that</w:t>
      </w:r>
      <w:r>
        <w:t xml:space="preserve"> </w:t>
      </w:r>
      <w:r>
        <w:t xml:space="preserve">retries a custody event cannot double-record it — a mundane property that</w:t>
      </w:r>
      <w:r>
        <w:t xml:space="preserve"> </w:t>
      </w:r>
      <w:r>
        <w:t xml:space="preserve">prevents a genuinely nasty class of duplicate-history disputes.</w:t>
      </w:r>
      <w:r>
        <w:t xml:space="preserve"> </w:t>
      </w:r>
      <w:r>
        <w:rPr>
          <w:iCs/>
          <w:i/>
        </w:rPr>
        <w:t xml:space="preserve">Batches are</w:t>
      </w:r>
      <w:r>
        <w:rPr>
          <w:iCs/>
          <w:i/>
        </w:rPr>
        <w:t xml:space="preserve"> </w:t>
      </w:r>
      <w:r>
        <w:rPr>
          <w:iCs/>
          <w:i/>
        </w:rPr>
        <w:t xml:space="preserve">transactional per event, not per batch</w:t>
      </w:r>
      <w:r>
        <w:t xml:space="preserve">: one malformed envelope in a</w:t>
      </w:r>
      <w:r>
        <w:t xml:space="preserve"> </w:t>
      </w:r>
      <w:r>
        <w:t xml:space="preserve">2,048-event batch rejects alone; the batch pattern of Section 7.2 aggregates</w:t>
      </w:r>
      <w:r>
        <w:t xml:space="preserve"> </w:t>
      </w:r>
      <w:r>
        <w:t xml:space="preserve">commitment, never validation, so a factory’s day is not hostage to its worst</w:t>
      </w:r>
      <w:r>
        <w:t xml:space="preserve"> </w:t>
      </w:r>
      <w:r>
        <w:t xml:space="preserve">record.</w:t>
      </w:r>
      <w:r>
        <w:t xml:space="preserve"> </w:t>
      </w:r>
      <w:r>
        <w:rPr>
          <w:iCs/>
          <w:i/>
        </w:rPr>
        <w:t xml:space="preserve">Authorization is evaluated at claimed time, not submission time</w:t>
      </w:r>
      <w:r>
        <w:t xml:space="preserve">:</w:t>
      </w:r>
      <w:r>
        <w:t xml:space="preserve"> </w:t>
      </w:r>
      <w:r>
        <w:t xml:space="preserve">the technician whose accreditation was valid Tuesday on the roof but whose</w:t>
      </w:r>
      <w:r>
        <w:t xml:space="preserve"> </w:t>
      </w:r>
      <w:r>
        <w:t xml:space="preserve">employer’s contract ended Thursday before the upload gets Tuesday’s event</w:t>
      </w:r>
      <w:r>
        <w:t xml:space="preserve"> </w:t>
      </w:r>
      <w:r>
        <w:t xml:space="preserve">accepted — the alternative punishes offline honesty and rewards rushed</w:t>
      </w:r>
      <w:r>
        <w:t xml:space="preserve"> </w:t>
      </w:r>
      <w:r>
        <w:t xml:space="preserve">paperwork, inverting every incentive Principle 5 protects.</w:t>
      </w:r>
    </w:p>
    <w:p>
      <w:pPr>
        <w:pStyle w:val="BodyText"/>
      </w:pPr>
      <w:r>
        <w:t xml:space="preserve">A worked fragment of the enforcement, for the transition that carries the most money</w:t>
      </w:r>
      <w:r>
        <w:t xml:space="preserve"> </w:t>
      </w:r>
      <w:r>
        <w:t xml:space="preserve">— commissioning, which starts warranty clocks:</w:t>
      </w:r>
    </w:p>
    <w:p>
      <w:pPr>
        <w:pStyle w:val="BodyText"/>
      </w:pPr>
      <w:r>
        <w:rPr>
          <w:bCs/>
          <w:b/>
        </w:rPr>
        <w:t xml:space="preserve">Figure 5.2</w:t>
      </w:r>
      <w:r>
        <w:t xml:space="preserve"> </w:t>
      </w:r>
      <w:r>
        <w:t xml:space="preserve">Write-time enforcement sequence for</w:t>
      </w:r>
      <w:r>
        <w:t xml:space="preserve"> </w:t>
      </w:r>
      <w:r>
        <w:rPr>
          <w:rStyle w:val="VerbatimChar"/>
        </w:rPr>
        <w:t xml:space="preserve">EVT_COMMISSION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EPC as EPC (submitter)</w:t>
      </w:r>
      <w:r>
        <w:br/>
      </w:r>
      <w:r>
        <w:rPr>
          <w:rStyle w:val="VerbatimChar"/>
        </w:rPr>
        <w:t xml:space="preserve">    participant OE as Owner's engineer (co-signer)</w:t>
      </w:r>
      <w:r>
        <w:br/>
      </w:r>
      <w:r>
        <w:rPr>
          <w:rStyle w:val="VerbatimChar"/>
        </w:rPr>
        <w:t xml:space="preserve">    participant INS as Test instrument (attestor)</w:t>
      </w:r>
      <w:r>
        <w:br/>
      </w:r>
      <w:r>
        <w:rPr>
          <w:rStyle w:val="VerbatimChar"/>
        </w:rPr>
        <w:t xml:space="preserve">    participant SC as State-machine contract</w:t>
      </w:r>
      <w:r>
        <w:br/>
      </w:r>
      <w:r>
        <w:rPr>
          <w:rStyle w:val="VerbatimChar"/>
        </w:rPr>
        <w:t xml:space="preserve">    EPC-&gt;&gt;SC: EVT_COMMISSION envelope</w:t>
      </w:r>
      <w:r>
        <w:br/>
      </w:r>
      <w:r>
        <w:rPr>
          <w:rStyle w:val="VerbatimChar"/>
        </w:rPr>
        <w:t xml:space="preserve">    SC-&gt;&gt;SC: asset state == Installed?</w:t>
      </w:r>
      <w:r>
        <w:br/>
      </w:r>
      <w:r>
        <w:rPr>
          <w:rStyle w:val="VerbatimChar"/>
        </w:rPr>
        <w:t xml:space="preserve">    SC-&gt;&gt;SC: submitter holds EPC role for site?</w:t>
      </w:r>
      <w:r>
        <w:br/>
      </w:r>
      <w:r>
        <w:rPr>
          <w:rStyle w:val="VerbatimChar"/>
        </w:rPr>
        <w:t xml:space="preserve">    SC-&gt;&gt;SC: Class C: instrument attestation present&lt;br&gt;and instrument DID in calibration?</w:t>
      </w:r>
      <w:r>
        <w:br/>
      </w:r>
      <w:r>
        <w:rPr>
          <w:rStyle w:val="VerbatimChar"/>
        </w:rPr>
        <w:t xml:space="preserve">    SC-&gt;&gt;SC: co-signature by party with owner role?</w:t>
      </w:r>
      <w:r>
        <w:br/>
      </w:r>
      <w:r>
        <w:rPr>
          <w:rStyle w:val="VerbatimChar"/>
        </w:rPr>
        <w:t xml:space="preserve">    SC-&gt;&gt;SC: claimed_time within submission window?</w:t>
      </w:r>
      <w:r>
        <w:br/>
      </w:r>
      <w:r>
        <w:rPr>
          <w:rStyle w:val="VerbatimChar"/>
        </w:rPr>
        <w:t xml:space="preserve">    alt all checks pass</w:t>
      </w:r>
      <w:r>
        <w:br/>
      </w:r>
      <w:r>
        <w:rPr>
          <w:rStyle w:val="VerbatimChar"/>
        </w:rPr>
        <w:t xml:space="preserve">        SC--&gt;&gt;EPC: committed; state := Commissioned;&lt;br&gt;warranty clock event emitted</w:t>
      </w:r>
      <w:r>
        <w:br/>
      </w:r>
      <w:r>
        <w:rPr>
          <w:rStyle w:val="VerbatimChar"/>
        </w:rPr>
        <w:t xml:space="preserve">    else any check fails</w:t>
      </w:r>
      <w:r>
        <w:br/>
      </w:r>
      <w:r>
        <w:rPr>
          <w:rStyle w:val="VerbatimChar"/>
        </w:rPr>
        <w:t xml:space="preserve">        SC--&gt;&gt;EPC: rejected with reason code&lt;br&gt;(nothing written)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t xml:space="preserve">What the contract deliberately does not do rewards restatement with an</w:t>
      </w:r>
      <w:r>
        <w:t xml:space="preserve"> </w:t>
      </w:r>
      <w:r>
        <w:t xml:space="preserve">example, because the boundary is counterintuitive to engineers trained on</w:t>
      </w:r>
      <w:r>
        <w:t xml:space="preserve"> </w:t>
      </w:r>
      <w:r>
        <w:t xml:space="preserve">input validation. Suppose an</w:t>
      </w:r>
      <w:r>
        <w:t xml:space="preserve"> </w:t>
      </w:r>
      <w:r>
        <w:rPr>
          <w:rStyle w:val="VerbatimChar"/>
        </w:rPr>
        <w:t xml:space="preserve">EVT_INSPECT</w:t>
      </w:r>
      <w:r>
        <w:t xml:space="preserve"> </w:t>
      </w:r>
      <w:r>
        <w:t xml:space="preserve">payload records a module at 96% of</w:t>
      </w:r>
      <w:r>
        <w:t xml:space="preserve"> </w:t>
      </w:r>
      <w:r>
        <w:t xml:space="preserve">nameplate in year 12 — physically implausible given its year-6 record of 91%.</w:t>
      </w:r>
      <w:r>
        <w:t xml:space="preserve"> </w:t>
      </w:r>
      <w:r>
        <w:t xml:space="preserve">The write-time contract</w:t>
      </w:r>
      <w:r>
        <w:t xml:space="preserve"> </w:t>
      </w:r>
      <w:r>
        <w:rPr>
          <w:iCs/>
          <w:i/>
        </w:rPr>
        <w:t xml:space="preserve">accepts</w:t>
      </w:r>
      <w:r>
        <w:t xml:space="preserve"> </w:t>
      </w:r>
      <w:r>
        <w:t xml:space="preserve">this event if its envelope, authorization,</w:t>
      </w:r>
      <w:r>
        <w:t xml:space="preserve"> </w:t>
      </w:r>
      <w:r>
        <w:t xml:space="preserve">and corroboration are in order. The implausibility is detected downstream, by</w:t>
      </w:r>
      <w:r>
        <w:t xml:space="preserve"> </w:t>
      </w:r>
      <w:r>
        <w:t xml:space="preserve">the cohort monitor, which flags the pair for review; the review might find a</w:t>
      </w:r>
      <w:r>
        <w:t xml:space="preserve"> </w:t>
      </w:r>
      <w:r>
        <w:t xml:space="preserve">transcription error (corrected by a superseding event), a mismatched identity</w:t>
      </w:r>
      <w:r>
        <w:t xml:space="preserve"> </w:t>
      </w:r>
      <w:r>
        <w:t xml:space="preserve">(escalated to V2/V3 verification), or a genuinely recovering measurement</w:t>
      </w:r>
      <w:r>
        <w:t xml:space="preserve"> </w:t>
      </w:r>
      <w:r>
        <w:t xml:space="preserve">artifact (documented and closed). Why not reject at write time? Because</w:t>
      </w:r>
      <w:r>
        <w:t xml:space="preserve"> </w:t>
      </w:r>
      <w:r>
        <w:t xml:space="preserve">plausibility models are wrong at the margins exactly where reality is</w:t>
      </w:r>
      <w:r>
        <w:t xml:space="preserve"> </w:t>
      </w:r>
      <w:r>
        <w:t xml:space="preserve">interesting — a rejection rule tuned to catch the error would also have</w:t>
      </w:r>
      <w:r>
        <w:t xml:space="preserve"> </w:t>
      </w:r>
      <w:r>
        <w:t xml:space="preserve">rejected the legitimate recovery case, and a submitter facing rejection edits</w:t>
      </w:r>
      <w:r>
        <w:t xml:space="preserve"> </w:t>
      </w:r>
      <w:r>
        <w:t xml:space="preserve">the data until it passes, which is</w:t>
      </w:r>
      <w:r>
        <w:t xml:space="preserve"> </w:t>
      </w:r>
      <w:r>
        <w:rPr>
          <w:iCs/>
          <w:i/>
        </w:rPr>
        <w:t xml:space="preserve">worse</w:t>
      </w:r>
      <w:r>
        <w:t xml:space="preserve"> </w:t>
      </w:r>
      <w:r>
        <w:t xml:space="preserve">than recording the anomaly:</w:t>
      </w:r>
      <w:r>
        <w:t xml:space="preserve"> </w:t>
      </w:r>
      <w:r>
        <w:t xml:space="preserve">write-time plausibility enforcement teaches the field to launder its</w:t>
      </w:r>
      <w:r>
        <w:t xml:space="preserve"> </w:t>
      </w:r>
      <w:r>
        <w:t xml:space="preserve">measurements. The constitution/judgment split is thus not a modularity nicety</w:t>
      </w:r>
      <w:r>
        <w:t xml:space="preserve"> </w:t>
      </w:r>
      <w:r>
        <w:t xml:space="preserve">but an evidence-quality decision: the ledger records what instruments and</w:t>
      </w:r>
      <w:r>
        <w:t xml:space="preserve"> </w:t>
      </w:r>
      <w:r>
        <w:t xml:space="preserve">people actually said, and judgment about what they</w:t>
      </w:r>
      <w:r>
        <w:t xml:space="preserve"> </w:t>
      </w:r>
      <w:r>
        <w:rPr>
          <w:iCs/>
          <w:i/>
        </w:rPr>
        <w:t xml:space="preserve">should</w:t>
      </w:r>
      <w:r>
        <w:t xml:space="preserve"> </w:t>
      </w:r>
      <w:r>
        <w:t xml:space="preserve">have said stays</w:t>
      </w:r>
      <w:r>
        <w:t xml:space="preserve"> </w:t>
      </w:r>
      <w:r>
        <w:t xml:space="preserve">downstream, revisable, and attributable.</w:t>
      </w:r>
    </w:p>
    <w:p>
      <w:pPr>
        <w:pStyle w:val="BodyText"/>
      </w:pPr>
      <w:r>
        <w:t xml:space="preserve">The sequence’s failure branch deserves the attention the success branch</w:t>
      </w:r>
      <w:r>
        <w:t xml:space="preserve"> </w:t>
      </w:r>
      <w:r>
        <w:t xml:space="preserve">usually steals. A rejection at step 3 — the instrument attestation missing</w:t>
      </w:r>
      <w:r>
        <w:t xml:space="preserve"> </w:t>
      </w:r>
      <w:r>
        <w:t xml:space="preserve">because the tester’s certificate lapsed mid-project — arrives at the worst</w:t>
      </w:r>
      <w:r>
        <w:t xml:space="preserve"> </w:t>
      </w:r>
      <w:r>
        <w:t xml:space="preserve">possible moment: a commissioning deadline with liquidated damages behind it.</w:t>
      </w:r>
      <w:r>
        <w:t xml:space="preserve"> </w:t>
      </w:r>
      <w:r>
        <w:t xml:space="preserve">The degraded-mode answer is layered. First, the reason code tells the EPC’s</w:t>
      </w:r>
      <w:r>
        <w:t xml:space="preserve"> </w:t>
      </w:r>
      <w:r>
        <w:t xml:space="preserve">software</w:t>
      </w:r>
      <w:r>
        <w:t xml:space="preserve"> </w:t>
      </w:r>
      <w:r>
        <w:rPr>
          <w:iCs/>
          <w:i/>
        </w:rPr>
        <w:t xml:space="preserve">exactly</w:t>
      </w:r>
      <w:r>
        <w:t xml:space="preserve"> </w:t>
      </w:r>
      <w:r>
        <w:t xml:space="preserve">what failed, within seconds, on site. Second, the</w:t>
      </w:r>
      <w:r>
        <w:t xml:space="preserve"> </w:t>
      </w:r>
      <w:r>
        <w:t xml:space="preserve">submission window (30 days for commissioning) means the physical work</w:t>
      </w:r>
      <w:r>
        <w:t xml:space="preserve"> </w:t>
      </w:r>
      <w:r>
        <w:t xml:space="preserve">proceeds and the record catches up once the calibration event is filed — the</w:t>
      </w:r>
      <w:r>
        <w:t xml:space="preserve"> </w:t>
      </w:r>
      <w:r>
        <w:t xml:space="preserve">window exists precisely so that administrative failures do not cascade into</w:t>
      </w:r>
      <w:r>
        <w:t xml:space="preserve"> </w:t>
      </w:r>
      <w:r>
        <w:t xml:space="preserve">construction delays. Third, for the genuine emergency (a calibration that</w:t>
      </w:r>
      <w:r>
        <w:t xml:space="preserve"> </w:t>
      </w:r>
      <w:r>
        <w:t xml:space="preserve">cannot be cured in-window), the schema’s dispute mechanism doubles as a</w:t>
      </w:r>
      <w:r>
        <w:t xml:space="preserve"> </w:t>
      </w:r>
      <w:r>
        <w:t xml:space="preserve">safety valve: an out-of-policy commissioning can be recorded as a Class-B</w:t>
      </w:r>
      <w:r>
        <w:t xml:space="preserve"> </w:t>
      </w:r>
      <w:r>
        <w:t xml:space="preserve">event with an attached variance request, visible as such forever, priced by</w:t>
      </w:r>
      <w:r>
        <w:t xml:space="preserve"> </w:t>
      </w:r>
      <w:r>
        <w:t xml:space="preserve">whoever later relies on it. What the system never offers is the quiet</w:t>
      </w:r>
      <w:r>
        <w:t xml:space="preserve"> </w:t>
      </w:r>
      <w:r>
        <w:t xml:space="preserve">override — the administrator who force-writes the event and moves on —</w:t>
      </w:r>
      <w:r>
        <w:t xml:space="preserve"> </w:t>
      </w:r>
      <w:r>
        <w:t xml:space="preserve">because a single exercised override converts every future record into a</w:t>
      </w:r>
      <w:r>
        <w:t xml:space="preserve"> </w:t>
      </w:r>
      <w:r>
        <w:t xml:space="preserve">negotiation about whether it, too, was overridden. Degraded modes are</w:t>
      </w:r>
      <w:r>
        <w:t xml:space="preserve"> </w:t>
      </w:r>
      <w:r>
        <w:t xml:space="preserve">designed, logged, and priced; back doors are not.</w:t>
      </w:r>
    </w:p>
    <w:bookmarkEnd w:id="27"/>
    <w:bookmarkStart w:id="28" w:name="Xbf1714b88ecc2106635ceba07c4b8d5dd079473"/>
    <w:p>
      <w:pPr>
        <w:pStyle w:val="Heading2"/>
      </w:pPr>
      <w:r>
        <w:t xml:space="preserve">5.6 Data Integrity Across the Lifecycle: Where the Guarantees Come From</w:t>
      </w:r>
    </w:p>
    <w:p>
      <w:pPr>
        <w:pStyle w:val="FirstParagraph"/>
      </w:pPr>
      <w:r>
        <w:t xml:space="preserve">It is worth being exact about which mechanism guarantees what at each stage, because</w:t>
      </w:r>
      <w:r>
        <w:t xml:space="preserve"> </w:t>
      </w:r>
      <w:r>
        <w:t xml:space="preserve">the guarantees have different sources and fail differently. Table 5.3 is the map; the</w:t>
      </w:r>
      <w:r>
        <w:t xml:space="preserve"> </w:t>
      </w:r>
      <w:r>
        <w:t xml:space="preserve">rightmost column is the honest one.</w:t>
      </w:r>
    </w:p>
    <w:p>
      <w:pPr>
        <w:pStyle w:val="BodyText"/>
      </w:pPr>
      <w:r>
        <w:rPr>
          <w:bCs/>
          <w:b/>
        </w:rPr>
        <w:t xml:space="preserve">Table 5.3</w:t>
      </w:r>
      <w:r>
        <w:t xml:space="preserve"> </w:t>
      </w:r>
      <w:r>
        <w:t xml:space="preserve">Integrity guarantees by lifecycle stage: mechanism and residual</w:t>
      </w:r>
      <w:r>
        <w:t xml:space="preserve"> </w:t>
      </w:r>
      <w:r>
        <w:t xml:space="preserve">exposure.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guaranteed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what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 exposure (→ chapter)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Enrollment data authentic to instrument; identity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 signing, registry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Enrollment-time substitution; ghost shifts 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Unbroken chain of dual-signed custody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Dual-signature custody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Substitution between checkpoints if binding unchecked (6, 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Installation / commissioning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attributable, corroborated, time-bounded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B/C corroboration,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Collusive EPC + engineer (8, 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records ordered, tamper-evident, instrument-attributed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Digests, anchoring, instrument DIDs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 spoofing at measurement (8); sparse sampling gaps (6)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 / resale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 complete-as-recorded and unalterable at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Anchored append-only record, evidence DAG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Off-ledger events simply absent (5.7)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Decommission / recycle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events accredited and expensive to fake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 + accreditation VCs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laundering pre-event (8)</w:t>
            </w:r>
          </w:p>
        </w:tc>
      </w:tr>
    </w:tbl>
    <w:p>
      <w:pPr>
        <w:pStyle w:val="BodyText"/>
      </w:pPr>
      <w:r>
        <w:t xml:space="preserve">Reading the table row-wise repays the effort, because the</w:t>
      </w:r>
      <w:r>
        <w:t xml:space="preserve"> </w:t>
      </w:r>
      <w:r>
        <w:rPr>
          <w:iCs/>
          <w:i/>
        </w:rPr>
        <w:t xml:space="preserve">source</w:t>
      </w:r>
      <w:r>
        <w:t xml:space="preserve"> </w:t>
      </w:r>
      <w:r>
        <w:t xml:space="preserve">column</w:t>
      </w:r>
      <w:r>
        <w:t xml:space="preserve"> </w:t>
      </w:r>
      <w:r>
        <w:t xml:space="preserve">shifts as the asset moves — and each shift changes who must be honest for the</w:t>
      </w:r>
      <w:r>
        <w:t xml:space="preserve"> </w:t>
      </w:r>
      <w:r>
        <w:t xml:space="preserve">guarantee to hold. At manufacture the guarantees are instrument-rooted: the</w:t>
      </w:r>
      <w:r>
        <w:t xml:space="preserve"> </w:t>
      </w:r>
      <w:r>
        <w:t xml:space="preserve">enrollment is as good as the line’s I-A instruments and the registrar’s</w:t>
      </w:r>
      <w:r>
        <w:t xml:space="preserve"> </w:t>
      </w:r>
      <w:r>
        <w:t xml:space="preserve">process, which is why registrar accreditation (Section 4.3.2) is the stage’s</w:t>
      </w:r>
      <w:r>
        <w:t xml:space="preserve"> </w:t>
      </w:r>
      <w:r>
        <w:t xml:space="preserve">real control. In transit the guarantees become</w:t>
      </w:r>
      <w:r>
        <w:t xml:space="preserve"> </w:t>
      </w:r>
      <w:r>
        <w:rPr>
          <w:iCs/>
          <w:i/>
        </w:rPr>
        <w:t xml:space="preserve">protocol</w:t>
      </w:r>
      <w:r>
        <w:t xml:space="preserve">-rooted: dual</w:t>
      </w:r>
      <w:r>
        <w:t xml:space="preserve"> </w:t>
      </w:r>
      <w:r>
        <w:t xml:space="preserve">signatures need no instruments, only counterparties with adverse interests,</w:t>
      </w:r>
      <w:r>
        <w:t xml:space="preserve"> </w:t>
      </w:r>
      <w:r>
        <w:t xml:space="preserve">and the stage’s exposure is physical substitution between checkpoints — a</w:t>
      </w:r>
      <w:r>
        <w:t xml:space="preserve"> </w:t>
      </w:r>
      <w:r>
        <w:t xml:space="preserve">binding problem, not a records problem, resolved by sampling verification at</w:t>
      </w:r>
      <w:r>
        <w:t xml:space="preserve"> </w:t>
      </w:r>
      <w:r>
        <w:t xml:space="preserve">receiving. Installation and commissioning re-introduce instruments but add</w:t>
      </w:r>
      <w:r>
        <w:t xml:space="preserve"> </w:t>
      </w:r>
      <w:r>
        <w:t xml:space="preserve">the collusion exposure (an EPC and an owner’s engineer with aligned</w:t>
      </w:r>
      <w:r>
        <w:t xml:space="preserve"> </w:t>
      </w:r>
      <w:r>
        <w:t xml:space="preserve">incentives), which corroboration classes mitigate and only economics</w:t>
      </w:r>
      <w:r>
        <w:t xml:space="preserve"> </w:t>
      </w:r>
      <w:r>
        <w:t xml:space="preserve">(Chapter 13’s incidence analysis) truly bounds. Operation’s guarantees are</w:t>
      </w:r>
      <w:r>
        <w:t xml:space="preserve"> </w:t>
      </w:r>
      <w:r>
        <w:t xml:space="preserve">the architecture’s strongest — ordered, anchored, instrument-attributed</w:t>
      </w:r>
      <w:r>
        <w:t xml:space="preserve"> </w:t>
      </w:r>
      <w:r>
        <w:t xml:space="preserve">condition history — while its exposure is the subtlest: sparse sampling means</w:t>
      </w:r>
      <w:r>
        <w:t xml:space="preserve"> </w:t>
      </w:r>
      <w:r>
        <w:t xml:space="preserve">most units’ condition is</w:t>
      </w:r>
      <w:r>
        <w:t xml:space="preserve"> </w:t>
      </w:r>
      <w:r>
        <w:rPr>
          <w:iCs/>
          <w:i/>
        </w:rPr>
        <w:t xml:space="preserve">inferred</w:t>
      </w:r>
      <w:r>
        <w:t xml:space="preserve">, not measured, and the inference’s</w:t>
      </w:r>
      <w:r>
        <w:t xml:space="preserve"> </w:t>
      </w:r>
      <w:r>
        <w:t xml:space="preserve">honesty depends on the sampling design being adversarially sound</w:t>
      </w:r>
      <w:r>
        <w:t xml:space="preserve"> </w:t>
      </w:r>
      <w:r>
        <w:t xml:space="preserve">(pre-committed, verifier-drawn; Section 6.6). Transfer inherits everything</w:t>
      </w:r>
      <w:r>
        <w:t xml:space="preserve"> </w:t>
      </w:r>
      <w:r>
        <w:t xml:space="preserve">recorded and adds nothing new to trust — the buyer verifies rather than</w:t>
      </w:r>
      <w:r>
        <w:t xml:space="preserve"> </w:t>
      </w:r>
      <w:r>
        <w:t xml:space="preserve">believes — and the terminal stages return to accreditation as the root, with</w:t>
      </w:r>
      <w:r>
        <w:t xml:space="preserve"> </w:t>
      </w:r>
      <w:r>
        <w:t xml:space="preserve">the template-resurrection check as the safety net under it. No stage’s</w:t>
      </w:r>
      <w:r>
        <w:t xml:space="preserve"> </w:t>
      </w:r>
      <w:r>
        <w:t xml:space="preserve">guarantee is unconditional; every stage’s conditions are named; and that</w:t>
      </w:r>
      <w:r>
        <w:t xml:space="preserve"> </w:t>
      </w:r>
      <w:r>
        <w:t xml:space="preserve">nameability is what distinguishes an engineered trust system from a</w:t>
      </w:r>
      <w:r>
        <w:t xml:space="preserve"> </w:t>
      </w:r>
      <w:r>
        <w:t xml:space="preserve">marketed one.</w:t>
      </w:r>
    </w:p>
    <w:bookmarkEnd w:id="28"/>
    <w:bookmarkStart w:id="29" w:name="the-completeness-problem"/>
    <w:p>
      <w:pPr>
        <w:pStyle w:val="Heading2"/>
      </w:pPr>
      <w:r>
        <w:t xml:space="preserve">5.7 The Completeness Problem</w:t>
      </w:r>
    </w:p>
    <w:p>
      <w:pPr>
        <w:pStyle w:val="FirstParagraph"/>
      </w:pPr>
      <w:r>
        <w:t xml:space="preserve">One exposure in Table 5.3 cannot be engineered away and must be governed instead: the</w:t>
      </w:r>
      <w:r>
        <w:t xml:space="preserve"> </w:t>
      </w:r>
      <w:r>
        <w:t xml:space="preserve">ledger proves what was recorded; it cannot prove that everything that happened was</w:t>
      </w:r>
      <w:r>
        <w:t xml:space="preserve"> </w:t>
      </w:r>
      <w:r>
        <w:t xml:space="preserve">recorded. A hailstorm nobody logged is absent from the record, and its absence is</w:t>
      </w:r>
      <w:r>
        <w:t xml:space="preserve"> </w:t>
      </w:r>
      <w:r>
        <w:t xml:space="preserve">invisible.</w:t>
      </w:r>
    </w:p>
    <w:p>
      <w:pPr>
        <w:pStyle w:val="BodyText"/>
      </w:pPr>
      <w:r>
        <w:t xml:space="preserve">The gaps come in three species with different remedies, and lumping them</w:t>
      </w:r>
      <w:r>
        <w:t xml:space="preserve"> </w:t>
      </w:r>
      <w:r>
        <w:t xml:space="preserve">wastes remedies on the wrong species.</w:t>
      </w:r>
      <w:r>
        <w:t xml:space="preserve"> </w:t>
      </w:r>
      <w:r>
        <w:rPr>
          <w:iCs/>
          <w:i/>
        </w:rPr>
        <w:t xml:space="preserve">Negligent gaps</w:t>
      </w:r>
      <w:r>
        <w:t xml:space="preserve"> </w:t>
      </w:r>
      <w:r>
        <w:t xml:space="preserve">— the crew that forgot,</w:t>
      </w:r>
      <w:r>
        <w:t xml:space="preserve"> </w:t>
      </w:r>
      <w:r>
        <w:t xml:space="preserve">the tablet that died, the subcontractor outside the integration — are the</w:t>
      </w:r>
      <w:r>
        <w:t xml:space="preserve"> </w:t>
      </w:r>
      <w:r>
        <w:t xml:space="preserve">overwhelming majority; they respond to tooling (event emission embedded in</w:t>
      </w:r>
      <w:r>
        <w:t xml:space="preserve"> </w:t>
      </w:r>
      <w:r>
        <w:t xml:space="preserve">work-order flows, Chapter 11’s lesson 3) and to SLA metrics, and they are</w:t>
      </w:r>
      <w:r>
        <w:t xml:space="preserve"> </w:t>
      </w:r>
      <w:r>
        <w:t xml:space="preserve">self-diagnosing under cadence analytics because negligence is uncorrelated</w:t>
      </w:r>
      <w:r>
        <w:t xml:space="preserve"> </w:t>
      </w:r>
      <w:r>
        <w:t xml:space="preserve">with what it fails to record.</w:t>
      </w:r>
      <w:r>
        <w:t xml:space="preserve"> </w:t>
      </w:r>
      <w:r>
        <w:rPr>
          <w:iCs/>
          <w:i/>
        </w:rPr>
        <w:t xml:space="preserve">Strategic gaps</w:t>
      </w:r>
      <w:r>
        <w:t xml:space="preserve"> </w:t>
      </w:r>
      <w:r>
        <w:t xml:space="preserve">— the operator who prefers the</w:t>
      </w:r>
      <w:r>
        <w:t xml:space="preserve"> </w:t>
      </w:r>
      <w:r>
        <w:t xml:space="preserve">hail damage unlogged ahead of a sale — are rarer and nastier precisely because</w:t>
      </w:r>
      <w:r>
        <w:t xml:space="preserve"> </w:t>
      </w:r>
      <w:r>
        <w:t xml:space="preserve">they correlate with value; they respond to the precondition mechanism (an</w:t>
      </w:r>
      <w:r>
        <w:t xml:space="preserve"> </w:t>
      </w:r>
      <w:r>
        <w:t xml:space="preserve">unlogged event cannot support a later claim, and a</w:t>
      </w:r>
      <w:r>
        <w:t xml:space="preserve"> </w:t>
      </w:r>
      <w:r>
        <w:rPr>
          <w:iCs/>
          <w:i/>
        </w:rPr>
        <w:t xml:space="preserve">gap</w:t>
      </w:r>
      <w:r>
        <w:t xml:space="preserve"> </w:t>
      </w:r>
      <w:r>
        <w:t xml:space="preserve">at a suspicious</w:t>
      </w:r>
      <w:r>
        <w:t xml:space="preserve"> </w:t>
      </w:r>
      <w:r>
        <w:t xml:space="preserve">moment is priced by buyers as if it hid the worst) and to the asymmetry that</w:t>
      </w:r>
      <w:r>
        <w:t xml:space="preserve"> </w:t>
      </w:r>
      <w:r>
        <w:t xml:space="preserve">suppressing a record requires suppressing every corroborated copy of it,</w:t>
      </w:r>
      <w:r>
        <w:t xml:space="preserve"> </w:t>
      </w:r>
      <w:r>
        <w:t xml:space="preserve">including counterparties’.</w:t>
      </w:r>
      <w:r>
        <w:t xml:space="preserve"> </w:t>
      </w:r>
      <w:r>
        <w:rPr>
          <w:iCs/>
          <w:i/>
        </w:rPr>
        <w:t xml:space="preserve">Structural gaps</w:t>
      </w:r>
      <w:r>
        <w:t xml:space="preserve"> </w:t>
      </w:r>
      <w:r>
        <w:t xml:space="preserve">— whole event classes the schema</w:t>
      </w:r>
      <w:r>
        <w:t xml:space="preserve"> </w:t>
      </w:r>
      <w:r>
        <w:t xml:space="preserve">does not capture, or whole participant tiers outside the system — are the</w:t>
      </w:r>
      <w:r>
        <w:t xml:space="preserve"> </w:t>
      </w:r>
      <w:r>
        <w:t xml:space="preserve">honest frontier: no analytics detects what no one defined, which is why the</w:t>
      </w:r>
      <w:r>
        <w:t xml:space="preserve"> </w:t>
      </w:r>
      <w:r>
        <w:t xml:space="preserve">schema’s evolution regime (Section 5.8) and the interoperability agenda</w:t>
      </w:r>
      <w:r>
        <w:t xml:space="preserve"> </w:t>
      </w:r>
      <w:r>
        <w:t xml:space="preserve">(Chapter 12) are completeness work as much as anything else in this section.</w:t>
      </w:r>
    </w:p>
    <w:p>
      <w:pPr>
        <w:pStyle w:val="BodyText"/>
      </w:pPr>
      <w:r>
        <w:t xml:space="preserve">Three mitigations, in decreasing order of force. First,</w:t>
      </w:r>
      <w:r>
        <w:t xml:space="preserve"> </w:t>
      </w:r>
      <w:r>
        <w:rPr>
          <w:iCs/>
          <w:i/>
        </w:rPr>
        <w:t xml:space="preserve">make the record the</w:t>
      </w:r>
      <w:r>
        <w:rPr>
          <w:iCs/>
          <w:i/>
        </w:rPr>
        <w:t xml:space="preserve"> </w:t>
      </w:r>
      <w:r>
        <w:rPr>
          <w:iCs/>
          <w:i/>
        </w:rPr>
        <w:t xml:space="preserve">precondition for value</w:t>
      </w:r>
      <w:r>
        <w:t xml:space="preserve">: warranty claims require the commissioning event; insurance</w:t>
      </w:r>
      <w:r>
        <w:t xml:space="preserve"> </w:t>
      </w:r>
      <w:r>
        <w:t xml:space="preserve">payouts reference recorded inspections; secondary-market platforms price unrecorded</w:t>
      </w:r>
      <w:r>
        <w:t xml:space="preserve"> </w:t>
      </w:r>
      <w:r>
        <w:t xml:space="preserve">gaps as defects (Chapter 13 shows this is already the rational buyer’s posture — a</w:t>
      </w:r>
      <w:r>
        <w:t xml:space="preserve"> </w:t>
      </w:r>
      <w:r>
        <w:t xml:space="preserve">gap in the record is information). Second,</w:t>
      </w:r>
      <w:r>
        <w:t xml:space="preserve"> </w:t>
      </w:r>
      <w:r>
        <w:rPr>
          <w:iCs/>
          <w:i/>
        </w:rPr>
        <w:t xml:space="preserve">instrument the gaps</w:t>
      </w:r>
      <w:r>
        <w:t xml:space="preserve">: periodic</w:t>
      </w:r>
      <w:r>
        <w:t xml:space="preserve"> </w:t>
      </w:r>
      <w:r>
        <w:t xml:space="preserve">fleet-level condition sampling (Chapter 6) converts</w:t>
      </w:r>
      <w:r>
        <w:t xml:space="preserve"> </w:t>
      </w:r>
      <w:r>
        <w:t xml:space="preserve">“</w:t>
      </w:r>
      <w:r>
        <w:t xml:space="preserve">nothing was recorded</w:t>
      </w:r>
      <w: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t xml:space="preserve">“</w:t>
      </w:r>
      <w:r>
        <w:t xml:space="preserve">nothing changed, attested,</w:t>
      </w:r>
      <w:r>
        <w:t xml:space="preserve">”</w:t>
      </w:r>
      <w:r>
        <w:t xml:space="preserve"> </w:t>
      </w:r>
      <w:r>
        <w:t xml:space="preserve">bounding the silence. Third,</w:t>
      </w:r>
      <w:r>
        <w:t xml:space="preserve"> </w:t>
      </w:r>
      <w:r>
        <w:rPr>
          <w:iCs/>
          <w:i/>
        </w:rPr>
        <w:t xml:space="preserve">interval accounting</w:t>
      </w:r>
      <w:r>
        <w:t xml:space="preserve">: the</w:t>
      </w:r>
      <w:r>
        <w:t xml:space="preserve"> </w:t>
      </w:r>
      <w:r>
        <w:t xml:space="preserve">schema’s submission windows mean long silences are at least visibly long, and</w:t>
      </w:r>
      <w:r>
        <w:t xml:space="preserve"> </w:t>
      </w:r>
      <w:r>
        <w:t xml:space="preserve">Chapter 11’s monitoring flags assets whose event cadence departs from their cohort’s.</w:t>
      </w:r>
      <w:r>
        <w:t xml:space="preserve"> </w:t>
      </w:r>
      <w:r>
        <w:t xml:space="preserve">Completeness, in the end, is an incentive property, not a cryptographic one — the</w:t>
      </w:r>
      <w:r>
        <w:t xml:space="preserve"> </w:t>
      </w:r>
      <w:r>
        <w:t xml:space="preserve">architecture’s contribution is to make completeness</w:t>
      </w:r>
      <w:r>
        <w:t xml:space="preserve"> </w:t>
      </w:r>
      <w:r>
        <w:rPr>
          <w:iCs/>
          <w:i/>
        </w:rPr>
        <w:t xml:space="preserve">cheap</w:t>
      </w:r>
      <w:r>
        <w:t xml:space="preserve"> </w:t>
      </w:r>
      <w:r>
        <w:t xml:space="preserve">and gaps</w:t>
      </w:r>
      <w:r>
        <w:t xml:space="preserve"> </w:t>
      </w:r>
      <w:r>
        <w:rPr>
          <w:iCs/>
          <w:i/>
        </w:rPr>
        <w:t xml:space="preserve">expensive</w:t>
      </w:r>
      <w:r>
        <w:t xml:space="preserve">,</w:t>
      </w:r>
      <w:r>
        <w:t xml:space="preserve"> </w:t>
      </w:r>
      <w:r>
        <w:t xml:space="preserve">and then let the parties’ interests do what interests do.</w:t>
      </w:r>
    </w:p>
    <w:p>
      <w:pPr>
        <w:pStyle w:val="BodyText"/>
      </w:pPr>
      <w:r>
        <w:t xml:space="preserve">Cadence monitoring deserves its worked example, because it is the mitigation</w:t>
      </w:r>
      <w:r>
        <w:t xml:space="preserve"> </w:t>
      </w:r>
      <w:r>
        <w:t xml:space="preserve">that scales. Every asset belongs to natural cohorts — production week, site,</w:t>
      </w:r>
      <w:r>
        <w:t xml:space="preserve"> </w:t>
      </w:r>
      <w:r>
        <w:t xml:space="preserve">installer, O&amp;M contract — and each cohort develops an event-cadence signature:</w:t>
      </w:r>
      <w:r>
        <w:t xml:space="preserve"> </w:t>
      </w:r>
      <w:r>
        <w:t xml:space="preserve">inspections on the policy schedule, maintenance at the fleet’s empirical rate,</w:t>
      </w:r>
      <w:r>
        <w:t xml:space="preserve"> </w:t>
      </w:r>
      <w:r>
        <w:t xml:space="preserve">transfers clustering at commercial events. The monitor learns these signatures</w:t>
      </w:r>
      <w:r>
        <w:t xml:space="preserve"> </w:t>
      </w:r>
      <w:r>
        <w:t xml:space="preserve">and scores departures. Consider a 200-module string whose maintenance events</w:t>
      </w:r>
      <w:r>
        <w:t xml:space="preserve"> </w:t>
      </w:r>
      <w:r>
        <w:t xml:space="preserve">stop appearing while its neighbors’ continue: either the string is</w:t>
      </w:r>
      <w:r>
        <w:t xml:space="preserve"> </w:t>
      </w:r>
      <w:r>
        <w:t xml:space="preserve">inexplicably trouble-free (visible in production data — check), or its crew</w:t>
      </w:r>
      <w:r>
        <w:t xml:space="preserve"> </w:t>
      </w:r>
      <w:r>
        <w:t xml:space="preserve">has stopped logging (an SLA conversation), or its records are being</w:t>
      </w:r>
      <w:r>
        <w:t xml:space="preserve"> </w:t>
      </w:r>
      <w:r>
        <w:t xml:space="preserve">selectively suppressed ahead of a transaction (a diligence flag). The monitor</w:t>
      </w:r>
      <w:r>
        <w:t xml:space="preserve"> </w:t>
      </w:r>
      <w:r>
        <w:t xml:space="preserve">cannot distinguish the three — but it does not need to; its job is to convert</w:t>
      </w:r>
      <w:r>
        <w:t xml:space="preserve"> </w:t>
      </w:r>
      <w:r>
        <w:rPr>
          <w:iCs/>
          <w:i/>
        </w:rPr>
        <w:t xml:space="preserve">invisible absence</w:t>
      </w:r>
      <w:r>
        <w:t xml:space="preserve"> </w:t>
      </w:r>
      <w:r>
        <w:t xml:space="preserve">into</w:t>
      </w:r>
      <w:r>
        <w:t xml:space="preserve"> </w:t>
      </w:r>
      <w:r>
        <w:rPr>
          <w:iCs/>
          <w:i/>
        </w:rPr>
        <w:t xml:space="preserve">visible anomaly</w:t>
      </w:r>
      <w:r>
        <w:t xml:space="preserve">, cheaply and fleet-wide, so that</w:t>
      </w:r>
      <w:r>
        <w:t xml:space="preserve"> </w:t>
      </w:r>
      <w:r>
        <w:t xml:space="preserve">the expensive instruments (audits, V2 sampling, contractual inquiry) point</w:t>
      </w:r>
      <w:r>
        <w:t xml:space="preserve"> </w:t>
      </w:r>
      <w:r>
        <w:t xml:space="preserve">somewhere. In the Chapter 11 walkthrough’s first year this exact pattern surfaced the</w:t>
      </w:r>
      <w:r>
        <w:t xml:space="preserve"> </w:t>
      </w:r>
      <w:r>
        <w:t xml:space="preserve">S3 unlogged-replacement finding (Section 11.3) — not by detecting the</w:t>
      </w:r>
      <w:r>
        <w:t xml:space="preserve"> </w:t>
      </w:r>
      <w:r>
        <w:t xml:space="preserve">replacement, which was invisible, but by detecting that a work order’s</w:t>
      </w:r>
      <w:r>
        <w:t xml:space="preserve"> </w:t>
      </w:r>
      <w:r>
        <w:t xml:space="preserve">duration was inconsistent with its recorded scope. Absence-of-evidence</w:t>
      </w:r>
      <w:r>
        <w:t xml:space="preserve"> </w:t>
      </w:r>
      <w:r>
        <w:t xml:space="preserve">analytics is unglamorous statistics, and it is the completeness problem’s</w:t>
      </w:r>
      <w:r>
        <w:t xml:space="preserve"> </w:t>
      </w:r>
      <w:r>
        <w:t xml:space="preserve">practical answer.</w:t>
      </w:r>
    </w:p>
    <w:bookmarkEnd w:id="29"/>
    <w:bookmarkStart w:id="30" w:name="schema-evolution-over-decades"/>
    <w:p>
      <w:pPr>
        <w:pStyle w:val="Heading2"/>
      </w:pPr>
      <w:r>
        <w:t xml:space="preserve">5.8 Schema Evolution over Decades</w:t>
      </w:r>
    </w:p>
    <w:p>
      <w:pPr>
        <w:pStyle w:val="FirstParagraph"/>
      </w:pPr>
      <w:r>
        <w:t xml:space="preserve">A schema for 30-year assets will outlive its authors’ tenure, its committee’s</w:t>
      </w:r>
      <w:r>
        <w:t xml:space="preserve"> </w:t>
      </w:r>
      <w:r>
        <w:t xml:space="preserve">composition, and at least one generation of its own good ideas; planning for</w:t>
      </w:r>
      <w:r>
        <w:t xml:space="preserve"> </w:t>
      </w:r>
      <w:r>
        <w:t xml:space="preserve">its evolution is therefore part of its specification, not an operational</w:t>
      </w:r>
      <w:r>
        <w:t xml:space="preserve"> </w:t>
      </w:r>
      <w:r>
        <w:t xml:space="preserve">afterthought. The regime has four rules.</w:t>
      </w:r>
    </w:p>
    <w:p>
      <w:pPr>
        <w:pStyle w:val="BodyText"/>
      </w:pPr>
      <w:r>
        <w:rPr>
          <w:bCs/>
          <w:b/>
        </w:rPr>
        <w:t xml:space="preserve">Rule 1: The envelope changes constitutionally, payloads change routinely.</w:t>
      </w:r>
      <w:r>
        <w:t xml:space="preserve"> </w:t>
      </w:r>
      <w:r>
        <w:t xml:space="preserve">Envelope amendments (new fields, changed semantics) require governance</w:t>
      </w:r>
      <w:r>
        <w:t xml:space="preserve"> </w:t>
      </w:r>
      <w:r>
        <w:t xml:space="preserve">supermajority, a published migration analysis, and a version bump that old</w:t>
      </w:r>
      <w:r>
        <w:t xml:space="preserve"> </w:t>
      </w:r>
      <w:r>
        <w:t xml:space="preserve">verifiers detect explicitly — they must fail loudly on envelopes they cannot</w:t>
      </w:r>
      <w:r>
        <w:t xml:space="preserve"> </w:t>
      </w:r>
      <w:r>
        <w:t xml:space="preserve">interpret, never guess. Payload schema versions, by contrast, evolve at</w:t>
      </w:r>
      <w:r>
        <w:t xml:space="preserve"> </w:t>
      </w:r>
      <w:r>
        <w:t xml:space="preserve">technical-committee cadence per event type: adding a battery SoH metric or a</w:t>
      </w:r>
      <w:r>
        <w:t xml:space="preserve"> </w:t>
      </w:r>
      <w:r>
        <w:t xml:space="preserve">new imaging modality’s metadata block is a registered, versioned, additive</w:t>
      </w:r>
      <w:r>
        <w:t xml:space="preserve"> </w:t>
      </w:r>
      <w:r>
        <w:t xml:space="preserve">change that touches no envelope and breaks no verifier.</w:t>
      </w:r>
    </w:p>
    <w:p>
      <w:pPr>
        <w:pStyle w:val="BodyText"/>
      </w:pPr>
      <w:r>
        <w:rPr>
          <w:bCs/>
          <w:b/>
        </w:rPr>
        <w:t xml:space="preserve">Rule 2: Old versions never die.</w:t>
      </w:r>
      <w:r>
        <w:t xml:space="preserve"> </w:t>
      </w:r>
      <w:r>
        <w:t xml:space="preserve">Every schema version ever used remains</w:t>
      </w:r>
      <w:r>
        <w:t xml:space="preserve"> </w:t>
      </w:r>
      <w:r>
        <w:t xml:space="preserve">registered, its specification archived as a first-class payload (the</w:t>
      </w:r>
      <w:r>
        <w:t xml:space="preserve"> </w:t>
      </w:r>
      <w:r>
        <w:t xml:space="preserve">format-longevity discipline of Section 4.2.1), and every verifier evaluates</w:t>
      </w:r>
      <w:r>
        <w:t xml:space="preserve"> </w:t>
      </w:r>
      <w:r>
        <w:t xml:space="preserve">each event against</w:t>
      </w:r>
      <w:r>
        <w:t xml:space="preserve"> </w:t>
      </w:r>
      <w:r>
        <w:rPr>
          <w:iCs/>
          <w:i/>
        </w:rPr>
        <w:t xml:space="preserve">its own</w:t>
      </w:r>
      <w:r>
        <w:t xml:space="preserve"> </w:t>
      </w:r>
      <w:r>
        <w:t xml:space="preserve">declared versions. There is no migration of old</w:t>
      </w:r>
      <w:r>
        <w:t xml:space="preserve"> </w:t>
      </w:r>
      <w:r>
        <w:t xml:space="preserve">records — records are immutable — only accumulation of interpreters. The</w:t>
      </w:r>
      <w:r>
        <w:t xml:space="preserve"> </w:t>
      </w:r>
      <w:r>
        <w:t xml:space="preserve">corollary is a discipline on version count: the pilot’s technical committee</w:t>
      </w:r>
      <w:r>
        <w:t xml:space="preserve"> </w:t>
      </w:r>
      <w:r>
        <w:t xml:space="preserve">batches payload changes quarterly rather than shipping every improvement</w:t>
      </w:r>
      <w:r>
        <w:t xml:space="preserve"> </w:t>
      </w:r>
      <w:r>
        <w:t xml:space="preserve">immediately, because each version is a forever-maintenance obligation.</w:t>
      </w:r>
    </w:p>
    <w:p>
      <w:pPr>
        <w:pStyle w:val="BodyText"/>
      </w:pPr>
      <w:r>
        <w:rPr>
          <w:bCs/>
          <w:b/>
        </w:rPr>
        <w:t xml:space="preserve">Rule 3: Vocabulary grows by addition, meaning never changes by stealth.</w:t>
      </w:r>
      <w:r>
        <w:t xml:space="preserve"> </w:t>
      </w:r>
      <w:r>
        <w:t xml:space="preserve">New event types append to the enum; existing types’ semantics are frozen — if</w:t>
      </w:r>
      <w:r>
        <w:t xml:space="preserve"> </w:t>
      </w:r>
      <w:r>
        <w:rPr>
          <w:rStyle w:val="VerbatimChar"/>
        </w:rPr>
        <w:t xml:space="preserve">EVT_INSPECT</w:t>
      </w:r>
      <w:r>
        <w:t xml:space="preserve"> </w:t>
      </w:r>
      <w:r>
        <w:t xml:space="preserve">needs incompatible semantics, the answer is</w:t>
      </w:r>
      <w:r>
        <w:t xml:space="preserve"> </w:t>
      </w:r>
      <w:r>
        <w:rPr>
          <w:rStyle w:val="VerbatimChar"/>
        </w:rPr>
        <w:t xml:space="preserve">EVT_INSPECT_V2</w:t>
      </w:r>
      <w:r>
        <w:t xml:space="preserve"> </w:t>
      </w:r>
      <w:r>
        <w:t xml:space="preserve">(a new type), not a quiet redefinition, because two decades of analytics,</w:t>
      </w:r>
      <w:r>
        <w:t xml:space="preserve"> </w:t>
      </w:r>
      <w:r>
        <w:t xml:space="preserve">contracts, and case law will have attached to the old meaning. Deprecation</w:t>
      </w:r>
      <w:r>
        <w:t xml:space="preserve"> </w:t>
      </w:r>
      <w:r>
        <w:t xml:space="preserve">marks a type closed to</w:t>
      </w:r>
      <w:r>
        <w:t xml:space="preserve"> </w:t>
      </w:r>
      <w:r>
        <w:rPr>
          <w:iCs/>
          <w:i/>
        </w:rPr>
        <w:t xml:space="preserve">new</w:t>
      </w:r>
      <w:r>
        <w:t xml:space="preserve"> </w:t>
      </w:r>
      <w:r>
        <w:t xml:space="preserve">events while its historical population remains</w:t>
      </w:r>
      <w:r>
        <w:t xml:space="preserve"> </w:t>
      </w:r>
      <w:r>
        <w:t xml:space="preserve">fully interpretable.</w:t>
      </w:r>
    </w:p>
    <w:p>
      <w:pPr>
        <w:pStyle w:val="BodyText"/>
      </w:pPr>
      <w:r>
        <w:rPr>
          <w:bCs/>
          <w:b/>
        </w:rPr>
        <w:t xml:space="preserve">Rule 4: Evolution is itself evidence.</w:t>
      </w:r>
      <w:r>
        <w:t xml:space="preserve"> </w:t>
      </w:r>
      <w:r>
        <w:t xml:space="preserve">Every schema change is a governance</w:t>
      </w:r>
      <w:r>
        <w:t xml:space="preserve"> </w:t>
      </w:r>
      <w:r>
        <w:t xml:space="preserve">event: proposed text, analysis, votes, effective height — all on-ledger,</w:t>
      </w:r>
      <w:r>
        <w:t xml:space="preserve"> </w:t>
      </w:r>
      <w:r>
        <w:t xml:space="preserve">all anchored. When a 2044 adjudicator asks why a 2029 event lacks a field</w:t>
      </w:r>
      <w:r>
        <w:t xml:space="preserve"> </w:t>
      </w:r>
      <w:r>
        <w:t xml:space="preserve">that 2035 events carry, the answer is a citable governance record rather than</w:t>
      </w:r>
      <w:r>
        <w:t xml:space="preserve"> </w:t>
      </w:r>
      <w:r>
        <w:t xml:space="preserve">institutional memory. This is the same time-contextual verification that</w:t>
      </w:r>
      <w:r>
        <w:t xml:space="preserve"> </w:t>
      </w:r>
      <w:r>
        <w:t xml:space="preserve">Chapter 9 builds for algorithms (pattern P2), applied to the schema; the two</w:t>
      </w:r>
      <w:r>
        <w:t xml:space="preserve"> </w:t>
      </w:r>
      <w:r>
        <w:t xml:space="preserve">registers share machinery, and the pilot implemented them as one contract</w:t>
      </w:r>
      <w:r>
        <w:t xml:space="preserve"> </w:t>
      </w:r>
      <w:r>
        <w:t xml:space="preserve">(Appendix A’s</w:t>
      </w:r>
      <w:r>
        <w:t xml:space="preserve"> </w:t>
      </w:r>
      <w:r>
        <w:rPr>
          <w:rStyle w:val="VerbatimChar"/>
        </w:rPr>
        <w:t xml:space="preserve">RoleAccred</w:t>
      </w:r>
      <w:r>
        <w:t xml:space="preserve"> </w:t>
      </w:r>
      <w:r>
        <w:t xml:space="preserve">carries both policies).</w:t>
      </w:r>
    </w:p>
    <w:p>
      <w:pPr>
        <w:pStyle w:val="BodyText"/>
      </w:pPr>
      <w:r>
        <w:t xml:space="preserve">The regime’s quiet payoff is negotiating leverage against platform churn:</w:t>
      </w:r>
      <w:r>
        <w:t xml:space="preserve"> </w:t>
      </w:r>
      <w:r>
        <w:t xml:space="preserve">because record semantics live in the versioned schema registry rather than in</w:t>
      </w:r>
      <w:r>
        <w:t xml:space="preserve"> </w:t>
      </w:r>
      <w:r>
        <w:t xml:space="preserve">any platform’s data model, the consortium can re-platform — and over thirty</w:t>
      </w:r>
      <w:r>
        <w:t xml:space="preserve"> </w:t>
      </w:r>
      <w:r>
        <w:t xml:space="preserve">years, it will — by re-implementing interpreters, without touching a single</w:t>
      </w:r>
      <w:r>
        <w:t xml:space="preserve"> </w:t>
      </w:r>
      <w:r>
        <w:t xml:space="preserve">committed record. The schema, not the software, is the system of record.</w:t>
      </w:r>
    </w:p>
    <w:bookmarkEnd w:id="30"/>
    <w:bookmarkStart w:id="31" w:name="chapter-summary"/>
    <w:p>
      <w:pPr>
        <w:pStyle w:val="Heading2"/>
      </w:pPr>
      <w:r>
        <w:t xml:space="preserve">5.9 Chapter Summary</w:t>
      </w:r>
    </w:p>
    <w:p>
      <w:pPr>
        <w:pStyle w:val="FirstParagraph"/>
      </w:pPr>
      <w:r>
        <w:t xml:space="preserve">The lifecycle model records attributed events, not adjudicated states: nine states</w:t>
      </w:r>
      <w:r>
        <w:t xml:space="preserve"> </w:t>
      </w:r>
      <w:r>
        <w:t xml:space="preserve">each defined by which events it makes legal and each carrying machine-checked</w:t>
      </w:r>
      <w:r>
        <w:t xml:space="preserve"> </w:t>
      </w:r>
      <w:r>
        <w:t xml:space="preserve">invariants; a closed envelope vocabulary of eighteen event types whose</w:t>
      </w:r>
      <w:r>
        <w:t xml:space="preserve"> </w:t>
      </w:r>
      <w:r>
        <w:t xml:space="preserve">corroboration classes price forgery at the moment of writing; payload schemas</w:t>
      </w:r>
      <w:r>
        <w:t xml:space="preserve"> </w:t>
      </w:r>
      <w:r>
        <w:t xml:space="preserve">versioned for decades of growth under an evolution regime in which old</w:t>
      </w:r>
      <w:r>
        <w:t xml:space="preserve"> </w:t>
      </w:r>
      <w:r>
        <w:t xml:space="preserve">versions never die and meaning never changes by stealth; and honest</w:t>
      </w:r>
      <w:r>
        <w:t xml:space="preserve"> </w:t>
      </w:r>
      <w:r>
        <w:t xml:space="preserve">representation of offline field reality through the claimed-time/ledger-time</w:t>
      </w:r>
      <w:r>
        <w:t xml:space="preserve"> </w:t>
      </w:r>
      <w:r>
        <w:t xml:space="preserve">pair, idempotent submission, and authorization evaluated at claimed time. The</w:t>
      </w:r>
      <w:r>
        <w:t xml:space="preserve"> </w:t>
      </w:r>
      <w:r>
        <w:t xml:space="preserve">evidence DAG formed by</w:t>
      </w:r>
      <w:r>
        <w:t xml:space="preserve"> </w:t>
      </w:r>
      <w:r>
        <w:rPr>
          <w:rStyle w:val="VerbatimChar"/>
        </w:rPr>
        <w:t xml:space="preserve">prior_refs</w:t>
      </w:r>
      <w:r>
        <w:t xml:space="preserve"> </w:t>
      </w:r>
      <w:r>
        <w:t xml:space="preserve">is the structure verifiers traverse — a</w:t>
      </w:r>
      <w:r>
        <w:t xml:space="preserve"> </w:t>
      </w:r>
      <w:r>
        <w:t xml:space="preserve">dozen events answer a warranty question regardless of the asset’s age — and</w:t>
      </w:r>
      <w:r>
        <w:t xml:space="preserve"> </w:t>
      </w:r>
      <w:r>
        <w:t xml:space="preserve">the complete biography of Table 5.4 showed the whole apparatus costs an asset</w:t>
      </w:r>
      <w:r>
        <w:t xml:space="preserve"> </w:t>
      </w:r>
      <w:r>
        <w:t xml:space="preserve">about twenty envelopes in twenty-six years. The write-time contract enforces</w:t>
      </w:r>
      <w:r>
        <w:t xml:space="preserve"> </w:t>
      </w:r>
      <w:r>
        <w:t xml:space="preserve">the constitution (well-formedness, transitions, authorization, corroboration)</w:t>
      </w:r>
      <w:r>
        <w:t xml:space="preserve"> </w:t>
      </w:r>
      <w:r>
        <w:t xml:space="preserve">and pointedly nothing more, because plausibility enforcement at the gate</w:t>
      </w:r>
      <w:r>
        <w:t xml:space="preserve"> </w:t>
      </w:r>
      <w:r>
        <w:t xml:space="preserve">teaches the field to launder measurements; judgment lives downstream,</w:t>
      </w:r>
      <w:r>
        <w:t xml:space="preserve"> </w:t>
      </w:r>
      <w:r>
        <w:t xml:space="preserve">revisable and attributable. Integrity guarantees differ by stage — instrument-</w:t>
      </w:r>
      <w:r>
        <w:t xml:space="preserve"> </w:t>
      </w:r>
      <w:r>
        <w:t xml:space="preserve">rooted at manufacture, protocol-rooted in transit, accreditation-rooted at the</w:t>
      </w:r>
      <w:r>
        <w:t xml:space="preserve"> </w:t>
      </w:r>
      <w:r>
        <w:t xml:space="preserve">terminus — and the residual exposures are named, the deepest being</w:t>
      </w:r>
      <w:r>
        <w:t xml:space="preserve"> </w:t>
      </w:r>
      <w:r>
        <w:t xml:space="preserve">completeness, a property incentives must supply because cryptography cannot,</w:t>
      </w:r>
      <w:r>
        <w:t xml:space="preserve"> </w:t>
      </w:r>
      <w:r>
        <w:t xml:space="preserve">attacked in its negligent, strategic, and structural species by tooling,</w:t>
      </w:r>
      <w:r>
        <w:t xml:space="preserve"> </w:t>
      </w:r>
      <w:r>
        <w:t xml:space="preserve">preconditions, and schema evolution respectively. The whole apparatus asks</w:t>
      </w:r>
      <w:r>
        <w:t xml:space="preserve"> </w:t>
      </w:r>
      <w:r>
        <w:t xml:space="preserve">of the field only what its standards already require — Table 5.5’s mapping —</w:t>
      </w:r>
      <w:r>
        <w:t xml:space="preserve"> </w:t>
      </w:r>
      <w:r>
        <w:t xml:space="preserve">plus signatures in the right places, which is why it stands a chance of being</w:t>
      </w:r>
      <w:r>
        <w:t xml:space="preserve"> </w:t>
      </w:r>
      <w:r>
        <w:t xml:space="preserve">used honestly. Among the event types, two carry the system’s evidentiary</w:t>
      </w:r>
      <w:r>
        <w:t xml:space="preserve"> </w:t>
      </w:r>
      <w:r>
        <w:t xml:space="preserve">weight:</w:t>
      </w:r>
      <w:r>
        <w:t xml:space="preserve"> </w:t>
      </w:r>
      <w:r>
        <w:rPr>
          <w:rStyle w:val="VerbatimChar"/>
        </w:rPr>
        <w:t xml:space="preserve">EVT_REGISTER</w:t>
      </w:r>
      <w:r>
        <w:t xml:space="preserve">, which binds the record to matter, and</w:t>
      </w:r>
      <w:r>
        <w:t xml:space="preserve"> </w:t>
      </w:r>
      <w:r>
        <w:rPr>
          <w:rStyle w:val="VerbatimChar"/>
        </w:rPr>
        <w:t xml:space="preserve">EVT_INSPECT</w:t>
      </w:r>
      <w:r>
        <w:t xml:space="preserve">,</w:t>
      </w:r>
      <w:r>
        <w:t xml:space="preserve"> </w:t>
      </w:r>
      <w:r>
        <w:t xml:space="preserve">which keeps the binding honest as matter ages. Both rest on the measurement</w:t>
      </w:r>
      <w:r>
        <w:t xml:space="preserve"> </w:t>
      </w:r>
      <w:r>
        <w:t xml:space="preserve">science of the next chapter.</w:t>
      </w:r>
    </w:p>
    <w:bookmarkEnd w:id="31"/>
    <w:bookmarkStart w:id="32" w:name="references-and-further-reading"/>
    <w:p>
      <w:pPr>
        <w:pStyle w:val="Heading2"/>
      </w:pPr>
      <w:r>
        <w:t xml:space="preserve">References and Further Reading</w:t>
      </w:r>
    </w:p>
    <w:p>
      <w:pPr>
        <w:numPr>
          <w:ilvl w:val="0"/>
          <w:numId w:val="1002"/>
        </w:numPr>
        <w:pStyle w:val="Compact"/>
      </w:pPr>
      <w:r>
        <w:t xml:space="preserve">Object Management Group.</w:t>
      </w:r>
      <w:r>
        <w:t xml:space="preserve"> </w:t>
      </w:r>
      <w:r>
        <w:rPr>
          <w:iCs/>
          <w:i/>
        </w:rPr>
        <w:t xml:space="preserve">Unified Modeling Language (UML) Specification</w:t>
      </w:r>
      <w:r>
        <w:t xml:space="preserve"> </w:t>
      </w:r>
      <w:r>
        <w:t xml:space="preserve">— state</w:t>
      </w:r>
      <w:r>
        <w:t xml:space="preserve"> </w:t>
      </w:r>
      <w:r>
        <w:t xml:space="preserve">machine semantics. OMG, latest revision.</w:t>
      </w:r>
    </w:p>
    <w:p>
      <w:pPr>
        <w:numPr>
          <w:ilvl w:val="0"/>
          <w:numId w:val="1002"/>
        </w:numPr>
        <w:pStyle w:val="Compact"/>
      </w:pPr>
      <w:r>
        <w:t xml:space="preserve">Fowler, M.</w:t>
      </w:r>
      <w:r>
        <w:t xml:space="preserve"> </w:t>
      </w:r>
      <w:r>
        <w:rPr>
          <w:iCs/>
          <w:i/>
        </w:rPr>
        <w:t xml:space="preserve">Analysis Patterns: Reusable Object Models.</w:t>
      </w:r>
      <w:r>
        <w:t xml:space="preserve"> </w:t>
      </w:r>
      <w:r>
        <w:t xml:space="preserve">Boston: Addison-Wesley,</w:t>
      </w:r>
      <w:r>
        <w:t xml:space="preserve"> </w:t>
      </w:r>
      <w:r>
        <w:t xml:space="preserve">1997 (accountability and observation patterns).</w:t>
      </w:r>
    </w:p>
    <w:p>
      <w:pPr>
        <w:numPr>
          <w:ilvl w:val="0"/>
          <w:numId w:val="1002"/>
        </w:numPr>
        <w:pStyle w:val="Compact"/>
      </w:pPr>
      <w:r>
        <w:t xml:space="preserve">Helland, P.</w:t>
      </w:r>
      <w:r>
        <w:t xml:space="preserve"> </w:t>
      </w:r>
      <w:r>
        <w:t xml:space="preserve">“</w:t>
      </w:r>
      <w:r>
        <w:t xml:space="preserve">Immutability Changes Everything.</w:t>
      </w:r>
      <w:r>
        <w:t xml:space="preserve">”</w:t>
      </w:r>
      <w:r>
        <w:t xml:space="preserve"> </w:t>
      </w:r>
      <w:r>
        <w:rPr>
          <w:iCs/>
          <w:i/>
        </w:rPr>
        <w:t xml:space="preserve">Communications of the ACM</w:t>
      </w:r>
      <w:r>
        <w:t xml:space="preserve"> </w:t>
      </w:r>
      <w:r>
        <w:t xml:space="preserve">59,</w:t>
      </w:r>
      <w:r>
        <w:t xml:space="preserve"> </w:t>
      </w:r>
      <w:r>
        <w:t xml:space="preserve">no. 1 (2016): 64–70. The systems argument behind Principle 1, from the</w:t>
      </w:r>
      <w:r>
        <w:t xml:space="preserve"> </w:t>
      </w:r>
      <w:r>
        <w:t xml:space="preserve">database community’s side.</w:t>
      </w:r>
    </w:p>
    <w:p>
      <w:pPr>
        <w:numPr>
          <w:ilvl w:val="0"/>
          <w:numId w:val="1002"/>
        </w:numPr>
        <w:pStyle w:val="Compact"/>
      </w:pPr>
      <w:r>
        <w:t xml:space="preserve">Kleppmann, M.</w:t>
      </w:r>
      <w:r>
        <w:t xml:space="preserve"> </w:t>
      </w:r>
      <w:r>
        <w:rPr>
          <w:iCs/>
          <w:i/>
        </w:rPr>
        <w:t xml:space="preserve">Designing Data-Intensive Applications.</w:t>
      </w:r>
      <w:r>
        <w:t xml:space="preserve"> </w:t>
      </w:r>
      <w:r>
        <w:t xml:space="preserve">O’Reilly, 2017. The</w:t>
      </w:r>
      <w:r>
        <w:t xml:space="preserve"> </w:t>
      </w:r>
      <w:r>
        <w:t xml:space="preserve">treatment of event logs and derived state is the general engineering</w:t>
      </w:r>
      <w:r>
        <w:t xml:space="preserve"> </w:t>
      </w:r>
      <w:r>
        <w:t xml:space="preserve">background for this chapter’s event-primary design.</w:t>
      </w:r>
    </w:p>
    <w:p>
      <w:pPr>
        <w:numPr>
          <w:ilvl w:val="0"/>
          <w:numId w:val="1002"/>
        </w:numPr>
        <w:pStyle w:val="Compact"/>
      </w:pPr>
      <w:r>
        <w:t xml:space="preserve">Directive 2012/19/EU of the European Parliament and of the Council on Waste</w:t>
      </w:r>
      <w:r>
        <w:t xml:space="preserve"> </w:t>
      </w:r>
      <w:r>
        <w:t xml:space="preserve">Electrical and Electronic Equipment (WEEE).</w:t>
      </w:r>
      <w:r>
        <w:t xml:space="preserve"> </w:t>
      </w:r>
      <w:r>
        <w:rPr>
          <w:iCs/>
          <w:i/>
        </w:rPr>
        <w:t xml:space="preserve">Official Journal of the European</w:t>
      </w:r>
      <w:r>
        <w:rPr>
          <w:iCs/>
          <w:i/>
        </w:rPr>
        <w:t xml:space="preserve"> </w:t>
      </w:r>
      <w:r>
        <w:rPr>
          <w:iCs/>
          <w:i/>
        </w:rPr>
        <w:t xml:space="preserve">Union</w:t>
      </w:r>
      <w:r>
        <w:t xml:space="preserve">, 2012.</w:t>
      </w:r>
    </w:p>
    <w:p>
      <w:pPr>
        <w:numPr>
          <w:ilvl w:val="0"/>
          <w:numId w:val="1002"/>
        </w:numPr>
        <w:pStyle w:val="Compact"/>
      </w:pPr>
      <w:r>
        <w:t xml:space="preserve">Regulation (EU) 2023/1542 (Battery Regulation), Articles 65–78 and Annex XIII</w:t>
      </w:r>
      <w:r>
        <w:t xml:space="preserve"> </w:t>
      </w:r>
      <w:r>
        <w:t xml:space="preserve">(battery passport content and lifecycle data).</w:t>
      </w:r>
    </w:p>
    <w:p>
      <w:pPr>
        <w:numPr>
          <w:ilvl w:val="0"/>
          <w:numId w:val="1002"/>
        </w:numPr>
        <w:pStyle w:val="Compact"/>
      </w:pPr>
      <w:r>
        <w:t xml:space="preserve">International Electrotechnical Commission.</w:t>
      </w:r>
      <w:r>
        <w:t xml:space="preserve"> </w:t>
      </w:r>
      <w:r>
        <w:rPr>
          <w:iCs/>
          <w:i/>
        </w:rPr>
        <w:t xml:space="preserve">IEC 62446-1: Photovoltaic (PV)</w:t>
      </w:r>
      <w:r>
        <w:rPr>
          <w:iCs/>
          <w:i/>
        </w:rPr>
        <w:t xml:space="preserve"> </w:t>
      </w:r>
      <w:r>
        <w:rPr>
          <w:iCs/>
          <w:i/>
        </w:rPr>
        <w:t xml:space="preserve">Systems — Requirements for Testing, Documentation and Maintenance — Part 1: Grid</w:t>
      </w:r>
      <w:r>
        <w:rPr>
          <w:iCs/>
          <w:i/>
        </w:rPr>
        <w:t xml:space="preserve"> </w:t>
      </w:r>
      <w:r>
        <w:rPr>
          <w:iCs/>
          <w:i/>
        </w:rPr>
        <w:t xml:space="preserve">Connected Systems.</w:t>
      </w:r>
      <w:r>
        <w:t xml:space="preserve"> </w:t>
      </w:r>
      <w:r>
        <w:t xml:space="preserve">Geneva: IEC. The commissioning-documentation mapping of</w:t>
      </w:r>
      <w:r>
        <w:t xml:space="preserve"> </w:t>
      </w:r>
      <w:r>
        <w:t xml:space="preserve">Table 5.5.</w:t>
      </w:r>
    </w:p>
    <w:p>
      <w:pPr>
        <w:numPr>
          <w:ilvl w:val="0"/>
          <w:numId w:val="1002"/>
        </w:numPr>
        <w:pStyle w:val="Compact"/>
      </w:pPr>
      <w:r>
        <w:t xml:space="preserve">Young, G.</w:t>
      </w:r>
      <w:r>
        <w:t xml:space="preserve"> </w:t>
      </w:r>
      <w:r>
        <w:rPr>
          <w:iCs/>
          <w:i/>
        </w:rPr>
        <w:t xml:space="preserve">Versioning in an Event Sourced System.</w:t>
      </w:r>
      <w:r>
        <w:t xml:space="preserve"> </w:t>
      </w:r>
      <w:r>
        <w:t xml:space="preserve">Leanpub, 2017.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Blockchain-Based Identity and Provenance for Distributed Energy Assets</dc:title>
  <dc:creator>[AUTHOR NAME — TO BE SUPPLIED]</dc:creator>
  <dc:language>en-US</dc:language>
  <cp:keywords/>
  <dcterms:created xsi:type="dcterms:W3CDTF">2026-07-03T09:17:36Z</dcterms:created>
  <dcterms:modified xsi:type="dcterms:W3CDTF">2026-07-03T09:17:36Z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book</vt:lpwstr>
  </property>
  <property fmtid="{D5CDD505-2E9C-101B-9397-08002B2CF9AE}" pid="3" name="fontsize">
    <vt:lpwstr>11pt</vt:lpwstr>
  </property>
  <property fmtid="{D5CDD505-2E9C-101B-9397-08002B2CF9AE}" pid="4" name="geometry">
    <vt:lpwstr>paperwidth=6.85in, paperheight=9.61in, margin=1in</vt:lpwstr>
  </property>
  <property fmtid="{D5CDD505-2E9C-101B-9397-08002B2CF9AE}" pid="5" name="link-citations">
    <vt:lpwstr>True</vt:lpwstr>
  </property>
  <property fmtid="{D5CDD505-2E9C-101B-9397-08002B2CF9AE}" pid="6" name="numbersections">
    <vt:lpwstr>True</vt:lpwstr>
  </property>
  <property fmtid="{D5CDD505-2E9C-101B-9397-08002B2CF9AE}" pid="7" name="publisher">
    <vt:lpwstr>CRC Press / Taylor &amp; Francis</vt:lpwstr>
  </property>
  <property fmtid="{D5CDD505-2E9C-101B-9397-08002B2CF9AE}" pid="8" name="rights">
    <vt:lpwstr>© [YEAR] [AUTHOR NAME]. All rights reserved. Draft manuscript — not for distribution.</vt:lpwstr>
  </property>
  <property fmtid="{D5CDD505-2E9C-101B-9397-08002B2CF9AE}" pid="9" name="subtitle">
    <vt:lpwstr>Immutable Identity, Lifecycle Traceability, and Integrity Verification for Solar and Renewable Infrastructure</vt:lpwstr>
  </property>
  <property fmtid="{D5CDD505-2E9C-101B-9397-08002B2CF9AE}" pid="10" name="toc">
    <vt:lpwstr>True</vt:lpwstr>
  </property>
  <property fmtid="{D5CDD505-2E9C-101B-9397-08002B2CF9AE}" pid="11" name="toc-depth">
    <vt:lpwstr>2</vt:lpwstr>
  </property>
</Properties>
</file>