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bfcfa216656c64857a87409c88b741d29ec02d6"/>
    <w:p>
      <w:pPr>
        <w:pStyle w:val="Heading1"/>
      </w:pPr>
      <w:r>
        <w:t xml:space="preserve">Consensus and Scalability for High-Volume Asset Fleets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The architecture of Chapters 4–6 must now survive multiplication. This chapter</w:t>
      </w:r>
      <w:r>
        <w:t xml:space="preserve"> </w:t>
      </w:r>
      <w:r>
        <w:t xml:space="preserve">quantifies the load that fleet-scale deployments place on the ledger — thousands to</w:t>
      </w:r>
      <w:r>
        <w:t xml:space="preserve"> </w:t>
      </w:r>
      <w:r>
        <w:t xml:space="preserve">millions of devices per plant, hundreds of millions per national market — and</w:t>
      </w:r>
      <w:r>
        <w:t xml:space="preserve"> </w:t>
      </w:r>
      <w:r>
        <w:t xml:space="preserve">evaluates the scaling techniques of the blockchain literature (sharding, sidechains,</w:t>
      </w:r>
      <w:r>
        <w:t xml:space="preserve"> </w:t>
      </w:r>
      <w:r>
        <w:t xml:space="preserve">rollups and other layer-2 constructions) against the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workload of asset</w:t>
      </w:r>
      <w:r>
        <w:t xml:space="preserve"> </w:t>
      </w:r>
      <w:r>
        <w:t xml:space="preserve">identity, which differs from the payment workloads those techniques were built for</w:t>
      </w:r>
      <w:r>
        <w:t xml:space="preserve"> </w:t>
      </w:r>
      <w:r>
        <w:t xml:space="preserve">in ways that change the answers. Along the way it works the burst archetypes</w:t>
      </w:r>
      <w:r>
        <w:t xml:space="preserve"> </w:t>
      </w:r>
      <w:r>
        <w:t xml:space="preserve">(production lines, catastrophe seasons, closing days), the state-growth and</w:t>
      </w:r>
      <w:r>
        <w:t xml:space="preserve"> </w:t>
      </w:r>
      <w:r>
        <w:t xml:space="preserve">read-scaling disciplines that are this workload’s real engineering, the</w:t>
      </w:r>
      <w:r>
        <w:t xml:space="preserve"> </w:t>
      </w:r>
      <w:r>
        <w:t xml:space="preserve">committee sizing and fee model of the consortium tier, and the availability</w:t>
      </w:r>
      <w:r>
        <w:t xml:space="preserve"> </w:t>
      </w:r>
      <w:r>
        <w:t xml:space="preserve">and disaster-recovery obligations a thirty-year system owes in writing. It</w:t>
      </w:r>
      <w:r>
        <w:t xml:space="preserve"> </w:t>
      </w:r>
      <w:r>
        <w:t xml:space="preserve">closes with a worked throughput-and-cost model</w:t>
      </w:r>
      <w:r>
        <w:t xml:space="preserve"> </w:t>
      </w:r>
      <w:r>
        <w:t xml:space="preserve">for a mid-size solar deployment — assumptions exhibited for audit,</w:t>
      </w:r>
      <w:r>
        <w:t xml:space="preserve"> </w:t>
      </w:r>
      <w:r>
        <w:t xml:space="preserve">sensitivities stated — carried forward into Chapter 11’s pilot and</w:t>
      </w:r>
      <w:r>
        <w:t xml:space="preserve"> </w:t>
      </w:r>
      <w:r>
        <w:t xml:space="preserve">Chapter 13’s economics, and extrapolated to the national tier where the</w:t>
      </w:r>
      <w:r>
        <w:t xml:space="preserve"> </w:t>
      </w:r>
      <w:r>
        <w:t xml:space="preserve">policy conversations happen.</w:t>
      </w:r>
    </w:p>
    <w:bookmarkEnd w:id="20"/>
    <w:bookmarkStart w:id="21" w:name="Xf4a2e1b424b93efbe98464771f6bba29e02bae7"/>
    <w:p>
      <w:pPr>
        <w:pStyle w:val="Heading2"/>
      </w:pPr>
      <w:r>
        <w:t xml:space="preserve">7.1 What</w:t>
      </w:r>
      <w:r>
        <w:t xml:space="preserve"> </w:t>
      </w:r>
      <w:r>
        <w:t xml:space="preserve">“</w:t>
      </w:r>
      <w:r>
        <w:t xml:space="preserve">Scale</w:t>
      </w:r>
      <w:r>
        <w:t xml:space="preserve">”</w:t>
      </w:r>
      <w:r>
        <w:t xml:space="preserve"> </w:t>
      </w:r>
      <w:r>
        <w:t xml:space="preserve">Means Here: The Workload Revisited</w:t>
      </w:r>
    </w:p>
    <w:p>
      <w:pPr>
        <w:pStyle w:val="FirstParagraph"/>
      </w:pPr>
      <w:r>
        <w:t xml:space="preserve">Begin by dispelling the reflexive worry. Blockchain scalability discourse is</w:t>
      </w:r>
      <w:r>
        <w:t xml:space="preserve"> </w:t>
      </w:r>
      <w:r>
        <w:t xml:space="preserve">dominated by payment throughput — tens of thousands of transactions per second,</w:t>
      </w:r>
      <w:r>
        <w:t xml:space="preserve"> </w:t>
      </w:r>
      <w:r>
        <w:t xml:space="preserve">sub-second latency, every transaction contending for global ordering — because</w:t>
      </w:r>
      <w:r>
        <w:t xml:space="preserve"> </w:t>
      </w:r>
      <w:r>
        <w:t xml:space="preserve">payment systems compete on exactly those axes and their literature followed</w:t>
      </w:r>
      <w:r>
        <w:t xml:space="preserve"> </w:t>
      </w:r>
      <w:r>
        <w:t xml:space="preserve">the competition. Asset identity</w:t>
      </w:r>
      <w:r>
        <w:t xml:space="preserve"> </w:t>
      </w:r>
      <w:r>
        <w:t xml:space="preserve">is a different animal: its transactions are paced by physical events (a</w:t>
      </w:r>
      <w:r>
        <w:t xml:space="preserve"> </w:t>
      </w:r>
      <w:r>
        <w:t xml:space="preserve">module is manufactured once, shipped a few times, inspected occasionally),</w:t>
      </w:r>
      <w:r>
        <w:t xml:space="preserve"> </w:t>
      </w:r>
      <w:r>
        <w:t xml:space="preserve">its subjects number in the billions but act rarely, and its verifiers care</w:t>
      </w:r>
      <w:r>
        <w:t xml:space="preserve"> </w:t>
      </w:r>
      <w:r>
        <w:t xml:space="preserve">about decades-old records far more than about the last second’s. Table 7.1</w:t>
      </w:r>
      <w:r>
        <w:t xml:space="preserve"> </w:t>
      </w:r>
      <w:r>
        <w:t xml:space="preserve">does the arithmetic that shows it.</w:t>
      </w:r>
    </w:p>
    <w:p>
      <w:pPr>
        <w:pStyle w:val="BodyText"/>
      </w:pPr>
      <w:r>
        <w:rPr>
          <w:bCs/>
          <w:b/>
        </w:rPr>
        <w:t xml:space="preserve">Table 7.1</w:t>
      </w:r>
      <w:r>
        <w:t xml:space="preserve"> </w:t>
      </w:r>
      <w:r>
        <w:t xml:space="preserve">Ledger event load by deployment scale, using the event frequencies of</w:t>
      </w:r>
      <w:r>
        <w:t xml:space="preserve"> </w:t>
      </w:r>
      <w:r>
        <w:t xml:space="preserve">Table 4.1 (registration once; lifecycle events ~0.2–1.0 per unit-year averaged over</w:t>
      </w:r>
      <w:r>
        <w:t xml:space="preserve"> </w:t>
      </w:r>
      <w:r>
        <w:t xml:space="preserve">asset classes; module-heavy mix).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Steady-state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 tx/s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MW commercial 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~4,000–12,000 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MW utility 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production-paced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~80,000–250,000 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~0.003–0.008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fleet, mid-size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M/yr additions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~15–50 M 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~0.5–1.6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Continental registry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~0.3–1 B 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~10–32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condition-record events at fleet sampling rates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~2–3× the above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~25–100</w:t>
            </w:r>
          </w:p>
        </w:tc>
      </w:tr>
    </w:tbl>
    <w:p>
      <w:pPr>
        <w:pStyle w:val="BodyText"/>
      </w:pPr>
      <w:r>
        <w:t xml:space="preserve">Reading the table: the</w:t>
      </w:r>
      <w:r>
        <w:t xml:space="preserve"> </w:t>
      </w:r>
      <w:r>
        <w:t xml:space="preserve">“</w:t>
      </w:r>
      <w:r>
        <w:t xml:space="preserve">registration burst</w:t>
      </w:r>
      <w:r>
        <w:t xml:space="preserve">”</w:t>
      </w:r>
      <w:r>
        <w:t xml:space="preserve"> </w:t>
      </w:r>
      <w:r>
        <w:t xml:space="preserve">column is the pace-setter for</w:t>
      </w:r>
      <w:r>
        <w:t xml:space="preserve"> </w:t>
      </w:r>
      <w:r>
        <w:t xml:space="preserve">factory-adjacent infrastructure (Section 7.2’s subject), while</w:t>
      </w:r>
      <w:r>
        <w:t xml:space="preserve"> </w:t>
      </w:r>
      <w:r>
        <w:t xml:space="preserve">“</w:t>
      </w:r>
      <w:r>
        <w:t xml:space="preserve">steady-state</w:t>
      </w:r>
      <w:r>
        <w:t xml:space="preserve"> </w:t>
      </w:r>
      <w:r>
        <w:t xml:space="preserve">events</w:t>
      </w:r>
      <w:r>
        <w:t xml:space="preserve">”</w:t>
      </w:r>
      <w:r>
        <w:t xml:space="preserve"> </w:t>
      </w:r>
      <w:r>
        <w:t xml:space="preserve">sets consensus sizing and</w:t>
      </w:r>
      <w:r>
        <w:t xml:space="preserve"> </w:t>
      </w:r>
      <w:r>
        <w:t xml:space="preserve">“</w:t>
      </w:r>
      <w:r>
        <w:t xml:space="preserve">average tx/s</w:t>
      </w:r>
      <w:r>
        <w:t xml:space="preserve">”</w:t>
      </w:r>
      <w:r>
        <w:t xml:space="preserve"> </w:t>
      </w:r>
      <w:r>
        <w:t xml:space="preserve">is the number to quote at</w:t>
      </w:r>
      <w:r>
        <w:t xml:space="preserve"> </w:t>
      </w:r>
      <w:r>
        <w:t xml:space="preserve">anyone who arrives with payment-chain benchmarks. Between the utility-plant</w:t>
      </w:r>
      <w:r>
        <w:t xml:space="preserve"> </w:t>
      </w:r>
      <w:r>
        <w:t xml:space="preserve">row and the national row lies the deployment reality that no single</w:t>
      </w:r>
      <w:r>
        <w:t xml:space="preserve"> </w:t>
      </w:r>
      <w:r>
        <w:t xml:space="preserve">organization ever operates: national fleets aggregate across thousands of</w:t>
      </w:r>
      <w:r>
        <w:t xml:space="preserve"> </w:t>
      </w:r>
      <w:r>
        <w:t xml:space="preserve">plants and millions of rooftops through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consortium ledger, which</w:t>
      </w:r>
      <w:r>
        <w:t xml:space="preserve"> </w:t>
      </w:r>
      <w:r>
        <w:t xml:space="preserve">is why the interesting engineering threshold is the national row and why the</w:t>
      </w:r>
      <w:r>
        <w:t xml:space="preserve"> </w:t>
      </w:r>
      <w:r>
        <w:t xml:space="preserve">continental row is presented as the federation case rather than a</w:t>
      </w:r>
      <w:r>
        <w:t xml:space="preserve"> </w:t>
      </w:r>
      <w:r>
        <w:t xml:space="preserve">single-ledger ambition.</w:t>
      </w:r>
    </w:p>
    <w:p>
      <w:pPr>
        <w:pStyle w:val="BodyText"/>
      </w:pPr>
      <w:r>
        <w:t xml:space="preserve">Even the continental case — every module, inverter, and battery in a large market —</w:t>
      </w:r>
      <w:r>
        <w:t xml:space="preserve"> </w:t>
      </w:r>
      <w:r>
        <w:t xml:space="preserve">averages double-digit transactions per second, within reach of a single well-run BFT</w:t>
      </w:r>
      <w:r>
        <w:t xml:space="preserve"> </w:t>
      </w:r>
      <w:r>
        <w:t xml:space="preserve">committee running on hardware a graduate student could afford. The comparison with payment workloads, tabulated once so the</w:t>
      </w:r>
      <w:r>
        <w:t xml:space="preserve"> </w:t>
      </w:r>
      <w:r>
        <w:t xml:space="preserve">chapter never has to argue it again:</w:t>
      </w:r>
    </w:p>
    <w:p>
      <w:pPr>
        <w:pStyle w:val="BodyText"/>
      </w:pPr>
      <w:r>
        <w:rPr>
          <w:bCs/>
          <w:b/>
        </w:rPr>
        <w:t xml:space="preserve">Table 7.2</w:t>
      </w:r>
      <w:r>
        <w:t xml:space="preserve"> </w:t>
      </w:r>
      <w:r>
        <w:t xml:space="preserve">Payment-chain workload assumptions versus the asset-identity</w:t>
      </w:r>
      <w:r>
        <w:t xml:space="preserve"> </w:t>
      </w:r>
      <w:r>
        <w:t xml:space="preserve">workload.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Asset-identity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write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Saturating by design (fee 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tx/s at continental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Diffuse, market-driven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Concentrated, event-driven (production, catastrophe, closing)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per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prunable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Monotone event history, never operationally 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Read:write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1 (wallets check own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≫100 (every transaction re-verifies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Sub-second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at docks; deterministic finality for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Forever-hot for verification, 40 yr+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pay market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Cents per unit, hard ceiling (§1.3)</w:t>
            </w:r>
          </w:p>
        </w:tc>
      </w:tr>
    </w:tbl>
    <w:p>
      <w:pPr>
        <w:pStyle w:val="BodyText"/>
      </w:pPr>
      <w:r>
        <w:t xml:space="preserve">So the naive conclusion is that scalability is a non-problem. The naive</w:t>
      </w:r>
      <w:r>
        <w:t xml:space="preserve"> </w:t>
      </w:r>
      <w:r>
        <w:t xml:space="preserve">conclusion is wrong for four reasons, each of which shapes a section of this chapter: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Burstiness.</w:t>
      </w:r>
      <w:r>
        <w:t xml:space="preserve"> </w:t>
      </w:r>
      <w:r>
        <w:t xml:space="preserve">Averages mislead. A gigafactory registers ~50,000 modules per</w:t>
      </w:r>
      <w:r>
        <w:t xml:space="preserve"> </w:t>
      </w:r>
      <w:r>
        <w:t xml:space="preserve">day</w:t>
      </w:r>
      <w:r>
        <w:t xml:space="preserve"> </w:t>
      </w:r>
      <w:r>
        <w:rPr>
          <w:iCs/>
          <w:i/>
        </w:rPr>
        <w:t xml:space="preserve">per line</w:t>
      </w:r>
      <w:r>
        <w:t xml:space="preserve"> </w:t>
      </w:r>
      <w:r>
        <w:t xml:space="preserve">in production-paced bursts; a hurricane generates a claim season</w:t>
      </w:r>
      <w:r>
        <w:t xml:space="preserve"> </w:t>
      </w:r>
      <w:r>
        <w:t xml:space="preserve">of condition records across a whole region in weeks; a plant acquisition</w:t>
      </w:r>
      <w:r>
        <w:t xml:space="preserve"> </w:t>
      </w:r>
      <w:r>
        <w:t xml:space="preserve">transfers 250,000 ownerships in one legal instant. Peak-to-average ratios of</w:t>
      </w:r>
      <w:r>
        <w:t xml:space="preserve"> </w:t>
      </w:r>
      <w:r>
        <w:t xml:space="preserve">10³–10⁴ are structural (Section 7.2). Worse, the bursts correlate with</w:t>
      </w:r>
      <w:r>
        <w:t xml:space="preserve"> </w:t>
      </w:r>
      <w:r>
        <w:rPr>
          <w:iCs/>
          <w:i/>
        </w:rPr>
        <w:t xml:space="preserve">importance</w:t>
      </w:r>
      <w:r>
        <w:t xml:space="preserve">: the acquisition day and the catastrophe week are precisely</w:t>
      </w:r>
      <w:r>
        <w:t xml:space="preserve"> </w:t>
      </w:r>
      <w:r>
        <w:t xml:space="preserve">when parties are watching the system’s behavior, so burst handling is a</w:t>
      </w:r>
      <w:r>
        <w:t xml:space="preserve"> </w:t>
      </w:r>
      <w:r>
        <w:t xml:space="preserve">credibility requirement, not merely a capacity 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growth, not throughput, is the binding constraint.</w:t>
      </w:r>
      <w:r>
        <w:t xml:space="preserve"> </w:t>
      </w:r>
      <w:r>
        <w:t xml:space="preserve">Payment ledgers</w:t>
      </w:r>
      <w:r>
        <w:t xml:space="preserve"> </w:t>
      </w:r>
      <w:r>
        <w:t xml:space="preserve">carry small, prunable state per account — a balance survives; the payments</w:t>
      </w:r>
      <w:r>
        <w:t xml:space="preserve"> </w:t>
      </w:r>
      <w:r>
        <w:t xml:space="preserve">that produced it can be archived. An asset registry’s state grows</w:t>
      </w:r>
      <w:r>
        <w:t xml:space="preserve"> </w:t>
      </w:r>
      <w:r>
        <w:t xml:space="preserve">monotonically with the asset population and must remain</w:t>
      </w:r>
      <w:r>
        <w:t xml:space="preserve"> </w:t>
      </w:r>
      <w:r>
        <w:rPr>
          <w:iCs/>
          <w:i/>
        </w:rPr>
        <w:t xml:space="preserve">queryable for decades</w:t>
      </w:r>
      <w:r>
        <w:t xml:space="preserve"> </w:t>
      </w:r>
      <w:r>
        <w:t xml:space="preserve">—</w:t>
      </w:r>
      <w:r>
        <w:t xml:space="preserve"> </w:t>
      </w:r>
      <w:r>
        <w:t xml:space="preserve">a validator in year 25 holds a billion DIDs with their event indices, and</w:t>
      </w:r>
      <w:r>
        <w:t xml:space="preserve"> </w:t>
      </w:r>
      <w:r>
        <w:t xml:space="preserve">no event is ever operationally dead, because any event may be the one a</w:t>
      </w:r>
      <w:r>
        <w:t xml:space="preserve"> </w:t>
      </w:r>
      <w:r>
        <w:t xml:space="preserve">2049 adjudication turns on. Storage,</w:t>
      </w:r>
      <w:r>
        <w:t xml:space="preserve"> </w:t>
      </w:r>
      <w:r>
        <w:t xml:space="preserve">sync time for new validators, and query service are where the engineering</w:t>
      </w:r>
      <w:r>
        <w:t xml:space="preserve"> </w:t>
      </w:r>
      <w:r>
        <w:t xml:space="preserve">actually hurts (Section 7.3).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Verification traffic dwarfs write traffic.</w:t>
      </w:r>
      <w:r>
        <w:t xml:space="preserve"> </w:t>
      </w:r>
      <w:r>
        <w:t xml:space="preserve">Every underwriting decision,</w:t>
      </w:r>
      <w:r>
        <w:t xml:space="preserve"> </w:t>
      </w:r>
      <w:r>
        <w:t xml:space="preserve">secondary-market listing, and warranty screen runs Chapter 6’s Steps 1–2. Reads</w:t>
      </w:r>
      <w:r>
        <w:t xml:space="preserve"> </w:t>
      </w:r>
      <w:r>
        <w:t xml:space="preserve">are cheap individually but the read:write ratio is easily 100:1 and grows</w:t>
      </w:r>
      <w:r>
        <w:t xml:space="preserve"> </w:t>
      </w:r>
      <w:r>
        <w:t xml:space="preserve">with adoption — each new verifier class (lenders’ monitors, passport</w:t>
      </w:r>
      <w:r>
        <w:t xml:space="preserve"> </w:t>
      </w:r>
      <w:r>
        <w:t xml:space="preserve">portals, market platforms) multiplies reads while writes stay pinned to</w:t>
      </w:r>
      <w:r>
        <w:t xml:space="preserve"> </w:t>
      </w:r>
      <w:r>
        <w:t xml:space="preserve">physical events. Read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 </w:t>
      </w:r>
      <w:r>
        <w:t xml:space="preserve">has SLA character that consensus</w:t>
      </w:r>
      <w:r>
        <w:t xml:space="preserve"> </w:t>
      </w:r>
      <w:r>
        <w:t xml:space="preserve">literature ignores (Section 7.3): a validator outage nobody notices; a</w:t>
      </w:r>
      <w:r>
        <w:t xml:space="preserve"> </w:t>
      </w:r>
      <w:r>
        <w:t xml:space="preserve">verification outage stalls commerce.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Latency requirements are legal, not conversational.</w:t>
      </w:r>
      <w:r>
        <w:t xml:space="preserve"> </w:t>
      </w:r>
      <w:r>
        <w:t xml:space="preserve">Nobody needs a</w:t>
      </w:r>
      <w:r>
        <w:t xml:space="preserve"> </w:t>
      </w:r>
      <w:r>
        <w:t xml:space="preserve">commissioning event finalized in 200 ms. But finality must be</w:t>
      </w:r>
      <w:r>
        <w:t xml:space="preserve"> </w:t>
      </w:r>
      <w:r>
        <w:rPr>
          <w:iCs/>
          <w:i/>
        </w:rPr>
        <w:t xml:space="preserve">deterministic</w:t>
      </w:r>
      <w:r>
        <w:t xml:space="preserve"> </w:t>
      </w:r>
      <w:r>
        <w:t xml:space="preserve">(Section 2.3’s argument) and custody transfers at loading docks need minutes,</w:t>
      </w:r>
      <w:r>
        <w:t xml:space="preserve"> </w:t>
      </w:r>
      <w:r>
        <w:t xml:space="preserve">not hours — a truck’s dwell time is the binding latency constraint in the</w:t>
      </w:r>
      <w:r>
        <w:t xml:space="preserve"> </w:t>
      </w:r>
      <w:r>
        <w:t xml:space="preserve">whole system. The requirement profile is unusual: modest latency, absolute</w:t>
      </w:r>
      <w:r>
        <w:t xml:space="preserve"> </w:t>
      </w:r>
      <w:r>
        <w:t xml:space="preserve">finality, decades of retention (Section 7.4). Payment-chain engineering</w:t>
      </w:r>
      <w:r>
        <w:t xml:space="preserve"> </w:t>
      </w:r>
      <w:r>
        <w:t xml:space="preserve">optimizes almost exactly the complementary profile, which is why importing</w:t>
      </w:r>
      <w:r>
        <w:t xml:space="preserve"> </w:t>
      </w:r>
      <w:r>
        <w:t xml:space="preserve">its techniques uncritically mis-spends the complexity budget.</w:t>
      </w:r>
    </w:p>
    <w:p>
      <w:pPr>
        <w:pStyle w:val="FirstParagraph"/>
      </w:pPr>
      <w:r>
        <w:t xml:space="preserve">The chapter’s method, stated once: every claim below is either derived from</w:t>
      </w:r>
      <w:r>
        <w:t xml:space="preserve"> </w:t>
      </w:r>
      <w:r>
        <w:t xml:space="preserve">Table 7.1’s rows or marked as a policy choice with its dial identified.</w:t>
      </w:r>
    </w:p>
    <w:bookmarkEnd w:id="21"/>
    <w:bookmarkStart w:id="22" w:name="Xdab471d875681fc3099cd8e77c840245e94eeda"/>
    <w:p>
      <w:pPr>
        <w:pStyle w:val="Heading2"/>
      </w:pPr>
      <w:r>
        <w:t xml:space="preserve">7.2 Absorbing Bursts: Batching and the Merkle Aggregation Pattern</w:t>
      </w:r>
    </w:p>
    <w:p>
      <w:pPr>
        <w:pStyle w:val="FirstParagraph"/>
      </w:pPr>
      <w:r>
        <w:t xml:space="preserve">The registration burst is the canonical case. A production line emitting a module</w:t>
      </w:r>
      <w:r>
        <w:t xml:space="preserve"> </w:t>
      </w:r>
      <w:r>
        <w:t xml:space="preserve">every 20–30 seconds per lane does not need — and should not get — one consensus</w:t>
      </w:r>
      <w:r>
        <w:t xml:space="preserve"> </w:t>
      </w:r>
      <w:r>
        <w:t xml:space="preserve">round per module: per-unit consensus would spend committee bandwidth on</w:t>
      </w:r>
      <w:r>
        <w:t xml:space="preserve"> </w:t>
      </w:r>
      <w:r>
        <w:t xml:space="preserve">ordering facts whose order carries no meaning (units off a line are not</w:t>
      </w:r>
      <w:r>
        <w:t xml:space="preserve"> </w:t>
      </w:r>
      <w:r>
        <w:t xml:space="preserve">causally related in any way the record cares about) and would couple factory</w:t>
      </w:r>
      <w:r>
        <w:t xml:space="preserve"> </w:t>
      </w:r>
      <w:r>
        <w:t xml:space="preserve">takt to network weather, which no production engineer will accept. The</w:t>
      </w:r>
      <w:r>
        <w:t xml:space="preserve"> </w:t>
      </w:r>
      <w:r>
        <w:t xml:space="preserve">pattern, standard in spirit, tuned here for evidential use:</w:t>
      </w:r>
    </w:p>
    <w:p>
      <w:pPr>
        <w:pStyle w:val="BodyText"/>
      </w:pPr>
      <w:r>
        <w:t xml:space="preserve">The registrar accumulates registrations locally, builds a Merkle tree over the batch</w:t>
      </w:r>
      <w:r>
        <w:t xml:space="preserve"> </w:t>
      </w:r>
      <w:r>
        <w:t xml:space="preserve">(500–5,000 units, tunable), and submits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transaction committing the root plus</w:t>
      </w:r>
      <w:r>
        <w:t xml:space="preserve"> </w:t>
      </w:r>
      <w:r>
        <w:t xml:space="preserve">the batch manifest to off-chain custody. Each unit’s DID becomes fully verifiable</w:t>
      </w:r>
      <w:r>
        <w:t xml:space="preserve"> </w:t>
      </w:r>
      <w:r>
        <w:t xml:space="preserve">via its leaf-inclusion proof against the committed root — the same proof machinery</w:t>
      </w:r>
      <w:r>
        <w:t xml:space="preserve"> </w:t>
      </w:r>
      <w:r>
        <w:t xml:space="preserve">of Section 2.2, now used for write compression. The consortium ledger sees one</w:t>
      </w:r>
      <w:r>
        <w:t xml:space="preserve"> </w:t>
      </w:r>
      <w:r>
        <w:t xml:space="preserve">transaction per batch; the</w:t>
      </w:r>
      <w:r>
        <w:t xml:space="preserve"> </w:t>
      </w:r>
      <w:r>
        <w:rPr>
          <w:iCs/>
          <w:i/>
        </w:rPr>
        <w:t xml:space="preserve">evidential granularity</w:t>
      </w:r>
      <w:r>
        <w:t xml:space="preserve"> </w:t>
      </w:r>
      <w:r>
        <w:t xml:space="preserve">remains per-unit, because any</w:t>
      </w:r>
      <w:r>
        <w:t xml:space="preserve"> </w:t>
      </w:r>
      <w:r>
        <w:t xml:space="preserve">single module’s registration is independently provable without reference to its</w:t>
      </w:r>
      <w:r>
        <w:t xml:space="preserve"> </w:t>
      </w:r>
      <w:r>
        <w:t xml:space="preserve">batchmates.</w:t>
      </w:r>
    </w:p>
    <w:p>
      <w:pPr>
        <w:pStyle w:val="BodyText"/>
      </w:pPr>
      <w:r>
        <w:t xml:space="preserve">Proof logistics complete the pattern’s practicality: each unit’s inclusion</w:t>
      </w:r>
      <w:r>
        <w:t xml:space="preserve"> </w:t>
      </w:r>
      <w:r>
        <w:t xml:space="preserve">proof (a few hundred bytes, Section 2.2.3’s arithmetic) is generated once at</w:t>
      </w:r>
      <w:r>
        <w:t xml:space="preserve"> </w:t>
      </w:r>
      <w:r>
        <w:t xml:space="preserve">batch close and travels</w:t>
      </w:r>
      <w:r>
        <w:t xml:space="preserve"> </w:t>
      </w:r>
      <w:r>
        <w:rPr>
          <w:iCs/>
          <w:i/>
        </w:rPr>
        <w:t xml:space="preserve">with the asset</w:t>
      </w:r>
      <w:r>
        <w:t xml:space="preserve"> </w:t>
      </w:r>
      <w:r>
        <w:t xml:space="preserve">— embedded in the record bundle</w:t>
      </w:r>
      <w:r>
        <w:t xml:space="preserve"> </w:t>
      </w:r>
      <w:r>
        <w:t xml:space="preserve">behind the unit’s QR locator, replicated with the batch manifest in custody,</w:t>
      </w:r>
      <w:r>
        <w:t xml:space="preserve"> </w:t>
      </w:r>
      <w:r>
        <w:t xml:space="preserve">and cacheable by anyone. A verifier at a loading dock three years later needs</w:t>
      </w:r>
      <w:r>
        <w:t xml:space="preserve"> </w:t>
      </w:r>
      <w:r>
        <w:t xml:space="preserve">the unit’s envelope, its proof, and the header chain — no live registrar, no</w:t>
      </w:r>
      <w:r>
        <w:t xml:space="preserve"> </w:t>
      </w:r>
      <w:r>
        <w:t xml:space="preserve">batch reconstruction, no consortium query beyond public headers. The batch,</w:t>
      </w:r>
      <w:r>
        <w:t xml:space="preserve"> </w:t>
      </w:r>
      <w:r>
        <w:t xml:space="preserve">in other words, is an amortization trick visible only at write time;</w:t>
      </w:r>
      <w:r>
        <w:t xml:space="preserve"> </w:t>
      </w:r>
      <w:r>
        <w:t xml:space="preserve">verification remains exactly as unit-granular and self-contained as if every</w:t>
      </w:r>
      <w:r>
        <w:t xml:space="preserve"> </w:t>
      </w:r>
      <w:r>
        <w:t xml:space="preserve">module had bought its own transaction.</w:t>
      </w:r>
    </w:p>
    <w:p>
      <w:pPr>
        <w:pStyle w:val="BodyText"/>
      </w:pPr>
      <w:r>
        <w:t xml:space="preserve">Batch sizing is a three-way trade worth making explicit. Larger batches</w:t>
      </w:r>
      <w:r>
        <w:t xml:space="preserve"> </w:t>
      </w:r>
      <w:r>
        <w:t xml:space="preserve">compress consensus load further (one transaction per 4,096 units instead of</w:t>
      </w:r>
      <w:r>
        <w:t xml:space="preserve"> </w:t>
      </w:r>
      <w:r>
        <w:t xml:space="preserve">per 2,048 halves the count) but lengthen the</w:t>
      </w:r>
      <w:r>
        <w:t xml:space="preserve"> </w:t>
      </w:r>
      <w:r>
        <w:rPr>
          <w:iCs/>
          <w:i/>
        </w:rPr>
        <w:t xml:space="preserve">commitment latency</w:t>
      </w:r>
      <w:r>
        <w:t xml:space="preserve"> </w:t>
      </w:r>
      <w:r>
        <w:t xml:space="preserve">of the</w:t>
      </w:r>
      <w:r>
        <w:t xml:space="preserve"> </w:t>
      </w:r>
      <w:r>
        <w:t xml:space="preserve">first unit in the batch (it waits for the last) and deepen the inclusion</w:t>
      </w:r>
      <w:r>
        <w:t xml:space="preserve"> </w:t>
      </w:r>
      <w:r>
        <w:t xml:space="preserve">proofs by one hash per doubling — the proof cost is logarithmic and therefore</w:t>
      </w:r>
      <w:r>
        <w:t xml:space="preserve"> </w:t>
      </w:r>
      <w:r>
        <w:t xml:space="preserve">nearly free, so the real constraint is latency policy: the pilot’s 2,048 at</w:t>
      </w:r>
      <w:r>
        <w:t xml:space="preserve"> </w:t>
      </w:r>
      <w:r>
        <w:t xml:space="preserve">production pace commits every unit within roughly a shift, which matches the</w:t>
      </w:r>
      <w:r>
        <w:t xml:space="preserve"> </w:t>
      </w:r>
      <w:r>
        <w:t xml:space="preserve">downstream logistics tempo (nothing ships faster than a shift). Batches also</w:t>
      </w:r>
      <w:r>
        <w:t xml:space="preserve"> </w:t>
      </w:r>
      <w:r>
        <w:t xml:space="preserve">respect</w:t>
      </w:r>
      <w:r>
        <w:t xml:space="preserve"> </w:t>
      </w:r>
      <w:r>
        <w:rPr>
          <w:iCs/>
          <w:i/>
        </w:rPr>
        <w:t xml:space="preserve">authority boundaries</w:t>
      </w:r>
      <w:r>
        <w:t xml:space="preserve"> </w:t>
      </w:r>
      <w:r>
        <w:t xml:space="preserve">— one registrar, one batch stream — so that a</w:t>
      </w:r>
      <w:r>
        <w:t xml:space="preserve"> </w:t>
      </w:r>
      <w:r>
        <w:t xml:space="preserve">batch’s validity has a single accountable signer, and the failure of one</w:t>
      </w:r>
      <w:r>
        <w:t xml:space="preserve"> </w:t>
      </w:r>
      <w:r>
        <w:t xml:space="preserve">registrar’s stream quarantines nothing else.</w:t>
      </w:r>
    </w:p>
    <w:p>
      <w:pPr>
        <w:pStyle w:val="BodyText"/>
      </w:pPr>
      <w:r>
        <w:t xml:space="preserve">Two evidential caveats distinguish this from payment batching. First, the batch</w:t>
      </w:r>
      <w:r>
        <w:t xml:space="preserve"> </w:t>
      </w:r>
      <w:r>
        <w:t xml:space="preserve">manifest must go to replicated custody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root is committed (a root</w:t>
      </w:r>
      <w:r>
        <w:t xml:space="preserve"> </w:t>
      </w:r>
      <w:r>
        <w:t xml:space="preserve">without a retrievable manifest is a commitment to nothing — the withholding failure</w:t>
      </w:r>
      <w:r>
        <w:t xml:space="preserve"> </w:t>
      </w:r>
      <w:r>
        <w:t xml:space="preserve">of Section 4.2); the registrar’s accreditation conditions make</w:t>
      </w:r>
      <w:r>
        <w:t xml:space="preserve"> </w:t>
      </w:r>
      <w:r>
        <w:t xml:space="preserve">custody-write-before-commit an audited obligation, and the retrievability</w:t>
      </w:r>
      <w:r>
        <w:t xml:space="preserve"> </w:t>
      </w:r>
      <w:r>
        <w:t xml:space="preserve">challenges of Section 4.2.1 sample batch manifests preferentially in their</w:t>
      </w:r>
      <w:r>
        <w:t xml:space="preserve"> </w:t>
      </w:r>
      <w:r>
        <w:t xml:space="preserve">first weeks, when a withholding attack would be freshest. Second, per-unit</w:t>
      </w:r>
      <w:r>
        <w:t xml:space="preserve"> </w:t>
      </w:r>
      <w:r>
        <w:rPr>
          <w:iCs/>
          <w:i/>
        </w:rPr>
        <w:t xml:space="preserve">revocation or correction</w:t>
      </w:r>
      <w:r>
        <w:t xml:space="preserve"> </w:t>
      </w:r>
      <w:r>
        <w:t xml:space="preserve">within a committed batch must be possible without</w:t>
      </w:r>
      <w:r>
        <w:t xml:space="preserve"> </w:t>
      </w:r>
      <w:r>
        <w:t xml:space="preserve">disturbing the batch: the schema handles this with</w:t>
      </w:r>
      <w:r>
        <w:t xml:space="preserve"> </w:t>
      </w:r>
      <w:r>
        <w:t xml:space="preserve">superseding per-unit events rather than batch mutation, preserving append-only</w:t>
      </w:r>
      <w:r>
        <w:t xml:space="preserve"> </w:t>
      </w:r>
      <w:r>
        <w:t xml:space="preserve">semantics — the batch remains exactly what was committed, and the correction</w:t>
      </w:r>
      <w:r>
        <w:t xml:space="preserve"> </w:t>
      </w:r>
      <w:r>
        <w:t xml:space="preserve">is a new, attributed fact about one leaf. With batching, the gigafactory’s</w:t>
      </w:r>
      <w:r>
        <w:t xml:space="preserve"> </w:t>
      </w:r>
      <w:r>
        <w:t xml:space="preserve">50,000 units/day become ~10–100</w:t>
      </w:r>
      <w:r>
        <w:t xml:space="preserve"> </w:t>
      </w:r>
      <w:r>
        <w:t xml:space="preserve">transactions/day; the hurricane claim season and the acquisition-day transfer use</w:t>
      </w:r>
      <w:r>
        <w:t xml:space="preserve"> </w:t>
      </w:r>
      <w:r>
        <w:t xml:space="preserve">the same aggregation with per-event proofs — the acquisition’s 250,000</w:t>
      </w:r>
      <w:r>
        <w:t xml:space="preserve"> </w:t>
      </w:r>
      <w:r>
        <w:t xml:space="preserve">ownership transfers, for instance, are a few dozen batch transactions whose</w:t>
      </w:r>
      <w:r>
        <w:t xml:space="preserve"> </w:t>
      </w:r>
      <w:r>
        <w:t xml:space="preserve">legal effectiveness is simultaneous at the closing block, which is cleaner</w:t>
      </w:r>
      <w:r>
        <w:t xml:space="preserve"> </w:t>
      </w:r>
      <w:r>
        <w:t xml:space="preserve">than the wet-ink alternative it replaces. Bursts, in short, are a solved problem</w:t>
      </w:r>
      <w:r>
        <w:t xml:space="preserve"> </w:t>
      </w:r>
      <w:r>
        <w:rPr>
          <w:iCs/>
          <w:i/>
        </w:rPr>
        <w:t xml:space="preserve">at the ledger interface</w:t>
      </w:r>
      <w:r>
        <w:t xml:space="preserve"> </w:t>
      </w:r>
      <w:r>
        <w:t xml:space="preserve">— the residual burst load lands on the off-chain custody</w:t>
      </w:r>
      <w:r>
        <w:t xml:space="preserve"> </w:t>
      </w:r>
      <w:r>
        <w:t xml:space="preserve">layer, which scales like ordinary storage because it is ordinary storage.</w:t>
      </w:r>
    </w:p>
    <w:p>
      <w:pPr>
        <w:pStyle w:val="BodyText"/>
      </w:pPr>
      <w:r>
        <w:t xml:space="preserve">The two non-factory burst archetypes deserve their own walkthroughs, because</w:t>
      </w:r>
      <w:r>
        <w:t xml:space="preserve"> </w:t>
      </w:r>
      <w:r>
        <w:t xml:space="preserve">their shapes differ instructively from production’s steady drumbeat.</w:t>
      </w:r>
    </w:p>
    <w:p>
      <w:pPr>
        <w:pStyle w:val="BodyText"/>
      </w:pPr>
      <w:r>
        <w:rPr>
          <w:iCs/>
          <w:i/>
        </w:rPr>
        <w:t xml:space="preserve">The catastrophe season.</w:t>
      </w:r>
      <w:r>
        <w:t xml:space="preserve"> </w:t>
      </w:r>
      <w:r>
        <w:t xml:space="preserve">A hurricane crosses a region holding 4 GW of</w:t>
      </w:r>
      <w:r>
        <w:t xml:space="preserve"> </w:t>
      </w:r>
      <w:r>
        <w:t xml:space="preserve">distributed solar — order ten million modules, of which perhaps a fifth</w:t>
      </w:r>
      <w:r>
        <w:t xml:space="preserve"> </w:t>
      </w:r>
      <w:r>
        <w:t xml:space="preserve">generate inspection or claim activity over the following ninety days. The</w:t>
      </w:r>
      <w:r>
        <w:t xml:space="preserve"> </w:t>
      </w:r>
      <w:r>
        <w:t xml:space="preserve">write load is large in aggregate and utterly undemanding in tempo: tens of</w:t>
      </w:r>
      <w:r>
        <w:t xml:space="preserve"> </w:t>
      </w:r>
      <w:r>
        <w:t xml:space="preserve">thousands of condition records and fault events per day, submitted by dozens</w:t>
      </w:r>
      <w:r>
        <w:t xml:space="preserve"> </w:t>
      </w:r>
      <w:r>
        <w:t xml:space="preserve">of inspection contractors as campaigns sweep the region, batched per</w:t>
      </w:r>
      <w:r>
        <w:t xml:space="preserve"> </w:t>
      </w:r>
      <w:r>
        <w:t xml:space="preserve">submitter per day — hundreds of ledger transactions daily against a committee</w:t>
      </w:r>
      <w:r>
        <w:t xml:space="preserve"> </w:t>
      </w:r>
      <w:r>
        <w:t xml:space="preserve">throughput budget thousands of times larger. The genuine stress lands</w:t>
      </w:r>
      <w:r>
        <w:t xml:space="preserve"> </w:t>
      </w:r>
      <w:r>
        <w:t xml:space="preserve">elsewhere, exactly where the architecture put the elastic tiers: custody</w:t>
      </w:r>
      <w:r>
        <w:t xml:space="preserve"> </w:t>
      </w:r>
      <w:r>
        <w:t xml:space="preserve">ingest (terabytes of catastrophe imaging per week — object storage’s daily</w:t>
      </w:r>
      <w:r>
        <w:t xml:space="preserve"> </w:t>
      </w:r>
      <w:r>
        <w:t xml:space="preserve">bread) and</w:t>
      </w:r>
      <w:r>
        <w:t xml:space="preserve"> </w:t>
      </w:r>
      <w:r>
        <w:rPr>
          <w:iCs/>
          <w:i/>
        </w:rPr>
        <w:t xml:space="preserve">instrument logistics</w:t>
      </w:r>
      <w:r>
        <w:t xml:space="preserve"> </w:t>
      </w:r>
      <w:r>
        <w:t xml:space="preserve">(every drone EL rig within a thousand</w:t>
      </w:r>
      <w:r>
        <w:t xml:space="preserve"> </w:t>
      </w:r>
      <w:r>
        <w:t xml:space="preserve">kilometers is booked for a quarter — a market problem the verification-</w:t>
      </w:r>
      <w:r>
        <w:t xml:space="preserve"> </w:t>
      </w:r>
      <w:r>
        <w:t xml:space="preserve">services industry of Section 6.7 exists to solve). Meanwhile the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burst is the insurers’ — every claim triggers Step-1/2 verification of the</w:t>
      </w:r>
      <w:r>
        <w:t xml:space="preserve"> </w:t>
      </w:r>
      <w:r>
        <w:t xml:space="preserve">asset’s pre-storm baseline — and lands on horizontally scaled replicas. The</w:t>
      </w:r>
      <w:r>
        <w:t xml:space="preserve"> </w:t>
      </w:r>
      <w:r>
        <w:t xml:space="preserve">catastrophe is the architecture’s finest hour precisely because the</w:t>
      </w:r>
      <w:r>
        <w:t xml:space="preserve"> </w:t>
      </w:r>
      <w:r>
        <w:t xml:space="preserve">pre-committed baselines already exist; the alternative world’s catastrophe</w:t>
      </w:r>
      <w:r>
        <w:t xml:space="preserve"> </w:t>
      </w:r>
      <w:r>
        <w:t xml:space="preserve">season is Section 1.4.3’s dispute triangle, multiplied by a weather map.</w:t>
      </w:r>
    </w:p>
    <w:p>
      <w:pPr>
        <w:pStyle w:val="BodyText"/>
      </w:pPr>
      <w:r>
        <w:rPr>
          <w:iCs/>
          <w:i/>
        </w:rPr>
        <w:t xml:space="preserve">The closing day.</w:t>
      </w:r>
      <w:r>
        <w:t xml:space="preserve"> </w:t>
      </w:r>
      <w:r>
        <w:t xml:space="preserve">A 250,000-module plant changes hands at a contractual</w:t>
      </w:r>
      <w:r>
        <w:t xml:space="preserve"> </w:t>
      </w:r>
      <w:r>
        <w:t xml:space="preserve">instant — the burst whose peak-to-average ratio is technically infinite,</w:t>
      </w:r>
      <w:r>
        <w:t xml:space="preserve"> </w:t>
      </w:r>
      <w:r>
        <w:t xml:space="preserve">since a quarter-million ownership facts become true simultaneously. The transfers were prepared as signed batch trees days earlier in</w:t>
      </w:r>
      <w:r>
        <w:t xml:space="preserve"> </w:t>
      </w:r>
      <w:r>
        <w:t xml:space="preserve">escrow with the closing’s legal documents; at the agreed block height the</w:t>
      </w:r>
      <w:r>
        <w:t xml:space="preserve"> </w:t>
      </w:r>
      <w:r>
        <w:t xml:space="preserve">escrow agent submits the batch commitments — a few dozen transactions — and</w:t>
      </w:r>
      <w:r>
        <w:t xml:space="preserve"> </w:t>
      </w:r>
      <w:r>
        <w:t xml:space="preserve">an event-triggered anchor (Section 4.4) fixes the closing into two public</w:t>
      </w:r>
      <w:r>
        <w:t xml:space="preserve"> </w:t>
      </w:r>
      <w:r>
        <w:t xml:space="preserve">chains within minutes. Every module’s new ownership is individually provable</w:t>
      </w:r>
      <w:r>
        <w:t xml:space="preserve"> </w:t>
      </w:r>
      <w:r>
        <w:t xml:space="preserve">by leaf proof against a closing anyone can locate in a public record</w:t>
      </w:r>
      <w:r>
        <w:t xml:space="preserve"> </w:t>
      </w:r>
      <w:r>
        <w:t xml:space="preserve">forever. The wet-ink counterpart — schedules of serial numbers appended to</w:t>
      </w:r>
      <w:r>
        <w:t xml:space="preserve"> </w:t>
      </w:r>
      <w:r>
        <w:t xml:space="preserve">a purchase agreement, reconciled by hand, disputed for years — is the</w:t>
      </w:r>
      <w:r>
        <w:t xml:space="preserve"> </w:t>
      </w:r>
      <w:r>
        <w:t xml:space="preserve">before picture of Section 1.1, and the contrast is the entire pitch to the</w:t>
      </w:r>
      <w:r>
        <w:t xml:space="preserve"> </w:t>
      </w:r>
      <w:r>
        <w:t xml:space="preserve">transaction lawyers who will, in practice, decide whether this architecture</w:t>
      </w:r>
      <w:r>
        <w:t xml:space="preserve"> </w:t>
      </w:r>
      <w:r>
        <w:t xml:space="preserve">gets used.</w:t>
      </w:r>
    </w:p>
    <w:p>
      <w:pPr>
        <w:pStyle w:val="BodyText"/>
      </w:pPr>
      <w:r>
        <w:rPr>
          <w:bCs/>
          <w:b/>
        </w:rPr>
        <w:t xml:space="preserve">Figure 7.1</w:t>
      </w:r>
      <w:r>
        <w:t xml:space="preserve"> </w:t>
      </w:r>
      <w:r>
        <w:t xml:space="preserve">Merkle-aggregated registration. One consensus round commits a</w:t>
      </w:r>
      <w:r>
        <w:t xml:space="preserve"> </w:t>
      </w:r>
      <w:r>
        <w:t xml:space="preserve">production batch; each unit remains individually provable.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FACT [Factory registrar, per shift]</w:t>
      </w:r>
      <w:r>
        <w:br/>
      </w:r>
      <w:r>
        <w:rPr>
          <w:rStyle w:val="VerbatimChar"/>
        </w:rPr>
        <w:t xml:space="preserve">        U1[Unit regs&lt;br&gt;r1 … r4096] --&gt; MT[Merkle tree&lt;br&gt;over batch]</w:t>
      </w:r>
      <w:r>
        <w:br/>
      </w:r>
      <w:r>
        <w:rPr>
          <w:rStyle w:val="VerbatimChar"/>
        </w:rPr>
        <w:t xml:space="preserve">        MT --&gt; ROOT[Batch root]</w:t>
      </w:r>
      <w:r>
        <w:br/>
      </w:r>
      <w:r>
        <w:rPr>
          <w:rStyle w:val="VerbatimChar"/>
        </w:rPr>
        <w:t xml:space="preserve">        U1 --&gt; MAN[Batch manifest]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MAN --&gt; CUST[(Replicated custody&lt;br&gt;committed first)]</w:t>
      </w:r>
      <w:r>
        <w:br/>
      </w:r>
      <w:r>
        <w:rPr>
          <w:rStyle w:val="VerbatimChar"/>
        </w:rPr>
        <w:t xml:space="preserve">    ROOT --&gt; TX[Single ledger tx:&lt;br&gt;root + manifest digest&lt;br&gt;+ registrar signature]</w:t>
      </w:r>
      <w:r>
        <w:br/>
      </w:r>
      <w:r>
        <w:rPr>
          <w:rStyle w:val="VerbatimChar"/>
        </w:rPr>
        <w:t xml:space="preserve">    TX --&gt; LED[Consortium ledger]</w:t>
      </w:r>
      <w:r>
        <w:br/>
      </w:r>
      <w:r>
        <w:rPr>
          <w:rStyle w:val="VerbatimChar"/>
        </w:rPr>
        <w:t xml:space="preserve">    LED --&gt; AN[Public anchor]</w:t>
      </w:r>
      <w:r>
        <w:br/>
      </w:r>
      <w:r>
        <w:rPr>
          <w:rStyle w:val="VerbatimChar"/>
        </w:rPr>
        <w:t xml:space="preserve">    P[Any single unit's DID] -. leaf proof,&lt;br&gt;log2 4096 = 12 hashes .-&gt; ROOT</w:t>
      </w:r>
    </w:p>
    <w:bookmarkEnd w:id="22"/>
    <w:bookmarkStart w:id="24" w:name="state-reads-and-the-long-tail-of-queries"/>
    <w:p>
      <w:pPr>
        <w:pStyle w:val="Heading2"/>
      </w:pPr>
      <w:r>
        <w:t xml:space="preserve">7.3 State, Reads, and the Long Tail of Queries</w:t>
      </w:r>
    </w:p>
    <w:p>
      <w:pPr>
        <w:pStyle w:val="FirstParagraph"/>
      </w:pPr>
      <w:r>
        <w:rPr>
          <w:bCs/>
          <w:b/>
        </w:rPr>
        <w:t xml:space="preserve">State growth.</w:t>
      </w:r>
      <w:r>
        <w:t xml:space="preserve"> </w:t>
      </w:r>
      <w:r>
        <w:t xml:space="preserve">At ~1 kB of envelope state per event and the loads of Table 7.1,</w:t>
      </w:r>
      <w:r>
        <w:t xml:space="preserve"> </w:t>
      </w:r>
      <w:r>
        <w:t xml:space="preserve">the continental registry accretes on the order of 1–3 TB/year of consensus-critical</w:t>
      </w:r>
      <w:r>
        <w:t xml:space="preserve"> </w:t>
      </w:r>
      <w:r>
        <w:t xml:space="preserve">state — trivial as storage, awkward as</w:t>
      </w:r>
      <w:r>
        <w:t xml:space="preserve"> </w:t>
      </w:r>
      <w:r>
        <w:rPr>
          <w:iCs/>
          <w:i/>
        </w:rPr>
        <w:t xml:space="preserve">replicated, indexed, forever-hot</w:t>
      </w:r>
      <w:r>
        <w:t xml:space="preserve"> </w:t>
      </w:r>
      <w:r>
        <w:t xml:space="preserve">storage.</w:t>
      </w:r>
      <w:r>
        <w:t xml:space="preserve"> </w:t>
      </w:r>
      <w:r>
        <w:t xml:space="preserve">Three disciplines keep it tractable.</w:t>
      </w:r>
      <w:r>
        <w:t xml:space="preserve"> </w:t>
      </w:r>
      <w:r>
        <w:rPr>
          <w:iCs/>
          <w:i/>
        </w:rPr>
        <w:t xml:space="preserve">Envelope minimalism</w:t>
      </w:r>
      <w:r>
        <w:t xml:space="preserve"> </w:t>
      </w:r>
      <w:r>
        <w:t xml:space="preserve">(Chapter 5’s design pays</w:t>
      </w:r>
      <w:r>
        <w:t xml:space="preserve"> </w:t>
      </w:r>
      <w:r>
        <w:t xml:space="preserve">off here: payloads are already off-chain, and the envelope’s no-fields-that-</w:t>
      </w:r>
      <w:r>
        <w:t xml:space="preserve"> </w:t>
      </w:r>
      <w:r>
        <w:t xml:space="preserve">scale rule from Section 5.4 is what keeps the 1 kB honest across decades).</w:t>
      </w:r>
      <w:r>
        <w:t xml:space="preserve"> </w:t>
      </w:r>
      <w:r>
        <w:rPr>
          <w:iCs/>
          <w:i/>
        </w:rPr>
        <w:t xml:space="preserve">Epochal checkpointing</w:t>
      </w:r>
      <w:r>
        <w:t xml:space="preserve">: the ledger</w:t>
      </w:r>
      <w:r>
        <w:t xml:space="preserve"> </w:t>
      </w:r>
      <w:r>
        <w:t xml:space="preserve">periodically commits a state snapshot digest, so new validators sync from a</w:t>
      </w:r>
      <w:r>
        <w:t xml:space="preserve"> </w:t>
      </w:r>
      <w:r>
        <w:t xml:space="preserve">checkpoint plus recent blocks instead of replaying twenty years — with the full</w:t>
      </w:r>
      <w:r>
        <w:t xml:space="preserve"> </w:t>
      </w:r>
      <w:r>
        <w:t xml:space="preserve">history remaining available from archival nodes and provable against anchors.</w:t>
      </w:r>
      <w:r>
        <w:t xml:space="preserve"> </w:t>
      </w:r>
      <w:r>
        <w:t xml:space="preserve">The arithmetic that makes this necessary rather than nice: replaying a</w:t>
      </w:r>
      <w:r>
        <w:t xml:space="preserve"> </w:t>
      </w:r>
      <w:r>
        <w:t xml:space="preserve">twenty-year continental history at generous replay throughput is a</w:t>
      </w:r>
      <w:r>
        <w:t xml:space="preserve"> </w:t>
      </w:r>
      <w:r>
        <w:t xml:space="preserve">multi-week onboarding for a new validator, which converts</w:t>
      </w:r>
      <w:r>
        <w:t xml:space="preserve"> </w:t>
      </w:r>
      <w:r>
        <w:t xml:space="preserve">“</w:t>
      </w:r>
      <w:r>
        <w:t xml:space="preserve">add a member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a governance decision into an infrastructure project; checkpoint sync</w:t>
      </w:r>
      <w:r>
        <w:t xml:space="preserve"> </w:t>
      </w:r>
      <w:r>
        <w:t xml:space="preserve">collapses it to hours.</w:t>
      </w:r>
      <w:r>
        <w:t xml:space="preserve"> </w:t>
      </w:r>
      <w:r>
        <w:rPr>
          <w:iCs/>
          <w:i/>
        </w:rPr>
        <w:t xml:space="preserve">Cold-tier proofs</w:t>
      </w:r>
      <w:r>
        <w:t xml:space="preserve">: events older than an epoch</w:t>
      </w:r>
      <w:r>
        <w:t xml:space="preserve"> </w:t>
      </w:r>
      <w:r>
        <w:t xml:space="preserve">boundary can be served from archival</w:t>
      </w:r>
      <w:r>
        <w:t xml:space="preserve"> </w:t>
      </w:r>
      <w:r>
        <w:t xml:space="preserve">storage with inclusion proofs, keeping the hot validator set lean — the hot</w:t>
      </w:r>
      <w:r>
        <w:t xml:space="preserve"> </w:t>
      </w:r>
      <w:r>
        <w:t xml:space="preserve">set holds current state plus recent epochs (tens of gigabytes), while the</w:t>
      </w:r>
      <w:r>
        <w:t xml:space="preserve"> </w:t>
      </w:r>
      <w:r>
        <w:t xml:space="preserve">complete history lives in the archival tier under the custody policy, every</w:t>
      </w:r>
      <w:r>
        <w:t xml:space="preserve"> </w:t>
      </w:r>
      <w:r>
        <w:t xml:space="preserve">byte of it still provable against public anchors. None of this is</w:t>
      </w:r>
      <w:r>
        <w:t xml:space="preserve"> </w:t>
      </w:r>
      <w:r>
        <w:t xml:space="preserve">exotic; all of it must be designed in from the start, because retrofitting</w:t>
      </w:r>
      <w:r>
        <w:t xml:space="preserve"> </w:t>
      </w:r>
      <w:r>
        <w:t xml:space="preserve">checkpoint semantics onto a live evidential ledger is governance surgery —</w:t>
      </w:r>
      <w:r>
        <w:t xml:space="preserve"> </w:t>
      </w:r>
      <w:r>
        <w:t xml:space="preserve">the checkpoint’s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becomes part of what validators attest, and</w:t>
      </w:r>
      <w:r>
        <w:t xml:space="preserve"> </w:t>
      </w:r>
      <w:r>
        <w:t xml:space="preserve">introducing it later means asking a running consortium to agree, mid-flight,</w:t>
      </w:r>
      <w:r>
        <w:t xml:space="preserve"> </w:t>
      </w:r>
      <w:r>
        <w:t xml:space="preserve">on what its state has been all along.</w:t>
      </w:r>
    </w:p>
    <w:p>
      <w:pPr>
        <w:pStyle w:val="BodyText"/>
      </w:pPr>
      <w:r>
        <w:t xml:space="preserve">Archival economics close the state story. The complete continental history —</w:t>
      </w:r>
      <w:r>
        <w:t xml:space="preserve"> </w:t>
      </w:r>
      <w:r>
        <w:t xml:space="preserve">consensus state plus every payload — accretes at low-petabyte scale per</w:t>
      </w:r>
      <w:r>
        <w:t xml:space="preserve"> </w:t>
      </w:r>
      <w:r>
        <w:t xml:space="preserve">decade, which at commodity archival pricing with scheduled media refresh is</w:t>
      </w:r>
      <w:r>
        <w:t xml:space="preserve"> </w:t>
      </w:r>
      <w:r>
        <w:t xml:space="preserve">a seven-figure annual line item for an infrastructure serving a</w:t>
      </w:r>
      <w:r>
        <w:t xml:space="preserve"> </w:t>
      </w:r>
      <w:r>
        <w:t xml:space="preserve">trillion-dollar asset class: not free, but three orders of magnitude below</w:t>
      </w:r>
      <w:r>
        <w:t xml:space="preserve"> </w:t>
      </w:r>
      <w:r>
        <w:t xml:space="preserve">the sector’s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spending on the document management, diligence</w:t>
      </w:r>
      <w:r>
        <w:t xml:space="preserve"> </w:t>
      </w:r>
      <w:r>
        <w:t xml:space="preserve">re-testing, and dispute discovery that the archive replaces. The pricing</w:t>
      </w:r>
      <w:r>
        <w:t xml:space="preserve"> </w:t>
      </w:r>
      <w:r>
        <w:t xml:space="preserve">discipline that matters is institutional rather than technical — archival</w:t>
      </w:r>
      <w:r>
        <w:t xml:space="preserve"> </w:t>
      </w:r>
      <w:r>
        <w:t xml:space="preserve">obligations must be funded by endowment-style mechanisms (custody fees</w:t>
      </w:r>
      <w:r>
        <w:t xml:space="preserve"> </w:t>
      </w:r>
      <w:r>
        <w:t xml:space="preserve">collected at event time, held against the retention obligation) rather than</w:t>
      </w:r>
      <w:r>
        <w:t xml:space="preserve"> </w:t>
      </w:r>
      <w:r>
        <w:t xml:space="preserve">by annual budget votes, because Section 5.7’s completeness argument applies</w:t>
      </w:r>
      <w:r>
        <w:t xml:space="preserve"> </w:t>
      </w:r>
      <w:r>
        <w:t xml:space="preserve">to institutions too: an archive funded year-to-year has an expected lifetime</w:t>
      </w:r>
      <w:r>
        <w:t xml:space="preserve"> </w:t>
      </w:r>
      <w:r>
        <w:t xml:space="preserve">shorter than its contents.</w:t>
      </w:r>
    </w:p>
    <w:p>
      <w:pPr>
        <w:pStyle w:val="BodyText"/>
      </w:pPr>
      <w:r>
        <w:t xml:space="preserve">Indexing deserves its own sentence because it is where</w:t>
      </w:r>
      <w:r>
        <w:t xml:space="preserve"> </w:t>
      </w:r>
      <w:r>
        <w:t xml:space="preserve">“</w:t>
      </w:r>
      <w:r>
        <w:t xml:space="preserve">queryable for</w:t>
      </w:r>
      <w:r>
        <w:t xml:space="preserve"> </w:t>
      </w:r>
      <w:r>
        <w:t xml:space="preserve">decades</w:t>
      </w:r>
      <w:r>
        <w:t xml:space="preserve">”</w:t>
      </w:r>
      <w:r>
        <w:t xml:space="preserve"> </w:t>
      </w:r>
      <w:r>
        <w:t xml:space="preserve">actually lives: the consensus state proper needs only the</w:t>
      </w:r>
      <w:r>
        <w:t xml:space="preserve"> </w:t>
      </w:r>
      <w:r>
        <w:t xml:space="preserve">per-asset event index, while every richer query surface — by site, by</w:t>
      </w:r>
      <w:r>
        <w:t xml:space="preserve"> </w:t>
      </w:r>
      <w:r>
        <w:t xml:space="preserve">cohort, by event type, by time window — belongs to the read-replica tier,</w:t>
      </w:r>
      <w:r>
        <w:t xml:space="preserve"> </w:t>
      </w:r>
      <w:r>
        <w:t xml:space="preserve">where indexes can be rebuilt, competed on, and thrown away without touching</w:t>
      </w:r>
      <w:r>
        <w:t xml:space="preserve"> </w:t>
      </w:r>
      <w:r>
        <w:t xml:space="preserve">consensus. Validators validate; they do not serve analysts. Deployments that</w:t>
      </w:r>
      <w:r>
        <w:t xml:space="preserve"> </w:t>
      </w:r>
      <w:r>
        <w:t xml:space="preserve">blur this line discover their consensus nodes running report queries during</w:t>
      </w:r>
      <w:r>
        <w:t xml:space="preserve"> </w:t>
      </w:r>
      <w:r>
        <w:t xml:space="preserve">an acquisition closing, which is how deterministic finality acquires</w:t>
      </w:r>
      <w:r>
        <w:t xml:space="preserve"> </w:t>
      </w:r>
      <w:r>
        <w:t xml:space="preserve">nondeterministic latency.</w:t>
      </w:r>
    </w:p>
    <w:bookmarkStart w:id="23" w:name="onboarding-a-validator-in-year-twelve"/>
    <w:p>
      <w:pPr>
        <w:pStyle w:val="Heading3"/>
      </w:pPr>
      <w:r>
        <w:t xml:space="preserve">7.3.1 Onboarding a Validator in Year Twelve</w:t>
      </w:r>
    </w:p>
    <w:p>
      <w:pPr>
        <w:pStyle w:val="FirstParagraph"/>
      </w:pPr>
      <w:r>
        <w:t xml:space="preserve">The checkpoint machinery earns its keep at a specific, predictable moment,</w:t>
      </w:r>
      <w:r>
        <w:t xml:space="preserve"> </w:t>
      </w:r>
      <w:r>
        <w:t xml:space="preserve">so the moment deserves its walkthrough. A new member joins in year twelve —</w:t>
      </w:r>
      <w:r>
        <w:t xml:space="preserve"> </w:t>
      </w:r>
      <w:r>
        <w:t xml:space="preserve">say, an insurer entering the market. Its validator obtains the latest</w:t>
      </w:r>
      <w:r>
        <w:t xml:space="preserve"> </w:t>
      </w:r>
      <w:r>
        <w:t xml:space="preserve">governance-attested checkpoint (state snapshot digest, signed by the sitting</w:t>
      </w:r>
      <w:r>
        <w:t xml:space="preserve"> </w:t>
      </w:r>
      <w:r>
        <w:t xml:space="preserve">committee, itself anchored publicly), fetches the snapshot from any archival</w:t>
      </w:r>
      <w:r>
        <w:t xml:space="preserve"> </w:t>
      </w:r>
      <w:r>
        <w:t xml:space="preserve">node, and</w:t>
      </w:r>
      <w:r>
        <w:t xml:space="preserve"> </w:t>
      </w:r>
      <w:r>
        <w:rPr>
          <w:iCs/>
          <w:i/>
        </w:rPr>
        <w:t xml:space="preserve">verifies the snapshot against the digest</w:t>
      </w:r>
      <w:r>
        <w:t xml:space="preserve"> </w:t>
      </w:r>
      <w:r>
        <w:t xml:space="preserve">— no trust in the</w:t>
      </w:r>
      <w:r>
        <w:t xml:space="preserve"> </w:t>
      </w:r>
      <w:r>
        <w:t xml:space="preserve">serving node required. It then replays the blocks since the checkpoint</w:t>
      </w:r>
      <w:r>
        <w:t xml:space="preserve"> </w:t>
      </w:r>
      <w:r>
        <w:t xml:space="preserve">epoch — days of history, minutes of compute — and is current. Two</w:t>
      </w:r>
      <w:r>
        <w:t xml:space="preserve"> </w:t>
      </w:r>
      <w:r>
        <w:t xml:space="preserve">verification-depth options are its own choice: the pragmatic default trusts</w:t>
      </w:r>
      <w:r>
        <w:t xml:space="preserve"> </w:t>
      </w:r>
      <w:r>
        <w:t xml:space="preserve">the committee’s checkpoint attestation (which is itself only as trustworthy</w:t>
      </w:r>
      <w:r>
        <w:t xml:space="preserve"> </w:t>
      </w:r>
      <w:r>
        <w:t xml:space="preserve">as the anchored governance history says); the paranoid option replays from</w:t>
      </w:r>
      <w:r>
        <w:t xml:space="preserve"> </w:t>
      </w:r>
      <w:r>
        <w:t xml:space="preserve">genesis against the full anchor chain, a multi-day batch job that any</w:t>
      </w:r>
      <w:r>
        <w:t xml:space="preserve"> </w:t>
      </w:r>
      <w:r>
        <w:t xml:space="preserve">sufficiently motivated new member — or auditor, or litigant — can run</w:t>
      </w:r>
      <w:r>
        <w:t xml:space="preserve"> </w:t>
      </w:r>
      <w:r>
        <w:t xml:space="preserve">without permission. That both options exist, and that the paranoid one needs</w:t>
      </w:r>
      <w:r>
        <w:t xml:space="preserve"> </w:t>
      </w:r>
      <w:r>
        <w:t xml:space="preserve">nobody’s cooperation, is the checkpoint design’s real content: efficiency</w:t>
      </w:r>
      <w:r>
        <w:t xml:space="preserve"> </w:t>
      </w:r>
      <w:r>
        <w:t xml:space="preserve">for the routine case, unmediated verifiability for the adversarial one, and</w:t>
      </w:r>
      <w:r>
        <w:t xml:space="preserve"> </w:t>
      </w:r>
      <w:r>
        <w:t xml:space="preserve">no moment at which a new participant must simply take the incumbents’ word</w:t>
      </w:r>
      <w:r>
        <w:t xml:space="preserve"> </w:t>
      </w:r>
      <w:r>
        <w:t xml:space="preserve">for what the ledger says.</w:t>
      </w:r>
    </w:p>
    <w:p>
      <w:pPr>
        <w:pStyle w:val="BodyText"/>
      </w:pPr>
      <w:r>
        <w:rPr>
          <w:bCs/>
          <w:b/>
        </w:rPr>
        <w:t xml:space="preserve">Read scaling.</w:t>
      </w:r>
      <w:r>
        <w:t xml:space="preserve"> </w:t>
      </w:r>
      <w:r>
        <w:t xml:space="preserve">Verification reads (Chapter 6, Steps 1–2) do not require</w:t>
      </w:r>
      <w:r>
        <w:t xml:space="preserve"> </w:t>
      </w:r>
      <w:r>
        <w:t xml:space="preserve">consensus — they require</w:t>
      </w:r>
      <w:r>
        <w:t xml:space="preserve"> </w:t>
      </w:r>
      <w:r>
        <w:rPr>
          <w:iCs/>
          <w:i/>
        </w:rPr>
        <w:t xml:space="preserve">provable</w:t>
      </w:r>
      <w:r>
        <w:t xml:space="preserve"> </w:t>
      </w:r>
      <w:r>
        <w:t xml:space="preserve">answers. The pattern: untrusted read replicas</w:t>
      </w:r>
      <w:r>
        <w:t xml:space="preserve"> </w:t>
      </w:r>
      <w:r>
        <w:t xml:space="preserve">(operated by anyone: data vendors, insurers’ own infrastructure) serve queries with</w:t>
      </w:r>
      <w:r>
        <w:t xml:space="preserve"> </w:t>
      </w:r>
      <w:r>
        <w:t xml:space="preserve">Merkle proofs against anchored state, so read capacity scales horizontally with</w:t>
      </w:r>
      <w:r>
        <w:t xml:space="preserve"> </w:t>
      </w:r>
      <w:r>
        <w:t xml:space="preserve">zero trust added. The consortium’s obligation reduces to publishing headers and</w:t>
      </w:r>
      <w:r>
        <w:t xml:space="preserve"> </w:t>
      </w:r>
      <w:r>
        <w:t xml:space="preserve">anchors — a few kilobytes per interval — and archival availability under the</w:t>
      </w:r>
      <w:r>
        <w:t xml:space="preserve"> </w:t>
      </w:r>
      <w:r>
        <w:t xml:space="preserve">custody policy. This division — consensus for writes, proofs for reads — is the</w:t>
      </w:r>
      <w:r>
        <w:t xml:space="preserve"> </w:t>
      </w:r>
      <w:r>
        <w:t xml:space="preserve">single most important scaling decision in the architecture, and it is free.</w:t>
      </w:r>
    </w:p>
    <w:p>
      <w:pPr>
        <w:pStyle w:val="BodyText"/>
      </w:pPr>
      <w:r>
        <w:t xml:space="preserve">The read-load model, sketched for the continental tier so its magnitude is on</w:t>
      </w:r>
      <w:r>
        <w:t xml:space="preserve"> </w:t>
      </w:r>
      <w:r>
        <w:t xml:space="preserve">record: a billion registered assets with 2% annual transaction churn implies</w:t>
      </w:r>
      <w:r>
        <w:t xml:space="preserve"> </w:t>
      </w:r>
      <w:r>
        <w:t xml:space="preserve">~20 M full Step-1/2 verifications a year from commerce alone; insurer and</w:t>
      </w:r>
      <w:r>
        <w:t xml:space="preserve"> </w:t>
      </w:r>
      <w:r>
        <w:t xml:space="preserve">lender monitoring subscriptions re-verify their books’</w:t>
      </w:r>
      <w:r>
        <w:t xml:space="preserve"> </w:t>
      </w:r>
      <w:r>
        <w:rPr>
          <w:iCs/>
          <w:i/>
        </w:rPr>
        <w:t xml:space="preserve">new events</w:t>
      </w:r>
      <w:r>
        <w:t xml:space="preserve"> </w:t>
      </w:r>
      <w:r>
        <w:t xml:space="preserve">continuously (cheap incremental checks, but across hundreds of millions of</w:t>
      </w:r>
      <w:r>
        <w:t xml:space="preserve"> </w:t>
      </w:r>
      <w:r>
        <w:t xml:space="preserve">covered assets); passport portals add public queries at consumer rates that</w:t>
      </w:r>
      <w:r>
        <w:t xml:space="preserve"> </w:t>
      </w:r>
      <w:r>
        <w:t xml:space="preserve">are impossible to forecast and unnecessary to fear — every query is</w:t>
      </w:r>
      <w:r>
        <w:t xml:space="preserve"> </w:t>
      </w:r>
      <w:r>
        <w:t xml:space="preserve">answerable by any replica from public headers plus proofs, so the load lands</w:t>
      </w:r>
      <w:r>
        <w:t xml:space="preserve"> </w:t>
      </w:r>
      <w:r>
        <w:t xml:space="preserve">on horizontally scalable, commercially operated infrastructure with the</w:t>
      </w:r>
      <w:r>
        <w:t xml:space="preserve"> </w:t>
      </w:r>
      <w:r>
        <w:t xml:space="preserve">consortium’s involvement limited to publishing kilobytes. The architecture’s</w:t>
      </w:r>
      <w:r>
        <w:t xml:space="preserve"> </w:t>
      </w:r>
      <w:r>
        <w:t xml:space="preserve">read tier, in other words, scales like a content-distribution problem because</w:t>
      </w:r>
      <w:r>
        <w:t xml:space="preserve"> </w:t>
      </w:r>
      <w:r>
        <w:t xml:space="preserve">it has been</w:t>
      </w:r>
      <w:r>
        <w:t xml:space="preserve"> </w:t>
      </w:r>
      <w:r>
        <w:rPr>
          <w:iCs/>
          <w:i/>
        </w:rPr>
        <w:t xml:space="preserve">made</w:t>
      </w:r>
      <w:r>
        <w:t xml:space="preserve"> </w:t>
      </w:r>
      <w:r>
        <w:t xml:space="preserve">one, and content distribution is the best-understood</w:t>
      </w:r>
      <w:r>
        <w:t xml:space="preserve"> </w:t>
      </w:r>
      <w:r>
        <w:t xml:space="preserve">scaling problem in computing.</w:t>
      </w:r>
    </w:p>
    <w:p>
      <w:pPr>
        <w:pStyle w:val="BodyText"/>
      </w:pPr>
      <w:r>
        <w:t xml:space="preserve">The read tier also inherits, for free, every distribution optimization the</w:t>
      </w:r>
      <w:r>
        <w:t xml:space="preserve"> </w:t>
      </w:r>
      <w:r>
        <w:t xml:space="preserve">web has built: proofs and headers are static, immutable content, cacheable</w:t>
      </w:r>
      <w:r>
        <w:t xml:space="preserve"> </w:t>
      </w:r>
      <w:r>
        <w:t xml:space="preserve">at any edge, hostable from object storage, mirrorable by interested parties</w:t>
      </w:r>
      <w:r>
        <w:t xml:space="preserve"> </w:t>
      </w:r>
      <w:r>
        <w:t xml:space="preserve">without coordination. An asset’s record bundle can ship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the asset —</w:t>
      </w:r>
      <w:r>
        <w:t xml:space="preserve"> </w:t>
      </w:r>
      <w:r>
        <w:t xml:space="preserve">on the handheld that scanned it, in the data room of the transaction that</w:t>
      </w:r>
      <w:r>
        <w:t xml:space="preserve"> </w:t>
      </w:r>
      <w:r>
        <w:t xml:space="preserve">sells it, on physical media in a project’s closing binder — and remains</w:t>
      </w:r>
      <w:r>
        <w:t xml:space="preserve"> </w:t>
      </w:r>
      <w:r>
        <w:t xml:space="preserve">verifiable against public anchors from any of those copies indefinitely.</w:t>
      </w:r>
      <w:r>
        <w:t xml:space="preserve"> </w:t>
      </w:r>
      <w:r>
        <w:t xml:space="preserve">Availability of the verification path, in the limit, does not depend on</w:t>
      </w:r>
      <w:r>
        <w:t xml:space="preserve"> </w:t>
      </w:r>
      <w:r>
        <w:t xml:space="preserve">anyone’s servers at all; it depends on the survival of copies, which is a</w:t>
      </w:r>
      <w:r>
        <w:t xml:space="preserve"> </w:t>
      </w:r>
      <w:r>
        <w:t xml:space="preserve">property owners can secure for themselves. Systems whose verification</w:t>
      </w:r>
      <w:r>
        <w:t xml:space="preserve"> </w:t>
      </w:r>
      <w:r>
        <w:t xml:space="preserve">requires calling the operator’s API have quietly reintroduced the central</w:t>
      </w:r>
      <w:r>
        <w:t xml:space="preserve"> </w:t>
      </w:r>
      <w:r>
        <w:t xml:space="preserve">registry; this one, by design, has not.</w:t>
      </w:r>
    </w:p>
    <w:p>
      <w:pPr>
        <w:pStyle w:val="BodyText"/>
      </w:pPr>
      <w:r>
        <w:t xml:space="preserve">One warning keeps the read tier honest: replicas serve</w:t>
      </w:r>
      <w:r>
        <w:t xml:space="preserve"> </w:t>
      </w:r>
      <w:r>
        <w:rPr>
          <w:iCs/>
          <w:i/>
        </w:rPr>
        <w:t xml:space="preserve">proofs</w:t>
      </w:r>
      <w:r>
        <w:t xml:space="preserve">, and clients</w:t>
      </w:r>
      <w:r>
        <w:t xml:space="preserve"> </w:t>
      </w:r>
      <w:r>
        <w:t xml:space="preserve">must check them. The convenience API that returns bare JSON without</w:t>
      </w:r>
      <w:r>
        <w:t xml:space="preserve"> </w:t>
      </w:r>
      <w:r>
        <w:t xml:space="preserve">inclusion proofs will be built (it always is), widely used (it is easier),</w:t>
      </w:r>
      <w:r>
        <w:t xml:space="preserve"> </w:t>
      </w:r>
      <w:r>
        <w:t xml:space="preserve">and eventually wrong or lied to — at which point the system’s guarantees</w:t>
      </w:r>
      <w:r>
        <w:t xml:space="preserve"> </w:t>
      </w:r>
      <w:r>
        <w:t xml:space="preserve">evaporate for every client that trusted it. The pilot’s client libraries</w:t>
      </w:r>
      <w:r>
        <w:t xml:space="preserve"> </w:t>
      </w:r>
      <w:r>
        <w:t xml:space="preserve">therefore make proof-checking the default and bare reads a loudly named</w:t>
      </w:r>
      <w:r>
        <w:t xml:space="preserve"> </w:t>
      </w:r>
      <w:r>
        <w:t xml:space="preserve">opt-out, and Chapter 8 files the</w:t>
      </w:r>
      <w:r>
        <w:t xml:space="preserve"> </w:t>
      </w:r>
      <w:r>
        <w:t xml:space="preserve">“</w:t>
      </w:r>
      <w:r>
        <w:t xml:space="preserve">trusted replica</w:t>
      </w:r>
      <w:r>
        <w:t xml:space="preserve">”</w:t>
      </w:r>
      <w:r>
        <w:t xml:space="preserve"> </w:t>
      </w:r>
      <w:r>
        <w:t xml:space="preserve">as an attack surface</w:t>
      </w:r>
      <w:r>
        <w:t xml:space="preserve"> </w:t>
      </w:r>
      <w:r>
        <w:t xml:space="preserve">(F7’s lazy cousin) rather than a deployment detail.</w:t>
      </w:r>
    </w:p>
    <w:bookmarkEnd w:id="23"/>
    <w:bookmarkEnd w:id="24"/>
    <w:bookmarkStart w:id="26" w:name="Xd53054dc0af70c052558104f5eb5b0be3a2bc9d"/>
    <w:p>
      <w:pPr>
        <w:pStyle w:val="Heading2"/>
      </w:pPr>
      <w:r>
        <w:t xml:space="preserve">7.4 The Scaling Toolbox, Re-Evaluated for Identity Workloads</w:t>
      </w:r>
    </w:p>
    <w:p>
      <w:pPr>
        <w:pStyle w:val="FirstParagraph"/>
      </w:pPr>
      <w:r>
        <w:t xml:space="preserve">The blockchain literature offers sharding, sidechains, and layer-2 rollups, each</w:t>
      </w:r>
      <w:r>
        <w:t xml:space="preserve"> </w:t>
      </w:r>
      <w:r>
        <w:t xml:space="preserve">designed for payment throughput. Re-evaluated against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workload — modest</w:t>
      </w:r>
      <w:r>
        <w:t xml:space="preserve"> </w:t>
      </w:r>
      <w:r>
        <w:t xml:space="preserve">average writes, brutal bursts, monotone state, proof-hungry reads, deterministic</w:t>
      </w:r>
      <w:r>
        <w:t xml:space="preserve"> </w:t>
      </w:r>
      <w:r>
        <w:t xml:space="preserve">finality, thirty-year horizon — the rankings change. The re-evaluation is worth</w:t>
      </w:r>
      <w:r>
        <w:t xml:space="preserve"> </w:t>
      </w:r>
      <w:r>
        <w:t xml:space="preserve">doing carefully rather than dismissively, because each technique encodes real</w:t>
      </w:r>
      <w:r>
        <w:t xml:space="preserve"> </w:t>
      </w:r>
      <w:r>
        <w:t xml:space="preserve">engineering that transfers</w:t>
      </w:r>
      <w:r>
        <w:t xml:space="preserve"> </w:t>
      </w:r>
      <w:r>
        <w:rPr>
          <w:iCs/>
          <w:i/>
        </w:rPr>
        <w:t xml:space="preserve">in part</w:t>
      </w:r>
      <w:r>
        <w:t xml:space="preserve">, and because procurement conversations</w:t>
      </w:r>
      <w:r>
        <w:t xml:space="preserve"> </w:t>
      </w:r>
      <w:r>
        <w:t xml:space="preserve">in this sector are conducted in the payment literature’s vocabulary whether</w:t>
      </w:r>
      <w:r>
        <w:t xml:space="preserve"> </w:t>
      </w:r>
      <w:r>
        <w:t xml:space="preserve">the architecture likes it or not: the architect who cannot say precisely why</w:t>
      </w:r>
      <w:r>
        <w:t xml:space="preserve"> </w:t>
      </w:r>
      <w:r>
        <w:t xml:space="preserve">sharding is wrong here will eventually be made to deploy it.</w:t>
      </w:r>
    </w:p>
    <w:p>
      <w:pPr>
        <w:pStyle w:val="BodyText"/>
      </w:pPr>
      <w:r>
        <w:rPr>
          <w:bCs/>
          <w:b/>
        </w:rPr>
        <w:t xml:space="preserve">Sharding</w:t>
      </w:r>
      <w:r>
        <w:t xml:space="preserve"> </w:t>
      </w:r>
      <w:r>
        <w:t xml:space="preserve">(partition state and consensus across validator subsets) answers a</w:t>
      </w:r>
      <w:r>
        <w:t xml:space="preserve"> </w:t>
      </w:r>
      <w:r>
        <w:t xml:space="preserve">throughput problem this workload mostly lacks, at the cost of cross-shard</w:t>
      </w:r>
      <w:r>
        <w:t xml:space="preserve"> </w:t>
      </w:r>
      <w:r>
        <w:t xml:space="preserve">coordination precisely where the workload is weakest: assets migrate (a module</w:t>
      </w:r>
      <w:r>
        <w:t xml:space="preserve"> </w:t>
      </w:r>
      <w:r>
        <w:t xml:space="preserve">manufactured in one jurisdiction-shard, installed in another, resold to a third),</w:t>
      </w:r>
      <w:r>
        <w:t xml:space="preserve"> </w:t>
      </w:r>
      <w:r>
        <w:t xml:space="preserve">and every migration becomes a cross-shard transaction with the attendant atomicity</w:t>
      </w:r>
      <w:r>
        <w:t xml:space="preserve"> </w:t>
      </w:r>
      <w:r>
        <w:t xml:space="preserve">machinery. The numbers make the case brutally: sharding exists to multiply a</w:t>
      </w:r>
      <w:r>
        <w:t xml:space="preserve"> </w:t>
      </w:r>
      <w:r>
        <w:t xml:space="preserve">saturated committee’s throughput, and Table 7.1’s committee is idle by three</w:t>
      </w:r>
      <w:r>
        <w:t xml:space="preserve"> </w:t>
      </w:r>
      <w:r>
        <w:t xml:space="preserve">orders of magnitude — the technique would spend the architecture’s scarcest</w:t>
      </w:r>
      <w:r>
        <w:t xml:space="preserve"> </w:t>
      </w:r>
      <w:r>
        <w:t xml:space="preserve">resource (cross-partition protocol complexity, which is where sharded</w:t>
      </w:r>
      <w:r>
        <w:t xml:space="preserve"> </w:t>
      </w:r>
      <w:r>
        <w:t xml:space="preserve">systems’ bugs live) to buy its most abundant one. Worse, shard-local security</w:t>
      </w:r>
      <w:r>
        <w:t xml:space="preserve"> </w:t>
      </w:r>
      <w:r>
        <w:t xml:space="preserve">dilutes the committee: a shard’s validator</w:t>
      </w:r>
      <w:r>
        <w:t xml:space="preserve"> </w:t>
      </w:r>
      <w:r>
        <w:t xml:space="preserve">subset is a smaller collusion target (Section 8.6), and an asset registry</w:t>
      </w:r>
      <w:r>
        <w:t xml:space="preserve"> </w:t>
      </w:r>
      <w:r>
        <w:t xml:space="preserve">cannot accept that an asset’s evidential guarantees depend on which shard its</w:t>
      </w:r>
      <w:r>
        <w:t xml:space="preserve"> </w:t>
      </w:r>
      <w:r>
        <w:t xml:space="preserve">DID hashed into. Verdict:</w:t>
      </w:r>
      <w:r>
        <w:t xml:space="preserve"> </w:t>
      </w:r>
      <w:r>
        <w:rPr>
          <w:bCs/>
          <w:b/>
        </w:rPr>
        <w:t xml:space="preserve">geographic or</w:t>
      </w:r>
      <w:r>
        <w:rPr>
          <w:bCs/>
          <w:b/>
        </w:rPr>
        <w:t xml:space="preserve"> </w:t>
      </w:r>
      <w:r>
        <w:rPr>
          <w:bCs/>
          <w:b/>
        </w:rPr>
        <w:t xml:space="preserve">jurisdictional partition into separate consortium ledgers with mutual anchoring</w:t>
      </w:r>
      <w:r>
        <w:t xml:space="preserve"> </w:t>
      </w:r>
      <w:r>
        <w:t xml:space="preserve">—</w:t>
      </w:r>
      <w:r>
        <w:t xml:space="preserve"> </w:t>
      </w:r>
      <w:r>
        <w:t xml:space="preserve">federation, not protocol-level sharding — achieves the partition benefits along</w:t>
      </w:r>
      <w:r>
        <w:t xml:space="preserve"> </w:t>
      </w:r>
      <w:r>
        <w:t xml:space="preserve">institutional fault lines that already exist, keeps every ledger’s security</w:t>
      </w:r>
      <w:r>
        <w:t xml:space="preserve"> </w:t>
      </w:r>
      <w:r>
        <w:t xml:space="preserve">homogeneous and locally governed, and reduces cross-partition traffic to the</w:t>
      </w:r>
      <w:r>
        <w:t xml:space="preserve"> </w:t>
      </w:r>
      <w:r>
        <w:t xml:space="preserve">genuinely rare case of an asset crossing jurisdictions, which is an</w:t>
      </w:r>
      <w:r>
        <w:t xml:space="preserve"> </w:t>
      </w:r>
      <w:r>
        <w:t xml:space="preserve">export/import event pair with human paperwork attached anyway. Chapter 12</w:t>
      </w:r>
      <w:r>
        <w:t xml:space="preserve"> </w:t>
      </w:r>
      <w:r>
        <w:t xml:space="preserve">needs exactly that structure for cross-sector interoperability, and</w:t>
      </w:r>
      <w:r>
        <w:t xml:space="preserve"> </w:t>
      </w:r>
      <w:r>
        <w:t xml:space="preserve">Chapter 10 independently derives it from data-residency law — three</w:t>
      </w:r>
      <w:r>
        <w:t xml:space="preserve"> </w:t>
      </w:r>
      <w:r>
        <w:t xml:space="preserve">requirements, one topology.</w:t>
      </w:r>
    </w:p>
    <w:p>
      <w:pPr>
        <w:pStyle w:val="BodyText"/>
      </w:pPr>
      <w:r>
        <w:t xml:space="preserve">Cross-federation verification, the pattern’s one genuinely new protocol</w:t>
      </w:r>
      <w:r>
        <w:t xml:space="preserve"> </w:t>
      </w:r>
      <w:r>
        <w:t xml:space="preserve">element, works with the machinery already built: each federated ledger</w:t>
      </w:r>
      <w:r>
        <w:t xml:space="preserve"> </w:t>
      </w:r>
      <w:r>
        <w:t xml:space="preserve">anchors to the public chains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exchanges header commitments with its</w:t>
      </w:r>
      <w:r>
        <w:t xml:space="preserve"> </w:t>
      </w:r>
      <w:r>
        <w:t xml:space="preserve">peers on a fixed cadence, so a verifier following an asset exported from</w:t>
      </w:r>
      <w:r>
        <w:t xml:space="preserve"> </w:t>
      </w:r>
      <w:r>
        <w:t xml:space="preserve">jurisdiction A to jurisdiction B checks the A-ledger provenance against</w:t>
      </w:r>
      <w:r>
        <w:t xml:space="preserve"> </w:t>
      </w:r>
      <w:r>
        <w:t xml:space="preserve">A’s anchors, the export event against both ledgers’ mutual commitments, and</w:t>
      </w:r>
      <w:r>
        <w:t xml:space="preserve"> </w:t>
      </w:r>
      <w:r>
        <w:t xml:space="preserve">the B-ledger continuation against B’s anchors — one extra hop, no shared</w:t>
      </w:r>
      <w:r>
        <w:t xml:space="preserve"> </w:t>
      </w:r>
      <w:r>
        <w:t xml:space="preserve">governance, no cross-ledger consensus, and the asset’s record bundle</w:t>
      </w:r>
      <w:r>
        <w:t xml:space="preserve"> </w:t>
      </w:r>
      <w:r>
        <w:t xml:space="preserve">carries everything needed for the traversal offline. The federation, in</w:t>
      </w:r>
      <w:r>
        <w:t xml:space="preserve"> </w:t>
      </w:r>
      <w:r>
        <w:t xml:space="preserve">other words, is stitched by proofs rather than by protocol coupling, which</w:t>
      </w:r>
      <w:r>
        <w:t xml:space="preserve"> </w:t>
      </w:r>
      <w:r>
        <w:t xml:space="preserve">is why adding a jurisdiction never requires renegotiating the others.</w:t>
      </w:r>
    </w:p>
    <w:p>
      <w:pPr>
        <w:pStyle w:val="BodyText"/>
      </w:pPr>
      <w:r>
        <w:rPr>
          <w:bCs/>
          <w:b/>
        </w:rPr>
        <w:t xml:space="preserve">Sidechains</w:t>
      </w:r>
      <w:r>
        <w:t xml:space="preserve"> </w:t>
      </w:r>
      <w:r>
        <w:t xml:space="preserve">(independent ledgers pegged to a parent) map naturally onto the</w:t>
      </w:r>
      <w:r>
        <w:t xml:space="preserve"> </w:t>
      </w:r>
      <w:r>
        <w:t xml:space="preserve">manufacturer-line and plant-local tiers: a factory can run a local, high-frequency</w:t>
      </w:r>
      <w:r>
        <w:t xml:space="preserve"> </w:t>
      </w:r>
      <w:r>
        <w:t xml:space="preserve">ledger absorbing per-unit QA events, periodically committing roots upward — the</w:t>
      </w:r>
      <w:r>
        <w:t xml:space="preserve"> </w:t>
      </w:r>
      <w:r>
        <w:t xml:space="preserve">Merkle aggregation of Section 7.2 is a degenerate sidechain, and that framing tells</w:t>
      </w:r>
      <w:r>
        <w:t xml:space="preserve"> </w:t>
      </w:r>
      <w:r>
        <w:t xml:space="preserve">you the honest generalization: a sidechain’s security is only what its own</w:t>
      </w:r>
      <w:r>
        <w:t xml:space="preserve"> </w:t>
      </w:r>
      <w:r>
        <w:t xml:space="preserve">validator set provides, so</w:t>
      </w:r>
      <w:r>
        <w:t xml:space="preserve"> </w:t>
      </w:r>
      <w:r>
        <w:rPr>
          <w:iCs/>
          <w:i/>
        </w:rPr>
        <w:t xml:space="preserve">evidential</w:t>
      </w:r>
      <w:r>
        <w:t xml:space="preserve"> </w:t>
      </w:r>
      <w:r>
        <w:t xml:space="preserve">events (Table 5.1) must always land on, or</w:t>
      </w:r>
      <w:r>
        <w:t xml:space="preserve"> </w:t>
      </w:r>
      <w:r>
        <w:t xml:space="preserve">be proof-committed into, the consortium tier. The factory case shows the</w:t>
      </w:r>
      <w:r>
        <w:t xml:space="preserve"> </w:t>
      </w:r>
      <w:r>
        <w:t xml:space="preserve">pattern’s value and its boundary in one example: a line emits far more QA</w:t>
      </w:r>
      <w:r>
        <w:t xml:space="preserve"> </w:t>
      </w:r>
      <w:r>
        <w:t xml:space="preserve">telemetry than the evidential schema wants (per-cell measurements,</w:t>
      </w:r>
      <w:r>
        <w:t xml:space="preserve"> </w:t>
      </w:r>
      <w:r>
        <w:t xml:space="preserve">in-process checks), a factory-local ledger can order and retain all of it</w:t>
      </w:r>
      <w:r>
        <w:t xml:space="preserve"> </w:t>
      </w:r>
      <w:r>
        <w:t xml:space="preserve">under the manufacturer’s own governance, and the</w:t>
      </w:r>
      <w:r>
        <w:t xml:space="preserve"> </w:t>
      </w:r>
      <w:r>
        <w:rPr>
          <w:iCs/>
          <w:i/>
        </w:rPr>
        <w:t xml:space="preserve">evidential extract</w:t>
      </w:r>
      <w:r>
        <w:t xml:space="preserve"> </w:t>
      </w:r>
      <w:r>
        <w:t xml:space="preserve">—</w:t>
      </w:r>
      <w:r>
        <w:t xml:space="preserve"> </w:t>
      </w:r>
      <w:r>
        <w:t xml:space="preserve">enrollment templates, flash VCs, batch roots — commits upward with proofs.</w:t>
      </w:r>
      <w:r>
        <w:t xml:space="preserve"> </w:t>
      </w:r>
      <w:r>
        <w:t xml:space="preserve">The local tier can be lost, corrupted, or discarded at the manufacturer’s</w:t>
      </w:r>
      <w:r>
        <w:t xml:space="preserve"> </w:t>
      </w:r>
      <w:r>
        <w:t xml:space="preserve">own risk without touching the consortium’s guarantees; what it must never be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home of an evidential fact. Sidechains for load absorption,</w:t>
      </w:r>
      <w:r>
        <w:t xml:space="preserve"> </w:t>
      </w:r>
      <w:r>
        <w:t xml:space="preserve">never for evidence custody.</w:t>
      </w:r>
    </w:p>
    <w:p>
      <w:pPr>
        <w:pStyle w:val="BodyText"/>
      </w:pPr>
      <w:r>
        <w:rPr>
          <w:bCs/>
          <w:b/>
        </w:rPr>
        <w:t xml:space="preserve">Rollups</w:t>
      </w:r>
      <w:r>
        <w:t xml:space="preserve"> </w:t>
      </w:r>
      <w:r>
        <w:t xml:space="preserve">(execute off-chain, post state commitments plus proofs on-chain) are</w:t>
      </w:r>
      <w:r>
        <w:t xml:space="preserve"> </w:t>
      </w:r>
      <w:r>
        <w:t xml:space="preserve">the strongest import. A</w:t>
      </w:r>
      <w:r>
        <w:t xml:space="preserve"> </w:t>
      </w:r>
      <w:r>
        <w:rPr>
          <w:iCs/>
          <w:i/>
        </w:rPr>
        <w:t xml:space="preserve">validity rollup</w:t>
      </w:r>
      <w:r>
        <w:t xml:space="preserve"> </w:t>
      </w:r>
      <w:r>
        <w:t xml:space="preserve">— where a succinct proof certifies that</w:t>
      </w:r>
      <w:r>
        <w:t xml:space="preserve"> </w:t>
      </w:r>
      <w:r>
        <w:t xml:space="preserve">the posted state transition correctly applied the state-machine rules of</w:t>
      </w:r>
      <w:r>
        <w:t xml:space="preserve"> </w:t>
      </w:r>
      <w:r>
        <w:t xml:space="preserve">Section 5.5 to a batch of events — lets the consortium tier verify a proof instead</w:t>
      </w:r>
      <w:r>
        <w:t xml:space="preserve"> </w:t>
      </w:r>
      <w:r>
        <w:t xml:space="preserve">of re-executing every envelope check, multiplying effective write capacity by</w:t>
      </w:r>
      <w:r>
        <w:t xml:space="preserve"> </w:t>
      </w:r>
      <w:r>
        <w:t xml:space="preserve">orders of magnitude while</w:t>
      </w:r>
      <w:r>
        <w:t xml:space="preserve"> </w:t>
      </w:r>
      <w:r>
        <w:rPr>
          <w:iCs/>
          <w:i/>
        </w:rPr>
        <w:t xml:space="preserve">strengthening</w:t>
      </w:r>
      <w:r>
        <w:t xml:space="preserve"> </w:t>
      </w:r>
      <w:r>
        <w:t xml:space="preserve">the correctness guarantee (validators</w:t>
      </w:r>
      <w:r>
        <w:t xml:space="preserve"> </w:t>
      </w:r>
      <w:r>
        <w:t xml:space="preserve">verify math, not operators). The strengthening deserves emphasis because it</w:t>
      </w:r>
      <w:r>
        <w:t xml:space="preserve"> </w:t>
      </w:r>
      <w:r>
        <w:t xml:space="preserve">is the pattern’s real long-term appeal here: today a verifier trusts that</w:t>
      </w:r>
      <w:r>
        <w:t xml:space="preserve"> </w:t>
      </w:r>
      <w:r>
        <w:t xml:space="preserve">(2f+1) validators ran the checks; under a validity rollup the verifier</w:t>
      </w:r>
      <w:r>
        <w:t xml:space="preserve"> </w:t>
      </w:r>
      <w:r>
        <w:t xml:space="preserve">holds a proof that the checks</w:t>
      </w:r>
      <w:r>
        <w:t xml:space="preserve"> </w:t>
      </w:r>
      <w:r>
        <w:rPr>
          <w:iCs/>
          <w:i/>
        </w:rPr>
        <w:t xml:space="preserve">were passed</w:t>
      </w:r>
      <w:r>
        <w:t xml:space="preserve">, a strictly smaller trust</w:t>
      </w:r>
      <w:r>
        <w:t xml:space="preserve"> </w:t>
      </w:r>
      <w:r>
        <w:t xml:space="preserve">assumption that even a fully colluding committee cannot fake. The costs are</w:t>
      </w:r>
      <w:r>
        <w:t xml:space="preserve"> </w:t>
      </w:r>
      <w:r>
        <w:t xml:space="preserve">real: proving infrastructure is</w:t>
      </w:r>
      <w:r>
        <w:t xml:space="preserve"> </w:t>
      </w:r>
      <w:r>
        <w:t xml:space="preserve">operationally young, circuit-encoding the lifecycle state machine freezes it</w:t>
      </w:r>
      <w:r>
        <w:t xml:space="preserve"> </w:t>
      </w:r>
      <w:r>
        <w:t xml:space="preserve">(schema evolution now means proving-system evolution — tension with Section 5.1’s</w:t>
      </w:r>
      <w:r>
        <w:t xml:space="preserve"> </w:t>
      </w:r>
      <w:r>
        <w:t xml:space="preserve">extensibility principle, and the pilot’s quarterly payload cadence would</w:t>
      </w:r>
      <w:r>
        <w:t xml:space="preserve"> </w:t>
      </w:r>
      <w:r>
        <w:t xml:space="preserve">translate into quarterly circuit audits), and the cryptographic assumptions</w:t>
      </w:r>
      <w:r>
        <w:t xml:space="preserve"> </w:t>
      </w:r>
      <w:r>
        <w:t xml:space="preserve">behind succinct proofs</w:t>
      </w:r>
      <w:r>
        <w:t xml:space="preserve"> </w:t>
      </w:r>
      <w:r>
        <w:t xml:space="preserve">add another aging surface for Chapter 9’s migration ledger — with the</w:t>
      </w:r>
      <w:r>
        <w:t xml:space="preserve"> </w:t>
      </w:r>
      <w:r>
        <w:t xml:space="preserve">important mitigation that hash-based proof systems (the STARK lineage) rest</w:t>
      </w:r>
      <w:r>
        <w:t xml:space="preserve"> </w:t>
      </w:r>
      <w:r>
        <w:t xml:space="preserve">on assumptions Chapter 9 already certifies, making them the only family this</w:t>
      </w:r>
      <w:r>
        <w:t xml:space="preserve"> </w:t>
      </w:r>
      <w:r>
        <w:t xml:space="preserve">book would consider for a thirty-year record.</w:t>
      </w:r>
      <w:r>
        <w:t xml:space="preserve"> </w:t>
      </w:r>
      <w:r>
        <w:rPr>
          <w:iCs/>
          <w:i/>
        </w:rPr>
        <w:t xml:space="preserve">Optimistic</w:t>
      </w:r>
      <w:r>
        <w:t xml:space="preserve"> </w:t>
      </w:r>
      <w:r>
        <w:t xml:space="preserve">rollups, the</w:t>
      </w:r>
      <w:r>
        <w:t xml:space="preserve"> </w:t>
      </w:r>
      <w:r>
        <w:t xml:space="preserve">cheaper cousins, are rejected outright: their security model — post now,</w:t>
      </w:r>
      <w:r>
        <w:t xml:space="preserve"> </w:t>
      </w:r>
      <w:r>
        <w:t xml:space="preserve">allow a window for fraud proofs — reintroduces exactly the probabilistic</w:t>
      </w:r>
      <w:r>
        <w:t xml:space="preserve"> </w:t>
      </w:r>
      <w:r>
        <w:t xml:space="preserve">finality that Section 2.3 disqualified, and an ownership transfer that is</w:t>
      </w:r>
      <w:r>
        <w:t xml:space="preserve"> </w:t>
      </w:r>
      <w:r>
        <w:t xml:space="preserve">final-unless-challenged-this-week is not an instrument the sector’s lawyers</w:t>
      </w:r>
      <w:r>
        <w:t xml:space="preserve"> </w:t>
      </w:r>
      <w:r>
        <w:t xml:space="preserve">will accept. Verdict: the</w:t>
      </w:r>
      <w:r>
        <w:t xml:space="preserve"> </w:t>
      </w:r>
      <w:r>
        <w:t xml:space="preserve">architecture should be</w:t>
      </w:r>
      <w:r>
        <w:t xml:space="preserve"> </w:t>
      </w:r>
      <w:r>
        <w:rPr>
          <w:iCs/>
          <w:i/>
        </w:rPr>
        <w:t xml:space="preserve">rollup-ready</w:t>
      </w:r>
      <w:r>
        <w:t xml:space="preserve"> </w:t>
      </w:r>
      <w:r>
        <w:t xml:space="preserve">— batch semantics and state commitments in</w:t>
      </w:r>
      <w:r>
        <w:t xml:space="preserve"> </w:t>
      </w:r>
      <w:r>
        <w:t xml:space="preserve">the schema from day one, per Section 7.2 — with proof systems adopted when the</w:t>
      </w:r>
      <w:r>
        <w:t xml:space="preserve"> </w:t>
      </w:r>
      <w:r>
        <w:t xml:space="preserve">deployment’s write load actually demands them, which Table 7.1 says is the</w:t>
      </w:r>
      <w:r>
        <w:t xml:space="preserve"> </w:t>
      </w:r>
      <w:r>
        <w:t xml:space="preserve">continental tier, not the pilot.</w:t>
      </w:r>
    </w:p>
    <w:p>
      <w:pPr>
        <w:pStyle w:val="BodyText"/>
      </w:pPr>
      <w:r>
        <w:rPr>
          <w:bCs/>
          <w:b/>
        </w:rPr>
        <w:t xml:space="preserve">Table 7.3</w:t>
      </w:r>
      <w:r>
        <w:t xml:space="preserve"> </w:t>
      </w:r>
      <w:r>
        <w:t xml:space="preserve">Scaling techniques against the asset-identity workload.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payment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Poor: migration = cross-shard; dilutes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Jurisdictional federation with mutual anchoring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Application-local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load, never for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Factory/plant-local tiers committing roots upward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Optimistic rollups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L2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Weak: fraud-proof windows reintroduce probabilistic finality (§2.3 objection)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Validity rollups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batch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at continental tier; schema-freeze and PQ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Rollup-ready schema now; proofs when load demands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Merkle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(folk technique)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Excellent; solves the actual burst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pattern, 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replicas + 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Excellent; solves the actual read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pattern, §7.3</w:t>
            </w:r>
          </w:p>
        </w:tc>
      </w:tr>
    </w:tbl>
    <w:p>
      <w:pPr>
        <w:pStyle w:val="BodyText"/>
      </w:pPr>
      <w:r>
        <w:t xml:space="preserve">The adopted forms compose into a tiered whole worth stating once as a</w:t>
      </w:r>
      <w:r>
        <w:t xml:space="preserve"> </w:t>
      </w:r>
      <w:r>
        <w:t xml:space="preserve">sentence:</w:t>
      </w:r>
      <w:r>
        <w:t xml:space="preserve"> </w:t>
      </w:r>
      <w:r>
        <w:rPr>
          <w:bCs/>
          <w:b/>
        </w:rPr>
        <w:t xml:space="preserve">local ledgers absorb machine-rate load and commit roots upward;</w:t>
      </w:r>
      <w:r>
        <w:rPr>
          <w:bCs/>
          <w:b/>
        </w:rPr>
        <w:t xml:space="preserve"> </w:t>
      </w:r>
      <w:r>
        <w:rPr>
          <w:bCs/>
          <w:b/>
        </w:rPr>
        <w:t xml:space="preserve">one consortium ledger per jurisdiction or sector carries the evidential</w:t>
      </w:r>
      <w:r>
        <w:rPr>
          <w:bCs/>
          <w:b/>
        </w:rPr>
        <w:t xml:space="preserve"> </w:t>
      </w:r>
      <w:r>
        <w:rPr>
          <w:bCs/>
          <w:b/>
        </w:rPr>
        <w:t xml:space="preserve">stream under BFT finality; validity proofs compress that stream if and when</w:t>
      </w:r>
      <w:r>
        <w:rPr>
          <w:bCs/>
          <w:b/>
        </w:rPr>
        <w:t xml:space="preserve"> </w:t>
      </w:r>
      <w:r>
        <w:rPr>
          <w:bCs/>
          <w:b/>
        </w:rPr>
        <w:t xml:space="preserve">continental volumes demand; mutual anchors stitch the federation together;</w:t>
      </w:r>
      <w:r>
        <w:rPr>
          <w:bCs/>
          <w:b/>
        </w:rPr>
        <w:t xml:space="preserve"> </w:t>
      </w:r>
      <w:r>
        <w:rPr>
          <w:bCs/>
          <w:b/>
        </w:rPr>
        <w:t xml:space="preserve">and public chains underwrite everyone’s honesty at the top.</w:t>
      </w:r>
      <w:r>
        <w:t xml:space="preserve"> </w:t>
      </w:r>
      <w:r>
        <w:t xml:space="preserve">Each tier is</w:t>
      </w:r>
      <w:r>
        <w:t xml:space="preserve"> </w:t>
      </w:r>
      <w:r>
        <w:t xml:space="preserve">replaceable without disturbing its neighbors — the property that matters</w:t>
      </w:r>
      <w:r>
        <w:t xml:space="preserve"> </w:t>
      </w:r>
      <w:r>
        <w:t xml:space="preserve">more than any single tier’s throughput, because over thirty years each tier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be replaced.</w:t>
      </w:r>
    </w:p>
    <w:bookmarkStart w:id="25" w:name="X74f02c8f5aa7a37067bee5f5dc30607f1830362"/>
    <w:p>
      <w:pPr>
        <w:pStyle w:val="Heading3"/>
      </w:pPr>
      <w:r>
        <w:t xml:space="preserve">7.4.1 What Transfers from the Payment World Anyway</w:t>
      </w:r>
    </w:p>
    <w:p>
      <w:pPr>
        <w:pStyle w:val="FirstParagraph"/>
      </w:pPr>
      <w:r>
        <w:t xml:space="preserve">Fairness — and completeness — requires listing what this chapter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import from the payment literature, because the rejections above can read as</w:t>
      </w:r>
      <w:r>
        <w:t xml:space="preserve"> </w:t>
      </w:r>
      <w:r>
        <w:t xml:space="preserve">wholesale dismissal and are not. Four exports transfer cleanly.</w:t>
      </w:r>
      <w:r>
        <w:t xml:space="preserve"> </w:t>
      </w:r>
      <w:r>
        <w:rPr>
          <w:iCs/>
          <w:i/>
        </w:rPr>
        <w:t xml:space="preserve">Light-client</w:t>
      </w:r>
      <w:r>
        <w:rPr>
          <w:iCs/>
          <w:i/>
        </w:rPr>
        <w:t xml:space="preserve"> </w:t>
      </w:r>
      <w:r>
        <w:rPr>
          <w:iCs/>
          <w:i/>
        </w:rPr>
        <w:t xml:space="preserve">protocols</w:t>
      </w:r>
      <w:r>
        <w:t xml:space="preserve"> </w:t>
      </w:r>
      <w:r>
        <w:t xml:space="preserve">— the header-plus-proof verification model that lets a wallet on</w:t>
      </w:r>
      <w:r>
        <w:t xml:space="preserve"> </w:t>
      </w:r>
      <w:r>
        <w:t xml:space="preserve">a phone validate against a chain it does not store — are exactly the field</w:t>
      </w:r>
      <w:r>
        <w:t xml:space="preserve"> </w:t>
      </w:r>
      <w:r>
        <w:t xml:space="preserve">handheld’s operating mode (Section 4.7), matured under adversarial pressure</w:t>
      </w:r>
      <w:r>
        <w:t xml:space="preserve"> </w:t>
      </w:r>
      <w:r>
        <w:t xml:space="preserve">this sector could not have generated.</w:t>
      </w:r>
      <w:r>
        <w:t xml:space="preserve"> </w:t>
      </w:r>
      <w:r>
        <w:rPr>
          <w:iCs/>
          <w:i/>
        </w:rPr>
        <w:t xml:space="preserve">Signature aggregation</w:t>
      </w:r>
      <w:r>
        <w:t xml:space="preserve"> </w:t>
      </w:r>
      <w:r>
        <w:t xml:space="preserve">(BLS-style</w:t>
      </w:r>
      <w:r>
        <w:t xml:space="preserve"> </w:t>
      </w:r>
      <w:r>
        <w:t xml:space="preserve">schemes that compress a committee’s attestations into one verifiable</w:t>
      </w:r>
      <w:r>
        <w:t xml:space="preserve"> </w:t>
      </w:r>
      <w:r>
        <w:t xml:space="preserve">object) is what makes 16–30-member BFT committees cheap to prove against —</w:t>
      </w:r>
      <w:r>
        <w:t xml:space="preserve"> </w:t>
      </w:r>
      <w:r>
        <w:t xml:space="preserve">every anchored header carries the committee’s aggregate attestation at a</w:t>
      </w:r>
      <w:r>
        <w:t xml:space="preserve"> </w:t>
      </w:r>
      <w:r>
        <w:t xml:space="preserve">few dozen bytes.</w:t>
      </w:r>
      <w:r>
        <w:t xml:space="preserve"> </w:t>
      </w:r>
      <w:r>
        <w:rPr>
          <w:iCs/>
          <w:i/>
        </w:rPr>
        <w:t xml:space="preserve">Gossip and peer-discovery machinery</w:t>
      </w:r>
      <w:r>
        <w:t xml:space="preserve">, unglamorous and</w:t>
      </w:r>
      <w:r>
        <w:t xml:space="preserve"> </w:t>
      </w:r>
      <w:r>
        <w:t xml:space="preserve">battle-tested, carries the consortium’s replication with no invention</w:t>
      </w:r>
      <w:r>
        <w:t xml:space="preserve"> </w:t>
      </w:r>
      <w:r>
        <w:t xml:space="preserve">needed. And the</w:t>
      </w:r>
      <w:r>
        <w:t xml:space="preserve"> </w:t>
      </w:r>
      <w:r>
        <w:rPr>
          <w:iCs/>
          <w:i/>
        </w:rPr>
        <w:t xml:space="preserve">fee-market literature</w:t>
      </w:r>
      <w:r>
        <w:t xml:space="preserve">, ironically, transfers as a</w:t>
      </w:r>
      <w:r>
        <w:t xml:space="preserve"> </w:t>
      </w:r>
      <w:r>
        <w:t xml:space="preserve">cautionary instrument: its models of congestion pricing are how Section</w:t>
      </w:r>
      <w:r>
        <w:t xml:space="preserve"> </w:t>
      </w:r>
      <w:r>
        <w:t xml:space="preserve">7.5.1 knew what to avoid, and its MEV pathologies (transaction-ordering</w:t>
      </w:r>
      <w:r>
        <w:t xml:space="preserve"> </w:t>
      </w:r>
      <w:r>
        <w:t xml:space="preserve">games) informed the schema’s insistence that ordering within a block</w:t>
      </w:r>
      <w:r>
        <w:t xml:space="preserve"> </w:t>
      </w:r>
      <w:r>
        <w:t xml:space="preserve">carries no economic meaning — claimed-time, not block position, is the</w:t>
      </w:r>
      <w:r>
        <w:t xml:space="preserve"> </w:t>
      </w:r>
      <w:r>
        <w:t xml:space="preserve">evidential sequence, so there is nothing for an ordering game to win. The</w:t>
      </w:r>
      <w:r>
        <w:t xml:space="preserve"> </w:t>
      </w:r>
      <w:r>
        <w:t xml:space="preserve">discipline, as everywhere in this book, is to import mechanisms with their</w:t>
      </w:r>
      <w:r>
        <w:t xml:space="preserve"> </w:t>
      </w:r>
      <w:r>
        <w:t xml:space="preserve">threat models attached, not their assumptions unexamined.</w:t>
      </w:r>
    </w:p>
    <w:bookmarkEnd w:id="25"/>
    <w:bookmarkEnd w:id="26"/>
    <w:bookmarkStart w:id="28" w:name="X8a7299a30bd94e92a30d5fd5b917d00a6441b3e"/>
    <w:p>
      <w:pPr>
        <w:pStyle w:val="Heading2"/>
      </w:pPr>
      <w:r>
        <w:t xml:space="preserve">7.5 The Consortium Tier Itself: Sizing the Committee</w:t>
      </w:r>
    </w:p>
    <w:p>
      <w:pPr>
        <w:pStyle w:val="FirstParagraph"/>
      </w:pPr>
      <w:r>
        <w:t xml:space="preserve">The BFT committee’s parameters, set against the workload. Committee size (n)</w:t>
      </w:r>
      <w:r>
        <w:t xml:space="preserve"> </w:t>
      </w:r>
      <w:r>
        <w:t xml:space="preserve">trades communication overhead (quadratic in classic PBFT, near-linear in modern</w:t>
      </w:r>
      <w:r>
        <w:t xml:space="preserve"> </w:t>
      </w:r>
      <w:r>
        <w:t xml:space="preserve">leader-based BFT with signature aggregation) against collusion resistance</w:t>
      </w:r>
      <w:r>
        <w:t xml:space="preserve"> </w:t>
      </w:r>
      <w:r>
        <w:t xml:space="preserve">((</w:t>
      </w:r>
      <w:r>
        <w:t xml:space="preserve">(n-1)/3</w:t>
      </w:r>
      <w:r>
        <w:t xml:space="preserve"> </w:t>
      </w:r>
      <w:r>
        <w:t xml:space="preserve">) tolerated faults) and institutional breadth. For an</w:t>
      </w:r>
      <w:r>
        <w:t xml:space="preserve"> </w:t>
      </w:r>
      <w:r>
        <w:t xml:space="preserve">industry consortium the binding constraint is institutional, not computational:</w:t>
      </w:r>
      <w:r>
        <w:t xml:space="preserve"> </w:t>
      </w:r>
      <w:r>
        <w:t xml:space="preserve">each validator must be an organization with standing to be sued and reputation to</w:t>
      </w:r>
      <w:r>
        <w:t xml:space="preserve"> </w:t>
      </w:r>
      <w:r>
        <w:t xml:space="preserve">lose — manufacturers, operators, insurers, certification bodies, in adverse-</w:t>
      </w:r>
      <w:r>
        <w:t xml:space="preserve"> </w:t>
      </w:r>
      <w:r>
        <w:t xml:space="preserve">interest balance so that the (f &lt; n/3) assumption is backed by economics</w:t>
      </w:r>
      <w:r>
        <w:t xml:space="preserve"> </w:t>
      </w:r>
      <w:r>
        <w:t xml:space="preserve">(Section 8.6 analyzes the collusion game). Practical guidance the pilot follows:</w:t>
      </w:r>
      <w:r>
        <w:t xml:space="preserve"> </w:t>
      </w:r>
      <w:r>
        <w:t xml:space="preserve">(n) in the 10–30 range; geographic and role diversity mandatory; validator</w:t>
      </w:r>
      <w:r>
        <w:t xml:space="preserve"> </w:t>
      </w:r>
      <w:r>
        <w:t xml:space="preserve">onboarding/exit as governed lifecycle events on the ledger itself; and block</w:t>
      </w:r>
      <w:r>
        <w:t xml:space="preserve"> </w:t>
      </w:r>
      <w:r>
        <w:t xml:space="preserve">intervals in seconds — comfortable at these loads — with the anchoring interval,</w:t>
      </w:r>
      <w:r>
        <w:t xml:space="preserve"> </w:t>
      </w:r>
      <w:r>
        <w:t xml:space="preserve">not block time, as the externally meaningful latency parameter.</w:t>
      </w:r>
    </w:p>
    <w:p>
      <w:pPr>
        <w:pStyle w:val="BodyText"/>
      </w:pPr>
      <w:r>
        <w:t xml:space="preserve">The sizing arithmetic, made explicit for the planning reader. At (n = 16),</w:t>
      </w:r>
      <w:r>
        <w:t xml:space="preserve"> </w:t>
      </w:r>
      <w:r>
        <w:t xml:space="preserve">the committee tolerates (f = 5) simultaneous faulty or malicious members —</w:t>
      </w:r>
      <w:r>
        <w:t xml:space="preserve"> </w:t>
      </w:r>
      <w:r>
        <w:t xml:space="preserve">enough to absorb two acquisitions, an insolvency, and an incident in the same</w:t>
      </w:r>
      <w:r>
        <w:t xml:space="preserve"> </w:t>
      </w:r>
      <w:r>
        <w:t xml:space="preserve">quarter without touching safety margins — while modern leader-based</w:t>
      </w:r>
      <w:r>
        <w:t xml:space="preserve"> </w:t>
      </w:r>
      <w:r>
        <w:t xml:space="preserve">protocols at these transaction rates leave validators over 99% idle;</w:t>
      </w:r>
      <w:r>
        <w:t xml:space="preserve"> </w:t>
      </w:r>
      <w:r>
        <w:t xml:space="preserve">consensus compute is simply not a cost line. Growth to (n = 30) roughly</w:t>
      </w:r>
      <w:r>
        <w:t xml:space="preserve"> </w:t>
      </w:r>
      <w:r>
        <w:t xml:space="preserve">doubles messaging and halves nothing that matters at this load, so committee</w:t>
      </w:r>
      <w:r>
        <w:t xml:space="preserve"> </w:t>
      </w:r>
      <w:r>
        <w:t xml:space="preserve">size should be set by</w:t>
      </w:r>
      <w:r>
        <w:t xml:space="preserve"> </w:t>
      </w:r>
      <w:r>
        <w:rPr>
          <w:iCs/>
          <w:i/>
        </w:rPr>
        <w:t xml:space="preserve">institutional</w:t>
      </w:r>
      <w:r>
        <w:t xml:space="preserve"> </w:t>
      </w:r>
      <w:r>
        <w:t xml:space="preserve">logic: broad enough that no plausible</w:t>
      </w:r>
      <w:r>
        <w:t xml:space="preserve"> </w:t>
      </w:r>
      <w:r>
        <w:t xml:space="preserve">coalition of interest reaches a third, small enough that every member’s</w:t>
      </w:r>
      <w:r>
        <w:t xml:space="preserve"> </w:t>
      </w:r>
      <w:r>
        <w:t xml:space="preserve">operational competence can be individually audited. Beyond thirty,</w:t>
      </w:r>
      <w:r>
        <w:t xml:space="preserve"> </w:t>
      </w:r>
      <w:r>
        <w:t xml:space="preserve">federation (Section 7.4) is the better spend of institutional complexity</w:t>
      </w:r>
      <w:r>
        <w:t xml:space="preserve"> </w:t>
      </w:r>
      <w:r>
        <w:t xml:space="preserve">than a larger single committee. The adverse-interest arithmetic is the</w:t>
      </w:r>
      <w:r>
        <w:t xml:space="preserve"> </w:t>
      </w:r>
      <w:r>
        <w:t xml:space="preserve">subtle half of sizing: a sixteen-member committee of fifteen manufacturers</w:t>
      </w:r>
      <w:r>
        <w:t xml:space="preserve"> </w:t>
      </w:r>
      <w:r>
        <w:t xml:space="preserve">and one insurer tolerates five Byzantine members in theory and one trade</w:t>
      </w:r>
      <w:r>
        <w:t xml:space="preserve"> </w:t>
      </w:r>
      <w:r>
        <w:t xml:space="preserve">dispute in practice, so composition rules — caps per role class, mandated</w:t>
      </w:r>
      <w:r>
        <w:t xml:space="preserve"> </w:t>
      </w:r>
      <w:r>
        <w:t xml:space="preserve">representation for verification-consuming roles — belong in the consortium</w:t>
      </w:r>
      <w:r>
        <w:t xml:space="preserve"> </w:t>
      </w:r>
      <w:r>
        <w:t xml:space="preserve">agreement beside the number itself.</w:t>
      </w:r>
    </w:p>
    <w:bookmarkStart w:id="27" w:name="who-pays-for-consensus-the-fee-model"/>
    <w:p>
      <w:pPr>
        <w:pStyle w:val="Heading3"/>
      </w:pPr>
      <w:r>
        <w:t xml:space="preserve">7.5.1 Who Pays for Consensus: The Fee Model</w:t>
      </w:r>
    </w:p>
    <w:p>
      <w:pPr>
        <w:pStyle w:val="FirstParagraph"/>
      </w:pPr>
      <w:r>
        <w:t xml:space="preserve">Ledger economics need a revenue design as deliberate as the protocol, and the</w:t>
      </w:r>
      <w:r>
        <w:t xml:space="preserve"> </w:t>
      </w:r>
      <w:r>
        <w:t xml:space="preserve">sector’s constraint — Section 1.3’s cents-per-unit ceiling — rules out the</w:t>
      </w:r>
      <w:r>
        <w:t xml:space="preserve"> </w:t>
      </w:r>
      <w:r>
        <w:t xml:space="preserve">public-chain answer of market-priced fees. The model the pilot adopted, and</w:t>
      </w:r>
      <w:r>
        <w:t xml:space="preserve"> </w:t>
      </w:r>
      <w:r>
        <w:t xml:space="preserve">this book recommends as a starting point:</w:t>
      </w:r>
      <w:r>
        <w:t xml:space="preserve"> </w:t>
      </w:r>
      <w:r>
        <w:rPr>
          <w:iCs/>
          <w:i/>
        </w:rPr>
        <w:t xml:space="preserve">membership assessments</w:t>
      </w:r>
      <w:r>
        <w:t xml:space="preserve"> </w:t>
      </w:r>
      <w:r>
        <w:t xml:space="preserve">fund the</w:t>
      </w:r>
      <w:r>
        <w:t xml:space="preserve"> </w:t>
      </w:r>
      <w:r>
        <w:t xml:space="preserve">fixed costs (validator operations, governance, audits), allocated by member</w:t>
      </w:r>
      <w:r>
        <w:t xml:space="preserve"> </w:t>
      </w:r>
      <w:r>
        <w:t xml:space="preserve">class rather than by usage, because the fixed costs exist for the system’s</w:t>
      </w:r>
      <w:r>
        <w:t xml:space="preserve"> </w:t>
      </w:r>
      <w:r>
        <w:t xml:space="preserve">credibility, from which every member benefits jointly;</w:t>
      </w:r>
      <w:r>
        <w:t xml:space="preserve"> </w:t>
      </w:r>
      <w:r>
        <w:rPr>
          <w:iCs/>
          <w:i/>
        </w:rPr>
        <w:t xml:space="preserve">event fees</w:t>
      </w:r>
      <w:r>
        <w:t xml:space="preserve"> </w:t>
      </w:r>
      <w:r>
        <w:t xml:space="preserve">at</w:t>
      </w:r>
      <w:r>
        <w:t xml:space="preserve"> </w:t>
      </w:r>
      <w:r>
        <w:t xml:space="preserve">cost-recovery rates (fractions of a cent per envelope at batch scale) fund</w:t>
      </w:r>
      <w:r>
        <w:t xml:space="preserve"> </w:t>
      </w:r>
      <w:r>
        <w:t xml:space="preserve">the marginal ledger and anchoring costs, mostly to create a mild pricing</w:t>
      </w:r>
      <w:r>
        <w:t xml:space="preserve"> </w:t>
      </w:r>
      <w:r>
        <w:t xml:space="preserve">signal against schema abuse rather than to raise revenue; and</w:t>
      </w:r>
      <w:r>
        <w:t xml:space="preserve"> </w:t>
      </w:r>
      <w:r>
        <w:rPr>
          <w:iCs/>
          <w:i/>
        </w:rPr>
        <w:t xml:space="preserve">custody fees</w:t>
      </w:r>
      <w:r>
        <w:t xml:space="preserve"> </w:t>
      </w:r>
      <w:r>
        <w:t xml:space="preserve">collected at event time fund the retention endowment of Section 7.3, priced</w:t>
      </w:r>
      <w:r>
        <w:t xml:space="preserve"> </w:t>
      </w:r>
      <w:r>
        <w:t xml:space="preserve">per payload-class per decade of obligation. What the model deliberately</w:t>
      </w:r>
      <w:r>
        <w:t xml:space="preserve"> </w:t>
      </w:r>
      <w:r>
        <w:t xml:space="preserve">avoids: per-verification charges (reads must stay free-to-verify or the</w:t>
      </w:r>
      <w:r>
        <w:t xml:space="preserve"> </w:t>
      </w:r>
      <w:r>
        <w:t xml:space="preserve">system’s whole social value — strangers checking records — is throttled at</w:t>
      </w:r>
      <w:r>
        <w:t xml:space="preserve"> </w:t>
      </w:r>
      <w:r>
        <w:t xml:space="preserve">the toll booth), and any fee denominated in a volatile token (the registrar</w:t>
      </w:r>
      <w:r>
        <w:t xml:space="preserve"> </w:t>
      </w:r>
      <w:r>
        <w:t xml:space="preserve">budgeting enrollment at manufacture needs a price in currency, not a</w:t>
      </w:r>
      <w:r>
        <w:t xml:space="preserve"> </w:t>
      </w:r>
      <w:r>
        <w:t xml:space="preserve">speculation). The sums are small — Table 7.4 will show a large plant’s</w:t>
      </w:r>
      <w:r>
        <w:t xml:space="preserve"> </w:t>
      </w:r>
      <w:r>
        <w:t xml:space="preserve">lifetime total in the hundreds of thousands — but their</w:t>
      </w:r>
      <w:r>
        <w:t xml:space="preserve"> </w:t>
      </w:r>
      <w:r>
        <w:rPr>
          <w:iCs/>
          <w:i/>
        </w:rPr>
        <w:t xml:space="preserve">predictability</w:t>
      </w:r>
      <w:r>
        <w:t xml:space="preserve"> </w:t>
      </w:r>
      <w:r>
        <w:t xml:space="preserve">is</w:t>
      </w:r>
      <w:r>
        <w:t xml:space="preserve"> </w:t>
      </w:r>
      <w:r>
        <w:t xml:space="preserve">what procurement processes actually price, and a fee schedule fixed in the</w:t>
      </w:r>
      <w:r>
        <w:t xml:space="preserve"> </w:t>
      </w:r>
      <w:r>
        <w:t xml:space="preserve">consortium agreement with indexed adjustments is worth more adoption than</w:t>
      </w:r>
      <w:r>
        <w:t xml:space="preserve"> </w:t>
      </w:r>
      <w:r>
        <w:t xml:space="preserve">any throughput benchmark in this chapter.</w:t>
      </w:r>
    </w:p>
    <w:p>
      <w:pPr>
        <w:pStyle w:val="BodyText"/>
      </w:pPr>
      <w:r>
        <w:t xml:space="preserve">Operational requirements per validator, since</w:t>
      </w:r>
      <w:r>
        <w:t xml:space="preserve"> </w:t>
      </w:r>
      <w:r>
        <w:t xml:space="preserve">“</w:t>
      </w:r>
      <w:r>
        <w:t xml:space="preserve">run a node</w:t>
      </w:r>
      <w:r>
        <w:t xml:space="preserve">”</w:t>
      </w:r>
      <w:r>
        <w:t xml:space="preserve"> </w:t>
      </w:r>
      <w:r>
        <w:t xml:space="preserve">hides the real</w:t>
      </w:r>
      <w:r>
        <w:t xml:space="preserve"> </w:t>
      </w:r>
      <w:r>
        <w:t xml:space="preserve">obligations: an HSM-attached server pair across two sites; monitoring with</w:t>
      </w:r>
      <w:r>
        <w:t xml:space="preserve"> </w:t>
      </w:r>
      <w:r>
        <w:t xml:space="preserve">committed response times (the consortium agreement’s validator SLA — the</w:t>
      </w:r>
      <w:r>
        <w:t xml:space="preserve"> </w:t>
      </w:r>
      <w:r>
        <w:t xml:space="preserve">pilot uses four hours for liveness incidents); participation in scheduled</w:t>
      </w:r>
      <w:r>
        <w:t xml:space="preserve"> </w:t>
      </w:r>
      <w:r>
        <w:t xml:space="preserve">key ceremonies, checkpoint attestations, and disaster-recovery exercises</w:t>
      </w:r>
      <w:r>
        <w:t xml:space="preserve"> </w:t>
      </w:r>
      <w:r>
        <w:t xml:space="preserve">(Section 7.7); and procurement continuity — the twenty-year commitment is</w:t>
      </w:r>
      <w:r>
        <w:t xml:space="preserve"> </w:t>
      </w:r>
      <w:r>
        <w:t xml:space="preserve">organizational, and members should budget it as they would a laboratory</w:t>
      </w:r>
      <w:r>
        <w:t xml:space="preserve"> </w:t>
      </w:r>
      <w:r>
        <w:t xml:space="preserve">accreditation, not as a server. Validator diversity has one more axis worth</w:t>
      </w:r>
      <w:r>
        <w:t xml:space="preserve"> </w:t>
      </w:r>
      <w:r>
        <w:t xml:space="preserve">enforcing beyond geography and role:</w:t>
      </w:r>
      <w:r>
        <w:t xml:space="preserve"> </w:t>
      </w:r>
      <w:r>
        <w:rPr>
          <w:iCs/>
          <w:i/>
        </w:rPr>
        <w:t xml:space="preserve">software</w:t>
      </w:r>
      <w:r>
        <w:t xml:space="preserve">. Two independent</w:t>
      </w:r>
      <w:r>
        <w:t xml:space="preserve"> </w:t>
      </w:r>
      <w:r>
        <w:t xml:space="preserve">implementations of the validation logic, maintained against the schema’s</w:t>
      </w:r>
      <w:r>
        <w:t xml:space="preserve"> </w:t>
      </w:r>
      <w:r>
        <w:t xml:space="preserve">conformance suite, mean a defect in one implementation stalls at</w:t>
      </w:r>
      <w:r>
        <w:t xml:space="preserve"> </w:t>
      </w:r>
      <w:r>
        <w:t xml:space="preserve">(n/2) rather than propagating to unanimity — the aviation redundancy</w:t>
      </w:r>
      <w:r>
        <w:t xml:space="preserve"> </w:t>
      </w:r>
      <w:r>
        <w:t xml:space="preserve">argument, applied to consensus code, and cheap at consortium scale because</w:t>
      </w:r>
      <w:r>
        <w:t xml:space="preserve"> </w:t>
      </w:r>
      <w:r>
        <w:t xml:space="preserve">the validation logic is deliberately small (Section 5.5).</w:t>
      </w:r>
    </w:p>
    <w:bookmarkEnd w:id="27"/>
    <w:bookmarkEnd w:id="28"/>
    <w:bookmarkStart w:id="30" w:name="worked-model-a-250-mw-deployment"/>
    <w:p>
      <w:pPr>
        <w:pStyle w:val="Heading2"/>
      </w:pPr>
      <w:r>
        <w:t xml:space="preserve">7.6 Worked Model: A 250 MW Deployment</w:t>
      </w:r>
    </w:p>
    <w:p>
      <w:pPr>
        <w:pStyle w:val="FirstParagraph"/>
      </w:pPr>
      <w:r>
        <w:t xml:space="preserve">The numbers, end to end, for a concrete mid-size case: a 250 MW single-axis</w:t>
      </w:r>
      <w:r>
        <w:t xml:space="preserve"> </w:t>
      </w:r>
      <w:r>
        <w:t xml:space="preserve">tracking plant, ~630,000 modules, 2,000 string inverters, 6,300 trackers,</w:t>
      </w:r>
      <w:r>
        <w:t xml:space="preserve"> </w:t>
      </w:r>
      <w:r>
        <w:t xml:space="preserve">25-year life. Assumptions: envelope ~0.9 kB; batching per Section 7.2 (batch 2,048);</w:t>
      </w:r>
      <w:r>
        <w:t xml:space="preserve"> </w:t>
      </w:r>
      <w:r>
        <w:t xml:space="preserve">Tier 0–1 condition policy of Section 6.7 with 2% annual EL sampling plus</w:t>
      </w:r>
      <w:r>
        <w:t xml:space="preserve"> </w:t>
      </w:r>
      <w:r>
        <w:t xml:space="preserve">event-driven escalations; consortium of 16 validators; anchoring 4×/day to two</w:t>
      </w:r>
      <w:r>
        <w:t xml:space="preserve"> </w:t>
      </w:r>
      <w:r>
        <w:t xml:space="preserve">public chains.</w:t>
      </w:r>
    </w:p>
    <w:p>
      <w:pPr>
        <w:pStyle w:val="BlockText"/>
      </w:pPr>
      <w:r>
        <w:rPr>
          <w:bCs/>
          <w:b/>
        </w:rPr>
        <w:t xml:space="preserve">Assumptions and sensitivity (Table 7.4).</w:t>
      </w:r>
      <w:r>
        <w:br/>
      </w:r>
      <w:r>
        <w:rPr>
          <w:bCs/>
          <w:b/>
        </w:rPr>
        <w:t xml:space="preserve">Fixed inputs:</w:t>
      </w:r>
      <w:r>
        <w:t xml:space="preserve"> </w:t>
      </w:r>
      <w:r>
        <w:t xml:space="preserve">638,300 registered units; 25-year life; envelope ~0.9 kB;</w:t>
      </w:r>
      <w:r>
        <w:t xml:space="preserve"> </w:t>
      </w:r>
      <w:r>
        <w:t xml:space="preserve">batch size 2,048; Tier 0–1 condition policy (2% annual EL sampling plus</w:t>
      </w:r>
      <w:r>
        <w:t xml:space="preserve"> </w:t>
      </w:r>
      <w:r>
        <w:t xml:space="preserve">event-driven escalations); 16 validators; anchoring 4×/day to two public chains;</w:t>
      </w:r>
      <w:r>
        <w:t xml:space="preserve"> </w:t>
      </w:r>
      <w:r>
        <w:t xml:space="preserve">anchoring priced at USD 2/tx (conservative); custody at commodity object-storage</w:t>
      </w:r>
      <w:r>
        <w:t xml:space="preserve"> </w:t>
      </w:r>
      <w:r>
        <w:t xml:space="preserve">rates with 3× replication and 15% annual price decline truncated at year 10.</w:t>
      </w:r>
      <w:r>
        <w:br/>
      </w:r>
      <w:r>
        <w:rPr>
          <w:bCs/>
          <w:b/>
        </w:rPr>
        <w:t xml:space="preserve">Sensitivity (± effect on conclusion):</w:t>
      </w:r>
      <w:r>
        <w:t xml:space="preserve"> </w:t>
      </w:r>
      <w:r>
        <w:t xml:space="preserve">doubling all event frequencies →</w:t>
      </w:r>
      <w:r>
        <w:t xml:space="preserve"> </w:t>
      </w:r>
      <w:r>
        <w:t xml:space="preserve">consensus state ~12 MB (still negligible); post-quantum envelope inflation</w:t>
      </w:r>
      <w:r>
        <w:t xml:space="preserve"> </w:t>
      </w:r>
      <w:r>
        <w:t xml:space="preserve">(Section 9.3) → ~50 MB (still negligible); doubling anchor cadence → ~2×</w:t>
      </w:r>
      <w:r>
        <w:t xml:space="preserve"> </w:t>
      </w:r>
      <w:r>
        <w:t xml:space="preserve">anchoring cost (dominant line item); halving replication factor → ~⅓ custody</w:t>
      </w:r>
      <w:r>
        <w:t xml:space="preserve"> </w:t>
      </w:r>
      <w:r>
        <w:t xml:space="preserve">cost; aggressive Tier-2 sampling → measurement budget rises, ledger budget</w:t>
      </w:r>
      <w:r>
        <w:t xml:space="preserve"> </w:t>
      </w:r>
      <w:r>
        <w:t xml:space="preserve">unchanged.</w:t>
      </w:r>
      <w:r>
        <w:t xml:space="preserve"> </w:t>
      </w:r>
      <w:r>
        <w:rPr>
          <w:bCs/>
          <w:b/>
        </w:rPr>
        <w:t xml:space="preserve">Conclusion stability:</w:t>
      </w:r>
      <w:r>
        <w:t xml:space="preserve"> </w:t>
      </w:r>
      <w:r>
        <w:t xml:space="preserve">totals remain dominated by custody and</w:t>
      </w:r>
      <w:r>
        <w:t xml:space="preserve"> </w:t>
      </w:r>
      <w:r>
        <w:t xml:space="preserve">anchoring under all listed perturbations; ledger capacity is not the binding</w:t>
      </w:r>
      <w:r>
        <w:t xml:space="preserve"> </w:t>
      </w:r>
      <w:r>
        <w:t xml:space="preserve">constraint.</w:t>
      </w:r>
    </w:p>
    <w:p>
      <w:pPr>
        <w:pStyle w:val="FirstParagraph"/>
      </w:pPr>
      <w:r>
        <w:rPr>
          <w:bCs/>
          <w:b/>
        </w:rPr>
        <w:t xml:space="preserve">Table 7.4</w:t>
      </w:r>
      <w:r>
        <w:t xml:space="preserve"> </w:t>
      </w:r>
      <w:r>
        <w:t xml:space="preserve">Lifetime ledger load and cost model, 250 MW plant. Costs in 2026 USD;</w:t>
      </w:r>
      <w:r>
        <w:t xml:space="preserve"> </w:t>
      </w:r>
      <w:r>
        <w:t xml:space="preserve">public-chain anchoring priced conservatively at USD 2 per anchor transaction</w:t>
      </w:r>
      <w:r>
        <w:t xml:space="preserve"> </w:t>
      </w:r>
      <w:r>
        <w:t xml:space="preserve">averaged across fee regimes.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over 25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638,300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~312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+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638,300 × 2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~625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Custody/ownership transfers (2 sales + O&amp;M churn)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~2.0 M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records (sampling + escalations)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~350,000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~2,900 tx (less batchable)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time, not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Maintenance/fault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 M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36,500 anchors × 2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73,000 public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146,000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Off-chain custody (3× replicated)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~40–90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100–250k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 operations (plant’s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30–80k lifetime</w:t>
            </w:r>
          </w:p>
        </w:tc>
      </w:tr>
    </w:tbl>
    <w:p>
      <w:pPr>
        <w:pStyle w:val="BodyText"/>
      </w:pPr>
      <w:r>
        <w:t xml:space="preserve">The model’s assumptions deserve their narrative, since a table invites</w:t>
      </w:r>
      <w:r>
        <w:t xml:space="preserve"> </w:t>
      </w:r>
      <w:r>
        <w:t xml:space="preserve">auditing and this one is meant to be audited. Event counts derive from the</w:t>
      </w:r>
      <w:r>
        <w:t xml:space="preserve"> </w:t>
      </w:r>
      <w:r>
        <w:t xml:space="preserve">lifecycle biography of Table 5.4 scaled to the plant’s population, with the</w:t>
      </w:r>
      <w:r>
        <w:t xml:space="preserve"> </w:t>
      </w:r>
      <w:r>
        <w:t xml:space="preserve">O&amp;M churn calibrated to published O&amp;M practice for tracker plants and two</w:t>
      </w:r>
      <w:r>
        <w:t xml:space="preserve"> </w:t>
      </w:r>
      <w:r>
        <w:t xml:space="preserve">full ownership turnovers assumed (conservative — many plants trade more).</w:t>
      </w:r>
      <w:r>
        <w:t xml:space="preserve"> </w:t>
      </w:r>
      <w:r>
        <w:t xml:space="preserve">Batch counts assume registrar and site agents batching at 2,048 with the</w:t>
      </w:r>
      <w:r>
        <w:t xml:space="preserve"> </w:t>
      </w:r>
      <w:r>
        <w:t xml:space="preserve">event-class exceptions (condition records batch poorly because their</w:t>
      </w:r>
      <w:r>
        <w:t xml:space="preserve"> </w:t>
      </w:r>
      <w:r>
        <w:t xml:space="preserve">submitters are heterogeneous — hence their larger transaction count).</w:t>
      </w:r>
      <w:r>
        <w:t xml:space="preserve"> </w:t>
      </w:r>
      <w:r>
        <w:t xml:space="preserve">Anchoring is priced at a deliberately pessimistic USD 2 per public-chain</w:t>
      </w:r>
      <w:r>
        <w:t xml:space="preserve"> </w:t>
      </w:r>
      <w:r>
        <w:t xml:space="preserve">transaction averaged across two chains and two decades of fee regimes; at</w:t>
      </w:r>
      <w:r>
        <w:t xml:space="preserve"> </w:t>
      </w:r>
      <w:r>
        <w:t xml:space="preserve">recent actual fees the line item falls by an order of magnitude, and if it</w:t>
      </w:r>
      <w:r>
        <w:t xml:space="preserve"> </w:t>
      </w:r>
      <w:r>
        <w:t xml:space="preserve">ever rises past the assumption the anchoring interval is a governance dial.</w:t>
      </w:r>
      <w:r>
        <w:t xml:space="preserve"> </w:t>
      </w:r>
      <w:r>
        <w:t xml:space="preserve">Custody pricing uses commodity object-storage rates with 3× replication,</w:t>
      </w:r>
      <w:r>
        <w:t xml:space="preserve"> </w:t>
      </w:r>
      <w:r>
        <w:t xml:space="preserve">15% annual price decline truncated conservatively at year 10, plus decadal</w:t>
      </w:r>
      <w:r>
        <w:t xml:space="preserve"> </w:t>
      </w:r>
      <w:r>
        <w:t xml:space="preserve">cold-export media refresh. Validator share allocates one-sixteenth of a</w:t>
      </w:r>
      <w:r>
        <w:t xml:space="preserve"> </w:t>
      </w:r>
      <w:r>
        <w:t xml:space="preserve">16-member consortium’s modeled operating cost pro-rata by the plant’s event</w:t>
      </w:r>
      <w:r>
        <w:t xml:space="preserve"> </w:t>
      </w:r>
      <w:r>
        <w:t xml:space="preserve">volume. Nothing in the table depends on any component’s vendor pricing;</w:t>
      </w:r>
      <w:r>
        <w:t xml:space="preserve"> </w:t>
      </w:r>
      <w:r>
        <w:t xml:space="preserve">every line is commodity.</w:t>
      </w:r>
    </w:p>
    <w:p>
      <w:pPr>
        <w:pStyle w:val="BodyText"/>
      </w:pPr>
      <w:r>
        <w:t xml:space="preserve">Sensitivity to the assumptions in the box above: doubling every event frequency</w:t>
      </w:r>
      <w:r>
        <w:t xml:space="preserve"> </w:t>
      </w:r>
      <w:r>
        <w:t xml:space="preserve">still leaves consensus state in the low megabytes; post-quantum envelope inflation</w:t>
      </w:r>
      <w:r>
        <w:t xml:space="preserve"> </w:t>
      </w:r>
      <w:r>
        <w:t xml:space="preserve">(Section 9.3) does not change the conclusion. Cost totals remain dominated by</w:t>
      </w:r>
      <w:r>
        <w:t xml:space="preserve"> </w:t>
      </w:r>
      <w:r>
        <w:t xml:space="preserve">custody and anchoring — both governance dials — not consensus compute.</w:t>
      </w:r>
    </w:p>
    <w:p>
      <w:pPr>
        <w:pStyle w:val="BodyText"/>
      </w:pPr>
      <w:r>
        <w:t xml:space="preserve">Totals worth stating in prose because they are the chapter’s conclusion: the</w:t>
      </w:r>
      <w:r>
        <w:t xml:space="preserve"> </w:t>
      </w:r>
      <w:r>
        <w:t xml:space="preserve">plant’s entire 25-year evidential life fits in</w:t>
      </w:r>
      <w:r>
        <w:t xml:space="preserve"> </w:t>
      </w:r>
      <w:r>
        <w:rPr>
          <w:bCs/>
          <w:b/>
        </w:rPr>
        <w:t xml:space="preserve">under six megabytes of consensus</w:t>
      </w:r>
      <w:r>
        <w:rPr>
          <w:bCs/>
          <w:b/>
        </w:rPr>
        <w:t xml:space="preserve"> </w:t>
      </w:r>
      <w:r>
        <w:rPr>
          <w:bCs/>
          <w:b/>
        </w:rPr>
        <w:t xml:space="preserve">state and roughly USD 300–500 thousand of infrastructure cost, dominated by</w:t>
      </w:r>
      <w:r>
        <w:rPr>
          <w:bCs/>
          <w:b/>
        </w:rPr>
        <w:t xml:space="preserve"> </w:t>
      </w:r>
      <w:r>
        <w:rPr>
          <w:bCs/>
          <w:b/>
        </w:rPr>
        <w:t xml:space="preserve">anchoring and storage, not consensus</w:t>
      </w:r>
      <w:r>
        <w:t xml:space="preserve"> </w:t>
      </w:r>
      <w:r>
        <w:t xml:space="preserve">— against a plant capex on the order of</w:t>
      </w:r>
      <w:r>
        <w:t xml:space="preserve"> </w:t>
      </w:r>
      <w:r>
        <w:t xml:space="preserve">USD 200 million and a single avoided warranty-fraud dispute or one percentage point</w:t>
      </w:r>
      <w:r>
        <w:t xml:space="preserve"> </w:t>
      </w:r>
      <w:r>
        <w:t xml:space="preserve">of resale-price improvement worth millions (Chapter 13 completes that comparison).</w:t>
      </w:r>
      <w:r>
        <w:t xml:space="preserve"> </w:t>
      </w:r>
      <w:r>
        <w:t xml:space="preserve">Per module, the lifetime evidential infrastructure cost is roughly fifty</w:t>
      </w:r>
      <w:r>
        <w:t xml:space="preserve"> </w:t>
      </w:r>
      <w:r>
        <w:t xml:space="preserve">cents — the price of the label it replaces. Ledger capacity is nowhere near</w:t>
      </w:r>
      <w:r>
        <w:t xml:space="preserve"> </w:t>
      </w:r>
      <w:r>
        <w:t xml:space="preserve">the binding constraint. The binding constraints are</w:t>
      </w:r>
      <w:r>
        <w:t xml:space="preserve"> </w:t>
      </w:r>
      <w:r>
        <w:t xml:space="preserve">the ones this Part has been engineering all along: enrollment integrity, oracle</w:t>
      </w:r>
      <w:r>
        <w:t xml:space="preserve"> </w:t>
      </w:r>
      <w:r>
        <w:t xml:space="preserve">trustworthiness, custody longevity, and governance.</w:t>
      </w:r>
    </w:p>
    <w:p>
      <w:pPr>
        <w:pStyle w:val="BodyText"/>
      </w:pPr>
      <w:r>
        <w:t xml:space="preserve">What the model deliberately omits, so nobody discovers the omissions in a</w:t>
      </w:r>
      <w:r>
        <w:t xml:space="preserve"> </w:t>
      </w:r>
      <w:r>
        <w:t xml:space="preserve">budget review: integration engineering (connecting factory MES, work-order,</w:t>
      </w:r>
      <w:r>
        <w:t xml:space="preserve"> </w:t>
      </w:r>
      <w:r>
        <w:t xml:space="preserve">and diligence systems to the event schema — the pilot’s experience prices</w:t>
      </w:r>
      <w:r>
        <w:t xml:space="preserve"> </w:t>
      </w:r>
      <w:r>
        <w:t xml:space="preserve">this at several times the infrastructure line, once, per organization);</w:t>
      </w:r>
      <w:r>
        <w:t xml:space="preserve"> </w:t>
      </w:r>
      <w:r>
        <w:t xml:space="preserve">verification-services labor for the escalation tiers (a per-campaign</w:t>
      </w:r>
      <w:r>
        <w:t xml:space="preserve"> </w:t>
      </w:r>
      <w:r>
        <w:t xml:space="preserve">market price, not an infrastructure cost — Table 6.3’s territory);</w:t>
      </w:r>
      <w:r>
        <w:t xml:space="preserve"> </w:t>
      </w:r>
      <w:r>
        <w:t xml:space="preserve">governance’s human time (committee participation, audits, ceremonies —</w:t>
      </w:r>
      <w:r>
        <w:t xml:space="preserve"> </w:t>
      </w:r>
      <w:r>
        <w:t xml:space="preserve">real, distributed across members, and the reason Section 7.5.1 funds fixed</w:t>
      </w:r>
      <w:r>
        <w:t xml:space="preserve"> </w:t>
      </w:r>
      <w:r>
        <w:t xml:space="preserve">costs by assessment); and the legal setup of the consortium agreement</w:t>
      </w:r>
      <w:r>
        <w:t xml:space="preserve"> </w:t>
      </w:r>
      <w:r>
        <w:t xml:space="preserve">itself, a one-time seven-figure investment at national scale that</w:t>
      </w:r>
      <w:r>
        <w:t xml:space="preserve"> </w:t>
      </w:r>
      <w:r>
        <w:t xml:space="preserve">Chapter 10 treats as the foundation it is. The honest total-cost-of-</w:t>
      </w:r>
      <w:r>
        <w:t xml:space="preserve"> </w:t>
      </w:r>
      <w:r>
        <w:t xml:space="preserve">ownership conversation leads with these, because the infrastructure</w:t>
      </w:r>
      <w:r>
        <w:t xml:space="preserve"> </w:t>
      </w:r>
      <w:r>
        <w:t xml:space="preserve">numbers above are — and this is the chapter’s finding, not its spin —</w:t>
      </w:r>
      <w:r>
        <w:t xml:space="preserve"> </w:t>
      </w:r>
      <w:r>
        <w:t xml:space="preserve">too small to argue about.</w:t>
      </w:r>
    </w:p>
    <w:bookmarkStart w:id="29" w:name="scaling-the-model-to-the-national-tier"/>
    <w:p>
      <w:pPr>
        <w:pStyle w:val="Heading3"/>
      </w:pPr>
      <w:r>
        <w:t xml:space="preserve">7.6.1 Scaling the Model to the National Tier</w:t>
      </w:r>
    </w:p>
    <w:p>
      <w:pPr>
        <w:pStyle w:val="FirstParagraph"/>
      </w:pPr>
      <w:r>
        <w:t xml:space="preserve">The plant model extrapolates linearly to the loads that matter for policy,</w:t>
      </w:r>
      <w:r>
        <w:t xml:space="preserve"> </w:t>
      </w:r>
      <w:r>
        <w:t xml:space="preserve">with two sub-linearities in the deployment’s favor. A 50 GW national fleet —</w:t>
      </w:r>
      <w:r>
        <w:t xml:space="preserve"> </w:t>
      </w:r>
      <w:r>
        <w:t xml:space="preserve">two hundred such plants plus a distributed rooftop segment contributing</w:t>
      </w:r>
      <w:r>
        <w:t xml:space="preserve"> </w:t>
      </w:r>
      <w:r>
        <w:t xml:space="preserve">event volume out of proportion to its capacity (more custody transitions,</w:t>
      </w:r>
      <w:r>
        <w:t xml:space="preserve"> </w:t>
      </w:r>
      <w:r>
        <w:t xml:space="preserve">more heterogeneous submitters) — generates consensus state in the low</w:t>
      </w:r>
      <w:r>
        <w:t xml:space="preserve"> </w:t>
      </w:r>
      <w:r>
        <w:t xml:space="preserve">terabytes over 25 years and consortium-wide operating costs in the low tens</w:t>
      </w:r>
      <w:r>
        <w:t xml:space="preserve"> </w:t>
      </w:r>
      <w:r>
        <w:t xml:space="preserve">of millions of dollars cumulatively: pennies per megawatt-hour of the</w:t>
      </w:r>
      <w:r>
        <w:t xml:space="preserve"> </w:t>
      </w:r>
      <w:r>
        <w:t xml:space="preserve">energy the fleet produces over the period, which is the denominator that</w:t>
      </w:r>
      <w:r>
        <w:t xml:space="preserve"> </w:t>
      </w:r>
      <w:r>
        <w:t xml:space="preserve">regulators pricing passport mandates should be shown. The first</w:t>
      </w:r>
      <w:r>
        <w:t xml:space="preserve"> </w:t>
      </w:r>
      <w:r>
        <w:t xml:space="preserve">sub-linearity is institutional: validator count, governance, and audit</w:t>
      </w:r>
      <w:r>
        <w:t xml:space="preserve"> </w:t>
      </w:r>
      <w:r>
        <w:t xml:space="preserve">machinery do not scale with fleet size — the 16-member committee that</w:t>
      </w:r>
      <w:r>
        <w:t xml:space="preserve"> </w:t>
      </w:r>
      <w:r>
        <w:t xml:space="preserve">serves one plant serves the nation, so the fixed tier amortizes toward</w:t>
      </w:r>
      <w:r>
        <w:t xml:space="preserve"> </w:t>
      </w:r>
      <w:r>
        <w:t xml:space="preserve">irrelevance as coverage grows. The second is informational: cohort</w:t>
      </w:r>
      <w:r>
        <w:t xml:space="preserve"> </w:t>
      </w:r>
      <w:r>
        <w:t xml:space="preserve">analytics (Section 5.7, Chapter 8’s D4)</w:t>
      </w:r>
      <w:r>
        <w:t xml:space="preserve"> </w:t>
      </w:r>
      <w:r>
        <w:rPr>
          <w:iCs/>
          <w:i/>
        </w:rPr>
        <w:t xml:space="preserve">improve</w:t>
      </w:r>
      <w:r>
        <w:t xml:space="preserve"> </w:t>
      </w:r>
      <w:r>
        <w:t xml:space="preserve">super-linearly with</w:t>
      </w:r>
      <w:r>
        <w:t xml:space="preserve"> </w:t>
      </w:r>
      <w:r>
        <w:t xml:space="preserve">population, because every additional enrolled cohort sharpens every other</w:t>
      </w:r>
      <w:r>
        <w:t xml:space="preserve"> </w:t>
      </w:r>
      <w:r>
        <w:t xml:space="preserve">cohort’s baselines — the rare infrastructure whose quality rises with its</w:t>
      </w:r>
      <w:r>
        <w:t xml:space="preserve"> </w:t>
      </w:r>
      <w:r>
        <w:t xml:space="preserve">load. Against these stand the costs that do scale linearly and honestly:</w:t>
      </w:r>
      <w:r>
        <w:t xml:space="preserve"> </w:t>
      </w:r>
      <w:r>
        <w:t xml:space="preserve">custody, anchoring at fixed cadence per federated ledger, and the</w:t>
      </w:r>
      <w:r>
        <w:t xml:space="preserve"> </w:t>
      </w:r>
      <w:r>
        <w:t xml:space="preserve">verification-services labor of the escalation tiers, all priced per event</w:t>
      </w:r>
      <w:r>
        <w:t xml:space="preserve"> </w:t>
      </w:r>
      <w:r>
        <w:t xml:space="preserve">or per campaign in ways Table 7.4’s method extends without surprises.</w:t>
      </w:r>
      <w:r>
        <w:t xml:space="preserve"> </w:t>
      </w:r>
      <w:r>
        <w:t xml:space="preserve">National-scale planning, in short, can take this chapter’s numbers, multiply</w:t>
      </w:r>
      <w:r>
        <w:t xml:space="preserve"> </w:t>
      </w:r>
      <w:r>
        <w:t xml:space="preserve">by fleet ratios, and spend its genuine attention on the institutional</w:t>
      </w:r>
      <w:r>
        <w:t xml:space="preserve"> </w:t>
      </w:r>
      <w:r>
        <w:t xml:space="preserve">constitution — which is where Chapter 10 will be waiting.</w:t>
      </w:r>
    </w:p>
    <w:p>
      <w:pPr>
        <w:pStyle w:val="BodyText"/>
      </w:pPr>
      <w:r>
        <w:t xml:space="preserve">Platform notes, kept to the one paragraph the topic deserves: the model’s</w:t>
      </w:r>
      <w:r>
        <w:t xml:space="preserve"> </w:t>
      </w:r>
      <w:r>
        <w:t xml:space="preserve">numbers were computed against a Fabric-family consortium stack and</w:t>
      </w:r>
      <w:r>
        <w:t xml:space="preserve"> </w:t>
      </w:r>
      <w:r>
        <w:t xml:space="preserve">cross-checked against a BFT-configured Ethereum-client permissioned</w:t>
      </w:r>
      <w:r>
        <w:t xml:space="preserve"> </w:t>
      </w:r>
      <w:r>
        <w:t xml:space="preserve">deployment; the differences at these loads are operational preferences, not</w:t>
      </w:r>
      <w:r>
        <w:t xml:space="preserve"> </w:t>
      </w:r>
      <w:r>
        <w:t xml:space="preserve">capacity distinctions, and both fit inside the margins already stated. The</w:t>
      </w:r>
      <w:r>
        <w:t xml:space="preserve"> </w:t>
      </w:r>
      <w:r>
        <w:t xml:space="preserve">one platform property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load-bearing is exportability — the</w:t>
      </w:r>
      <w:r>
        <w:t xml:space="preserve"> </w:t>
      </w:r>
      <w:r>
        <w:t xml:space="preserve">schema-registry and record-bundle independence of Sections 5.8 and 3.5 —</w:t>
      </w:r>
      <w:r>
        <w:t xml:space="preserve"> </w:t>
      </w:r>
      <w:r>
        <w:t xml:space="preserve">because the model’s 25-year horizon exceeds any current platform’s</w:t>
      </w:r>
      <w:r>
        <w:t xml:space="preserve"> </w:t>
      </w:r>
      <w:r>
        <w:t xml:space="preserve">credible support commitment, and a consortium that cannot re-platform is</w:t>
      </w:r>
      <w:r>
        <w:t xml:space="preserve"> </w:t>
      </w:r>
      <w:r>
        <w:t xml:space="preserve">betting its evidence on a vendor’s roadmap.</w:t>
      </w:r>
    </w:p>
    <w:bookmarkEnd w:id="29"/>
    <w:bookmarkEnd w:id="30"/>
    <w:bookmarkStart w:id="31" w:name="X261be0b76c4c833e15d6a3e1abfa824d2f66ff0"/>
    <w:p>
      <w:pPr>
        <w:pStyle w:val="Heading2"/>
      </w:pPr>
      <w:r>
        <w:t xml:space="preserve">7.7 Availability, Disaster Recovery, and Degraded Operation</w:t>
      </w:r>
    </w:p>
    <w:p>
      <w:pPr>
        <w:pStyle w:val="FirstParagraph"/>
      </w:pPr>
      <w:r>
        <w:t xml:space="preserve">Scalability’s neglected sibling is availability under stress, and a system</w:t>
      </w:r>
      <w:r>
        <w:t xml:space="preserve"> </w:t>
      </w:r>
      <w:r>
        <w:t xml:space="preserve">serving loading docks and closing rooms owes explicit answers to three</w:t>
      </w:r>
      <w:r>
        <w:t xml:space="preserve"> </w:t>
      </w:r>
      <w:r>
        <w:t xml:space="preserve">questions — answers that belong in this chapter because they are, at</w:t>
      </w:r>
      <w:r>
        <w:t xml:space="preserve"> </w:t>
      </w:r>
      <w:r>
        <w:t xml:space="preserve">bottom, capacity questions about the worst day rather than the average one.</w:t>
      </w:r>
    </w:p>
    <w:p>
      <w:pPr>
        <w:pStyle w:val="BodyText"/>
      </w:pPr>
      <w:r>
        <w:rPr>
          <w:bCs/>
          <w:b/>
        </w:rPr>
        <w:t xml:space="preserve">What happens when the write path stalls?</w:t>
      </w:r>
      <w:r>
        <w:t xml:space="preserve"> </w:t>
      </w:r>
      <w:r>
        <w:t xml:space="preserve">BFT consensus stalls — safely,</w:t>
      </w:r>
      <w:r>
        <w:t xml:space="preserve"> </w:t>
      </w:r>
      <w:r>
        <w:t xml:space="preserve">never inconsistently — if more than (f) validators are simultaneously</w:t>
      </w:r>
      <w:r>
        <w:t xml:space="preserve"> </w:t>
      </w:r>
      <w:r>
        <w:t xml:space="preserve">unreachable: a correlated cloud outage, a coordinated cyber incident, a</w:t>
      </w:r>
      <w:r>
        <w:t xml:space="preserve"> </w:t>
      </w:r>
      <w:r>
        <w:t xml:space="preserve">regional war. The design answer is layered. Validator diversity</w:t>
      </w:r>
      <w:r>
        <w:t xml:space="preserve"> </w:t>
      </w:r>
      <w:r>
        <w:t xml:space="preserve">(geographic, jurisdictional, software, hosting) makes correlated loss of</w:t>
      </w:r>
      <w:r>
        <w:t xml:space="preserve"> </w:t>
      </w:r>
      <w:r>
        <w:t xml:space="preserve">(f+1) members a genuinely extreme event; the offline-first schema</w:t>
      </w:r>
      <w:r>
        <w:t xml:space="preserve"> </w:t>
      </w:r>
      <w:r>
        <w:t xml:space="preserve">(Principle 5, Section 5.1) means field operations continue unimpeded through</w:t>
      </w:r>
      <w:r>
        <w:t xml:space="preserve"> </w:t>
      </w:r>
      <w:r>
        <w:t xml:space="preserve">any stall, signing events locally for later submission — a stalled ledger</w:t>
      </w:r>
      <w:r>
        <w:t xml:space="preserve"> </w:t>
      </w:r>
      <w:r>
        <w:t xml:space="preserve">delays</w:t>
      </w:r>
      <w:r>
        <w:t xml:space="preserve"> </w:t>
      </w:r>
      <w:r>
        <w:rPr>
          <w:iCs/>
          <w:i/>
        </w:rPr>
        <w:t xml:space="preserve">recording</w:t>
      </w:r>
      <w:r>
        <w:t xml:space="preserve">, never</w:t>
      </w:r>
      <w:r>
        <w:t xml:space="preserve"> </w:t>
      </w:r>
      <w:r>
        <w:rPr>
          <w:iCs/>
          <w:i/>
        </w:rPr>
        <w:t xml:space="preserve">work</w:t>
      </w:r>
      <w:r>
        <w:t xml:space="preserve"> </w:t>
      </w:r>
      <w:r>
        <w:t xml:space="preserve">— and the submission windows absorb stalls</w:t>
      </w:r>
      <w:r>
        <w:t xml:space="preserve"> </w:t>
      </w:r>
      <w:r>
        <w:t xml:space="preserve">of days without any procedural exception. The one flow that genuinely waits</w:t>
      </w:r>
      <w:r>
        <w:t xml:space="preserve"> </w:t>
      </w:r>
      <w:r>
        <w:t xml:space="preserve">is the high-value closing (an acquisition wants its transfer final), and</w:t>
      </w:r>
      <w:r>
        <w:t xml:space="preserve"> </w:t>
      </w:r>
      <w:r>
        <w:t xml:space="preserve">closings tolerate scheduling around incidents the way they already tolerate</w:t>
      </w:r>
      <w:r>
        <w:t xml:space="preserve"> </w:t>
      </w:r>
      <w:r>
        <w:t xml:space="preserve">banking outages.</w:t>
      </w:r>
    </w:p>
    <w:p>
      <w:pPr>
        <w:pStyle w:val="BodyText"/>
      </w:pPr>
      <w:r>
        <w:rPr>
          <w:bCs/>
          <w:b/>
        </w:rPr>
        <w:t xml:space="preserve">What happens when a validator — or several — must be rebuilt?</w:t>
      </w:r>
      <w:r>
        <w:t xml:space="preserve"> </w:t>
      </w:r>
      <w:r>
        <w:t xml:space="preserve">The</w:t>
      </w:r>
      <w:r>
        <w:t xml:space="preserve"> </w:t>
      </w:r>
      <w:r>
        <w:t xml:space="preserve">Section 4.7 ransomware walkthrough covered one; the systemic version is a</w:t>
      </w:r>
      <w:r>
        <w:t xml:space="preserve"> </w:t>
      </w:r>
      <w:r>
        <w:t xml:space="preserve">consortium-wide rebuild after a common-mode compromise (a signed malicious</w:t>
      </w:r>
      <w:r>
        <w:t xml:space="preserve"> </w:t>
      </w:r>
      <w:r>
        <w:t xml:space="preserve">update to one implementation — bounded by software diversity to half the</w:t>
      </w:r>
      <w:r>
        <w:t xml:space="preserve"> </w:t>
      </w:r>
      <w:r>
        <w:t xml:space="preserve">committee). Recovery procedure: halt, audit the last anchored checkpoint</w:t>
      </w:r>
      <w:r>
        <w:t xml:space="preserve"> </w:t>
      </w:r>
      <w:r>
        <w:t xml:space="preserve">against public chains, rebuild from checkpoint on clean infrastructure,</w:t>
      </w:r>
      <w:r>
        <w:t xml:space="preserve"> </w:t>
      </w:r>
      <w:r>
        <w:t xml:space="preserve">re-attest every validator’s keys through the ceremony machinery, and resume</w:t>
      </w:r>
      <w:r>
        <w:t xml:space="preserve"> </w:t>
      </w:r>
      <w:r>
        <w:t xml:space="preserve">— with the anchors serving as the incorruptible reference for what the</w:t>
      </w:r>
      <w:r>
        <w:t xml:space="preserve"> </w:t>
      </w:r>
      <w:r>
        <w:t xml:space="preserve">ledger contained. The procedure is rehearsed annually as a consortium</w:t>
      </w:r>
      <w:r>
        <w:t xml:space="preserve"> </w:t>
      </w:r>
      <w:r>
        <w:t xml:space="preserve">exercise, because a disaster-recovery plan that has never run is</w:t>
      </w:r>
      <w:r>
        <w:t xml:space="preserve"> </w:t>
      </w:r>
      <w:r>
        <w:t xml:space="preserve">documentation, not capability. The exercises carry metrics with teeth —</w:t>
      </w:r>
      <w:r>
        <w:t xml:space="preserve"> </w:t>
      </w:r>
      <w:r>
        <w:t xml:space="preserve">time-to-checkpoint-verification, time-to-quorum-restoration, custody</w:t>
      </w:r>
      <w:r>
        <w:t xml:space="preserve"> </w:t>
      </w:r>
      <w:r>
        <w:t xml:space="preserve">re-replication throughput — reported to the governance committee and, in</w:t>
      </w:r>
      <w:r>
        <w:t xml:space="preserve"> </w:t>
      </w:r>
      <w:r>
        <w:t xml:space="preserve">aggregate, in the consortium’s public transparency report, because a system</w:t>
      </w:r>
      <w:r>
        <w:t xml:space="preserve"> </w:t>
      </w:r>
      <w:r>
        <w:t xml:space="preserve">selling verifiability should verify itself where its users can see. The</w:t>
      </w:r>
      <w:r>
        <w:t xml:space="preserve"> </w:t>
      </w:r>
      <w:r>
        <w:t xml:space="preserve">pilot’s first full exercise (year one, Section 11.6’s governance calendar)</w:t>
      </w:r>
      <w:r>
        <w:t xml:space="preserve"> </w:t>
      </w:r>
      <w:r>
        <w:t xml:space="preserve">took three times its target and produced four procedure amendments, which is</w:t>
      </w:r>
      <w:r>
        <w:t xml:space="preserve"> </w:t>
      </w:r>
      <w:r>
        <w:t xml:space="preserve">what first exercises are for.</w:t>
      </w:r>
    </w:p>
    <w:p>
      <w:pPr>
        <w:pStyle w:val="BodyText"/>
      </w:pPr>
      <w:r>
        <w:rPr>
          <w:bCs/>
          <w:b/>
        </w:rPr>
        <w:t xml:space="preserve">What must survive the consortium itself?</w:t>
      </w:r>
      <w:r>
        <w:t xml:space="preserve"> </w:t>
      </w:r>
      <w:r>
        <w:t xml:space="preserve">The terminal scenario —</w:t>
      </w:r>
      <w:r>
        <w:t xml:space="preserve"> </w:t>
      </w:r>
      <w:r>
        <w:t xml:space="preserve">governance collapse, funding failure, regulatory dissolution — is the one a</w:t>
      </w:r>
      <w:r>
        <w:t xml:space="preserve"> </w:t>
      </w:r>
      <w:r>
        <w:t xml:space="preserve">thirty-year system must plan for in writing, and the one that industry</w:t>
      </w:r>
      <w:r>
        <w:t xml:space="preserve"> </w:t>
      </w:r>
      <w:r>
        <w:t xml:space="preserve">consortia, whose median lifetime is far shorter than a module warranty,</w:t>
      </w:r>
      <w:r>
        <w:t xml:space="preserve"> </w:t>
      </w:r>
      <w:r>
        <w:t xml:space="preserve">historically plan for least. The sector has watched trade associations</w:t>
      </w:r>
      <w:r>
        <w:t xml:space="preserve"> </w:t>
      </w:r>
      <w:r>
        <w:t xml:space="preserve">dissolve, standards bodies merge away, and joint ventures unwind; none of</w:t>
      </w:r>
      <w:r>
        <w:t xml:space="preserve"> </w:t>
      </w:r>
      <w:r>
        <w:t xml:space="preserve">those precedents destroyed evidence, because none held any. This one will,</w:t>
      </w:r>
      <w:r>
        <w:t xml:space="preserve"> </w:t>
      </w:r>
      <w:r>
        <w:t xml:space="preserve">unless the dissolution path is engineered. The survival kit is already</w:t>
      </w:r>
      <w:r>
        <w:t xml:space="preserve"> </w:t>
      </w:r>
      <w:r>
        <w:t xml:space="preserve">built: public headers and anchors (world-readable forever), payload custody</w:t>
      </w:r>
      <w:r>
        <w:t xml:space="preserve"> </w:t>
      </w:r>
      <w:r>
        <w:t xml:space="preserve">under contracts that survive the consortium’s dissolution (archival</w:t>
      </w:r>
      <w:r>
        <w:t xml:space="preserve"> </w:t>
      </w:r>
      <w:r>
        <w:t xml:space="preserve">custodians’ obligations run to the</w:t>
      </w:r>
      <w:r>
        <w:t xml:space="preserve"> </w:t>
      </w:r>
      <w:r>
        <w:rPr>
          <w:iCs/>
          <w:i/>
        </w:rPr>
        <w:t xml:space="preserve">data subjects</w:t>
      </w:r>
      <w:r>
        <w:t xml:space="preserve">, not to the consortium),</w:t>
      </w:r>
      <w:r>
        <w:t xml:space="preserve"> </w:t>
      </w:r>
      <w:r>
        <w:t xml:space="preserve">the schema registry archived as payloads, and the record-bundle portability</w:t>
      </w:r>
      <w:r>
        <w:t xml:space="preserve"> </w:t>
      </w:r>
      <w:r>
        <w:t xml:space="preserve">of Section 3.5 meaning every asset’s evidence can be exported, held, and</w:t>
      </w:r>
      <w:r>
        <w:t xml:space="preserve"> </w:t>
      </w:r>
      <w:r>
        <w:t xml:space="preserve">verified by anyone against public anchors with no consortium in existence.</w:t>
      </w:r>
      <w:r>
        <w:t xml:space="preserve"> </w:t>
      </w:r>
      <w:r>
        <w:t xml:space="preserve">A successor consortium — or a regulator, or a court — can re-constitute</w:t>
      </w:r>
      <w:r>
        <w:t xml:space="preserve"> </w:t>
      </w:r>
      <w:r>
        <w:t xml:space="preserve">service from these materials. The records, in short, are designed to be</w:t>
      </w:r>
      <w:r>
        <w:t xml:space="preserve"> </w:t>
      </w:r>
      <w:r>
        <w:t xml:space="preserve">orphan-proof; the institutions are replaceable; and stating this in the</w:t>
      </w:r>
      <w:r>
        <w:t xml:space="preserve"> </w:t>
      </w:r>
      <w:r>
        <w:t xml:space="preserve">consortium agreement’s dissolution clause converts it from hope into</w:t>
      </w:r>
      <w:r>
        <w:t xml:space="preserve"> </w:t>
      </w:r>
      <w:r>
        <w:t xml:space="preserve">obligation.</w:t>
      </w:r>
    </w:p>
    <w:bookmarkEnd w:id="31"/>
    <w:bookmarkStart w:id="32" w:name="chapter-summary"/>
    <w:p>
      <w:pPr>
        <w:pStyle w:val="Heading2"/>
      </w:pPr>
      <w:r>
        <w:t xml:space="preserve">7.8 Chapter Summary</w:t>
      </w:r>
    </w:p>
    <w:p>
      <w:pPr>
        <w:pStyle w:val="FirstParagraph"/>
      </w:pPr>
      <w:r>
        <w:t xml:space="preserve">Asset-identity workloads invert the assumptions of payment-scaling literature —</w:t>
      </w:r>
      <w:r>
        <w:t xml:space="preserve"> </w:t>
      </w:r>
      <w:r>
        <w:t xml:space="preserve">Table 7.2 tabulates the inversion once and for all: averages are trivially</w:t>
      </w:r>
      <w:r>
        <w:t xml:space="preserve"> </w:t>
      </w:r>
      <w:r>
        <w:t xml:space="preserve">low, bursts are ferocious and correlated with scrutiny, state grows</w:t>
      </w:r>
      <w:r>
        <w:t xml:space="preserve"> </w:t>
      </w:r>
      <w:r>
        <w:t xml:space="preserve">monotonically for decades with no operationally dead record, reads dwarf</w:t>
      </w:r>
      <w:r>
        <w:t xml:space="preserve"> </w:t>
      </w:r>
      <w:r>
        <w:t xml:space="preserve">writes and grow with adoption, and finality must be deterministic rather than</w:t>
      </w:r>
      <w:r>
        <w:t xml:space="preserve"> </w:t>
      </w:r>
      <w:r>
        <w:t xml:space="preserve">fast because the latency constraint is a truck’s dwell time and the finality</w:t>
      </w:r>
      <w:r>
        <w:t xml:space="preserve"> </w:t>
      </w:r>
      <w:r>
        <w:t xml:space="preserve">constraint is a court’s patience.</w:t>
      </w:r>
      <w:r>
        <w:t xml:space="preserve"> </w:t>
      </w:r>
      <w:r>
        <w:t xml:space="preserve">Merkle batching absorbs the bursts while preserving per-unit provability, with</w:t>
      </w:r>
      <w:r>
        <w:t xml:space="preserve"> </w:t>
      </w:r>
      <w:r>
        <w:t xml:space="preserve">proofs that travel with the asset and burst archetypes — the production line,</w:t>
      </w:r>
      <w:r>
        <w:t xml:space="preserve"> </w:t>
      </w:r>
      <w:r>
        <w:t xml:space="preserve">the catastrophe season, the closing day — each landing its stress on a tier</w:t>
      </w:r>
      <w:r>
        <w:t xml:space="preserve"> </w:t>
      </w:r>
      <w:r>
        <w:t xml:space="preserve">built to be elastic; epochal</w:t>
      </w:r>
      <w:r>
        <w:t xml:space="preserve"> </w:t>
      </w:r>
      <w:r>
        <w:t xml:space="preserve">checkpoints and proof-serving read replicas tame state and read load without adding</w:t>
      </w:r>
      <w:r>
        <w:t xml:space="preserve"> </w:t>
      </w:r>
      <w:r>
        <w:t xml:space="preserve">trust, provided clients are never allowed to skip proof-checking; sharding is</w:t>
      </w:r>
      <w:r>
        <w:t xml:space="preserve"> </w:t>
      </w:r>
      <w:r>
        <w:t xml:space="preserve">rejected in favor of jurisdictional federation (the topology scalability,</w:t>
      </w:r>
      <w:r>
        <w:t xml:space="preserve"> </w:t>
      </w:r>
      <w:r>
        <w:t xml:space="preserve">data residency, and interoperability independently select), sidechains</w:t>
      </w:r>
      <w:r>
        <w:t xml:space="preserve"> </w:t>
      </w:r>
      <w:r>
        <w:t xml:space="preserve">admitted for load but never evidence, optimistic rollups rejected on</w:t>
      </w:r>
      <w:r>
        <w:t xml:space="preserve"> </w:t>
      </w:r>
      <w:r>
        <w:t xml:space="preserve">finality grounds, and validity rollups adopted as a</w:t>
      </w:r>
      <w:r>
        <w:t xml:space="preserve"> </w:t>
      </w:r>
      <w:r>
        <w:t xml:space="preserve">schema-level readiness rather than a day-one dependency — hash-based</w:t>
      </w:r>
      <w:r>
        <w:t xml:space="preserve"> </w:t>
      </w:r>
      <w:r>
        <w:t xml:space="preserve">constructions only, per Chapter 9’s assumptions. A 16-validator BFT</w:t>
      </w:r>
      <w:r>
        <w:t xml:space="preserve"> </w:t>
      </w:r>
      <w:r>
        <w:t xml:space="preserve">committee, sized institutionally rather than computationally, funded by a</w:t>
      </w:r>
      <w:r>
        <w:t xml:space="preserve"> </w:t>
      </w:r>
      <w:r>
        <w:t xml:space="preserve">fee model whose virtue is predictability rather than revenue, and drilled</w:t>
      </w:r>
      <w:r>
        <w:t xml:space="preserve"> </w:t>
      </w:r>
      <w:r>
        <w:t xml:space="preserve">annually against the disaster scenarios of Section 7.7, carries a 250 MW</w:t>
      </w:r>
      <w:r>
        <w:t xml:space="preserve"> </w:t>
      </w:r>
      <w:r>
        <w:t xml:space="preserve">plant’s quarter-century of evidence in megabytes and at costs three orders of</w:t>
      </w:r>
      <w:r>
        <w:t xml:space="preserve"> </w:t>
      </w:r>
      <w:r>
        <w:t xml:space="preserve">magnitude below the values at risk — roughly fifty cents per module,</w:t>
      </w:r>
      <w:r>
        <w:t xml:space="preserve"> </w:t>
      </w:r>
      <w:r>
        <w:t xml:space="preserve">lifetime, the price of the label it replaces — and the national</w:t>
      </w:r>
      <w:r>
        <w:t xml:space="preserve"> </w:t>
      </w:r>
      <w:r>
        <w:t xml:space="preserve">extrapolation amortizes the fixed tier toward irrelevance while the</w:t>
      </w:r>
      <w:r>
        <w:t xml:space="preserve"> </w:t>
      </w:r>
      <w:r>
        <w:t xml:space="preserve">analytics actually improve with load. Scale, in short, is not where this</w:t>
      </w:r>
      <w:r>
        <w:t xml:space="preserve"> </w:t>
      </w:r>
      <w:r>
        <w:t xml:space="preserve">architecture can fail. Where it can fail is trust — and that is Part III.</w:t>
      </w:r>
    </w:p>
    <w:bookmarkEnd w:id="32"/>
    <w:bookmarkStart w:id="33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2"/>
        </w:numPr>
        <w:pStyle w:val="Compact"/>
      </w:pPr>
      <w:r>
        <w:t xml:space="preserve">Croman, K., et al. </w:t>
      </w:r>
      <w:r>
        <w:t xml:space="preserve">“</w:t>
      </w:r>
      <w:r>
        <w:t xml:space="preserve">On Scaling Decentralized Blockchains.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Financial</w:t>
      </w:r>
      <w:r>
        <w:rPr>
          <w:iCs/>
          <w:i/>
        </w:rPr>
        <w:t xml:space="preserve"> </w:t>
      </w:r>
      <w:r>
        <w:rPr>
          <w:iCs/>
          <w:i/>
        </w:rPr>
        <w:t xml:space="preserve">Cryptography and Data Security (FC 2016) Workshops</w:t>
      </w:r>
      <w:r>
        <w:t xml:space="preserve">, 106–125. Springer, 2016.</w:t>
      </w:r>
    </w:p>
    <w:p>
      <w:pPr>
        <w:numPr>
          <w:ilvl w:val="0"/>
          <w:numId w:val="1002"/>
        </w:numPr>
        <w:pStyle w:val="Compact"/>
      </w:pPr>
      <w:r>
        <w:t xml:space="preserve">Yin, M., D. Malkhi, M. K. Reiter, G. Golan-Gueta, and I. Abraham.</w:t>
      </w:r>
      <w:r>
        <w:t xml:space="preserve"> </w:t>
      </w:r>
      <w:r>
        <w:t xml:space="preserve">“</w:t>
      </w:r>
      <w:r>
        <w:t xml:space="preserve">HotStuff:</w:t>
      </w:r>
      <w:r>
        <w:t xml:space="preserve"> </w:t>
      </w:r>
      <w:r>
        <w:t xml:space="preserve">BFT Consensus with Linearity and Responsiveness.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2019</w:t>
      </w:r>
      <w:r>
        <w:rPr>
          <w:iCs/>
          <w:i/>
        </w:rPr>
        <w:t xml:space="preserve"> </w:t>
      </w:r>
      <w:r>
        <w:rPr>
          <w:iCs/>
          <w:i/>
        </w:rPr>
        <w:t xml:space="preserve">ACM Symposium on Principles of Distributed Computing (PODC ’19)</w:t>
      </w:r>
      <w:r>
        <w:t xml:space="preserve">, 347–356.</w:t>
      </w:r>
    </w:p>
    <w:p>
      <w:pPr>
        <w:numPr>
          <w:ilvl w:val="0"/>
          <w:numId w:val="1002"/>
        </w:numPr>
        <w:pStyle w:val="Compact"/>
      </w:pPr>
      <w:r>
        <w:t xml:space="preserve">Wang, G., Z. J. Shi, M. Nixon, and S. Han.</w:t>
      </w:r>
      <w:r>
        <w:t xml:space="preserve"> </w:t>
      </w:r>
      <w:r>
        <w:t xml:space="preserve">“</w:t>
      </w:r>
      <w:r>
        <w:t xml:space="preserve">SoK: Sharding on Blockchain.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1st ACM Conference on Advances in Financial Technologies</w:t>
      </w:r>
      <w:r>
        <w:rPr>
          <w:iCs/>
          <w:i/>
        </w:rPr>
        <w:t xml:space="preserve"> </w:t>
      </w:r>
      <w:r>
        <w:rPr>
          <w:iCs/>
          <w:i/>
        </w:rPr>
        <w:t xml:space="preserve">(AFT ’19)</w:t>
      </w:r>
      <w:r>
        <w:t xml:space="preserve">, 41–61.</w:t>
      </w:r>
    </w:p>
    <w:p>
      <w:pPr>
        <w:numPr>
          <w:ilvl w:val="0"/>
          <w:numId w:val="1002"/>
        </w:numPr>
        <w:pStyle w:val="Compact"/>
      </w:pPr>
      <w:r>
        <w:t xml:space="preserve">Back, A., et al. </w:t>
      </w:r>
      <w:r>
        <w:t xml:space="preserve">“</w:t>
      </w:r>
      <w:r>
        <w:t xml:space="preserve">Enabling Blockchain Innovations with Pegged Sidechains.</w:t>
      </w:r>
      <w:r>
        <w:t xml:space="preserve">”</w:t>
      </w:r>
      <w:r>
        <w:t xml:space="preserve"> </w:t>
      </w:r>
      <w:r>
        <w:t xml:space="preserve">White paper, Blockstream, 2014.</w:t>
      </w:r>
    </w:p>
    <w:p>
      <w:pPr>
        <w:numPr>
          <w:ilvl w:val="0"/>
          <w:numId w:val="1002"/>
        </w:numPr>
        <w:pStyle w:val="Compact"/>
      </w:pPr>
      <w:r>
        <w:t xml:space="preserve">Ben-Sasson, E., I. Bentov, Y. Horesh, and M. Riabzev.</w:t>
      </w:r>
      <w:r>
        <w:t xml:space="preserve"> </w:t>
      </w:r>
      <w:r>
        <w:t xml:space="preserve">“</w:t>
      </w:r>
      <w:r>
        <w:t xml:space="preserve">Scalable, Transparent,</w:t>
      </w:r>
      <w:r>
        <w:t xml:space="preserve"> </w:t>
      </w:r>
      <w:r>
        <w:t xml:space="preserve">and Post-Quantum Secure Computational Integrity.</w:t>
      </w:r>
      <w:r>
        <w:t xml:space="preserve">”</w:t>
      </w:r>
      <w:r>
        <w:t xml:space="preserve"> </w:t>
      </w:r>
      <w:r>
        <w:t xml:space="preserve">IACR Cryptology ePrint</w:t>
      </w:r>
      <w:r>
        <w:t xml:space="preserve"> </w:t>
      </w:r>
      <w:r>
        <w:t xml:space="preserve">Archive, Report 2018/046.</w:t>
      </w:r>
    </w:p>
    <w:p>
      <w:pPr>
        <w:numPr>
          <w:ilvl w:val="0"/>
          <w:numId w:val="1002"/>
        </w:numPr>
        <w:pStyle w:val="Compact"/>
      </w:pPr>
      <w:r>
        <w:t xml:space="preserve">Thibault, L. T., T. Sarry, and A. S. Hafid.</w:t>
      </w:r>
      <w:r>
        <w:t xml:space="preserve"> </w:t>
      </w:r>
      <w:r>
        <w:t xml:space="preserve">“</w:t>
      </w:r>
      <w:r>
        <w:t xml:space="preserve">Blockchain Scaling Using Rollups:</w:t>
      </w:r>
      <w:r>
        <w:t xml:space="preserve"> </w:t>
      </w:r>
      <w:r>
        <w:t xml:space="preserve">A Comprehensive Survey.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 </w:t>
      </w:r>
      <w:r>
        <w:t xml:space="preserve">10 (2022): 93039–93054.</w:t>
      </w:r>
    </w:p>
    <w:p>
      <w:pPr>
        <w:numPr>
          <w:ilvl w:val="0"/>
          <w:numId w:val="1002"/>
        </w:numPr>
        <w:pStyle w:val="Compact"/>
      </w:pPr>
      <w:r>
        <w:t xml:space="preserve">Boneh, D., B. Lynn, and H. Shacham.</w:t>
      </w:r>
      <w:r>
        <w:t xml:space="preserve"> </w:t>
      </w:r>
      <w:r>
        <w:t xml:space="preserve">“</w:t>
      </w:r>
      <w:r>
        <w:t xml:space="preserve">Short Signatures from the Weil</w:t>
      </w:r>
      <w:r>
        <w:t xml:space="preserve"> </w:t>
      </w:r>
      <w:r>
        <w:t xml:space="preserve">Pairing.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Cryptology</w:t>
      </w:r>
      <w:r>
        <w:t xml:space="preserve"> </w:t>
      </w:r>
      <w:r>
        <w:t xml:space="preserve">17, no. 4 (2004): 297–319. The signature-</w:t>
      </w:r>
      <w:r>
        <w:t xml:space="preserve"> </w:t>
      </w:r>
      <w:r>
        <w:t xml:space="preserve">aggregation lineage of Section 7.4.1 — with Chapter 9’s caveat that</w:t>
      </w:r>
      <w:r>
        <w:t xml:space="preserve"> </w:t>
      </w:r>
      <w:r>
        <w:t xml:space="preserve">pairing-based schemes are not post-quantum survivors.</w:t>
      </w:r>
    </w:p>
    <w:p>
      <w:pPr>
        <w:numPr>
          <w:ilvl w:val="0"/>
          <w:numId w:val="1002"/>
        </w:numPr>
        <w:pStyle w:val="Compact"/>
      </w:pPr>
      <w:r>
        <w:t xml:space="preserve">Laurie, B., A. Langley, and E. Käsper.</w:t>
      </w:r>
      <w:r>
        <w:t xml:space="preserve"> </w:t>
      </w:r>
      <w:r>
        <w:rPr>
          <w:iCs/>
          <w:i/>
        </w:rPr>
        <w:t xml:space="preserve">Certificate Transparency.</w:t>
      </w:r>
      <w:r>
        <w:t xml:space="preserve"> </w:t>
      </w:r>
      <w:r>
        <w:t xml:space="preserve">RFC 6962,</w:t>
      </w:r>
      <w:r>
        <w:t xml:space="preserve"> </w:t>
      </w:r>
      <w:r>
        <w:t xml:space="preserve">IETF, 2013. The append-only-log operational precedent behind the</w:t>
      </w:r>
      <w:r>
        <w:t xml:space="preserve"> </w:t>
      </w:r>
      <w:r>
        <w:t xml:space="preserve">checkpoint and transparency-report practices of Sections 7.3 and 7.7.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2026-07-03T09:17:37Z</dcterms:created>
  <dcterms:modified xsi:type="dcterms:W3CDTF">2026-07-03T09:17:37Z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