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Blockchain-Based</w:t>
      </w:r>
      <w:r>
        <w:t xml:space="preserve"> </w:t>
      </w:r>
      <w:r>
        <w:t xml:space="preserve">Identity</w:t>
      </w:r>
      <w:r>
        <w:t xml:space="preserve"> </w:t>
      </w:r>
      <w:r>
        <w:t xml:space="preserve">and</w:t>
      </w:r>
      <w:r>
        <w:t xml:space="preserve"> </w:t>
      </w:r>
      <w:r>
        <w:t xml:space="preserve">Provenance</w:t>
      </w:r>
      <w:r>
        <w:t xml:space="preserve"> </w:t>
      </w:r>
      <w:r>
        <w:t xml:space="preserve">for</w:t>
      </w:r>
      <w:r>
        <w:t xml:space="preserve"> </w:t>
      </w:r>
      <w:r>
        <w:t xml:space="preserve">Distributed</w:t>
      </w:r>
      <w:r>
        <w:t xml:space="preserve"> </w:t>
      </w:r>
      <w:r>
        <w:t xml:space="preserve">Energy</w:t>
      </w:r>
      <w:r>
        <w:t xml:space="preserve"> </w:t>
      </w:r>
      <w:r>
        <w:t xml:space="preserve">Assets</w:t>
      </w:r>
    </w:p>
    <w:p>
      <w:pPr>
        <w:pStyle w:val="Subtitle"/>
      </w:pPr>
      <w:r>
        <w:t xml:space="preserve">Immutable</w:t>
      </w:r>
      <w:r>
        <w:t xml:space="preserve"> </w:t>
      </w:r>
      <w:r>
        <w:t xml:space="preserve">Identity,</w:t>
      </w:r>
      <w:r>
        <w:t xml:space="preserve"> </w:t>
      </w:r>
      <w:r>
        <w:t xml:space="preserve">Lifecycle</w:t>
      </w:r>
      <w:r>
        <w:t xml:space="preserve"> </w:t>
      </w:r>
      <w:r>
        <w:t xml:space="preserve">Traceability,</w:t>
      </w:r>
      <w:r>
        <w:t xml:space="preserve"> </w:t>
      </w:r>
      <w:r>
        <w:t xml:space="preserve">and</w:t>
      </w:r>
      <w:r>
        <w:t xml:space="preserve"> </w:t>
      </w:r>
      <w:r>
        <w:t xml:space="preserve">Integrity</w:t>
      </w:r>
      <w:r>
        <w:t xml:space="preserve"> </w:t>
      </w:r>
      <w:r>
        <w:t xml:space="preserve">Verification</w:t>
      </w:r>
      <w:r>
        <w:t xml:space="preserve"> </w:t>
      </w:r>
      <w:r>
        <w:t xml:space="preserve">for</w:t>
      </w:r>
      <w:r>
        <w:t xml:space="preserve"> </w:t>
      </w:r>
      <w:r>
        <w:t xml:space="preserve">Solar</w:t>
      </w:r>
      <w:r>
        <w:t xml:space="preserve"> </w:t>
      </w:r>
      <w:r>
        <w:t xml:space="preserve">and</w:t>
      </w:r>
      <w:r>
        <w:t xml:space="preserve"> </w:t>
      </w:r>
      <w:r>
        <w:t xml:space="preserve">Renewable</w:t>
      </w:r>
      <w:r>
        <w:t xml:space="preserve"> </w:t>
      </w:r>
      <w:r>
        <w:t xml:space="preserve">Infrastructure</w:t>
      </w:r>
    </w:p>
    <w:p>
      <w:pPr>
        <w:pStyle w:val="Author"/>
      </w:pPr>
      <w:r>
        <w:t xml:space="preserve">[AUTHOR</w:t>
      </w:r>
      <w:r>
        <w:t xml:space="preserve"> </w:t>
      </w:r>
      <w:r>
        <w:t xml:space="preserve">NAME</w:t>
      </w:r>
      <w:r>
        <w:t xml:space="preserve"> </w:t>
      </w:r>
      <w:r>
        <w:t xml:space="preserve">—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SUPPLIED]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X0729ef038fbc43b0dd9d1986da90a5eee6f6670"/>
    <w:p>
      <w:pPr>
        <w:pStyle w:val="Heading1"/>
      </w:pPr>
      <w:r>
        <w:t xml:space="preserve">Post-Quantum Considerations for Long-Lived Infrastructure</w:t>
      </w:r>
    </w:p>
    <w:bookmarkStart w:id="20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A solar module warranted in 2026 will still be generating claims-relevant evidence</w:t>
      </w:r>
      <w:r>
        <w:t xml:space="preserve"> </w:t>
      </w:r>
      <w:r>
        <w:t xml:space="preserve">in 2051. Every signature, digest, and anchor defending that evidence was made with</w:t>
      </w:r>
      <w:r>
        <w:t xml:space="preserve"> </w:t>
      </w:r>
      <w:r>
        <w:t xml:space="preserve">algorithms chosen in the 2020s — and the working assumption of this chapter is that</w:t>
      </w:r>
      <w:r>
        <w:t xml:space="preserve"> </w:t>
      </w:r>
      <w:r>
        <w:t xml:space="preserve">some of those algorithms will not survive the asset. This is not pessimism</w:t>
      </w:r>
      <w:r>
        <w:t xml:space="preserve"> </w:t>
      </w:r>
      <w:r>
        <w:t xml:space="preserve">about any particular algorithm; it is actuarial respect for the base rate</w:t>
      </w:r>
      <w:r>
        <w:t xml:space="preserve"> </w:t>
      </w:r>
      <w:r>
        <w:t xml:space="preserve">at which cryptography ages, quantum computation being merely the</w:t>
      </w:r>
      <w:r>
        <w:t xml:space="preserve"> </w:t>
      </w:r>
      <w:r>
        <w:t xml:space="preserve">best-advertised of its hazards. The chapter explains why the</w:t>
      </w:r>
      <w:r>
        <w:t xml:space="preserve"> </w:t>
      </w:r>
      <w:r>
        <w:t xml:space="preserve">quantum threat bears on asset-identity systems</w:t>
      </w:r>
      <w:r>
        <w:t xml:space="preserve"> </w:t>
      </w:r>
      <w:r>
        <w:rPr>
          <w:iCs/>
          <w:i/>
        </w:rPr>
        <w:t xml:space="preserve">differently and more severely</w:t>
      </w:r>
      <w:r>
        <w:t xml:space="preserve"> </w:t>
      </w:r>
      <w:r>
        <w:t xml:space="preserve">than</w:t>
      </w:r>
      <w:r>
        <w:t xml:space="preserve"> </w:t>
      </w:r>
      <w:r>
        <w:t xml:space="preserve">on the financial blockchain systems that dominate the post-quantum discussion;</w:t>
      </w:r>
      <w:r>
        <w:t xml:space="preserve"> </w:t>
      </w:r>
      <w:r>
        <w:t xml:space="preserve">derives the design consequences (which turn out to be schema and governance</w:t>
      </w:r>
      <w:r>
        <w:t xml:space="preserve"> </w:t>
      </w:r>
      <w:r>
        <w:t xml:space="preserve">consequences more than algorithm choices); and presents migration-ready patterns</w:t>
      </w:r>
      <w:r>
        <w:t xml:space="preserve"> </w:t>
      </w:r>
      <w:r>
        <w:t xml:space="preserve">for records that must remain verifiable across at least one, and plausibly two,</w:t>
      </w:r>
      <w:r>
        <w:t xml:space="preserve"> </w:t>
      </w:r>
      <w:r>
        <w:t xml:space="preserve">cryptographic transitions. I treat migration mechanics at the depth this system</w:t>
      </w:r>
      <w:r>
        <w:t xml:space="preserve"> </w:t>
      </w:r>
      <w:r>
        <w:t xml:space="preserve">needs and no further; readers migrating general enterprise infrastructure will find</w:t>
      </w:r>
      <w:r>
        <w:t xml:space="preserve"> </w:t>
      </w:r>
      <w:r>
        <w:t xml:space="preserve">the systematic treatment in my earlier book on post-quantum migration, which this</w:t>
      </w:r>
      <w:r>
        <w:t xml:space="preserve"> </w:t>
      </w:r>
      <w:r>
        <w:t xml:space="preserve">chapter deliberately cross-references rather than duplicates. The chapter’s</w:t>
      </w:r>
      <w:r>
        <w:t xml:space="preserve"> </w:t>
      </w:r>
      <w:r>
        <w:t xml:space="preserve">route: the asymmetry that makes retrospective verification the workload</w:t>
      </w:r>
      <w:r>
        <w:t xml:space="preserve"> </w:t>
      </w:r>
      <w:r>
        <w:t xml:space="preserve">(9.1), timeline reasoning that binds without prophecy plus the long-lived</w:t>
      </w:r>
      <w:r>
        <w:t xml:space="preserve"> </w:t>
      </w:r>
      <w:r>
        <w:t xml:space="preserve">peers’ precedents (9.2), algorithm selection under a thirty-year constraint</w:t>
      </w:r>
      <w:r>
        <w:t xml:space="preserve"> </w:t>
      </w:r>
      <w:r>
        <w:t xml:space="preserve">with the families rejected as well as chosen (9.3), the four migration</w:t>
      </w:r>
      <w:r>
        <w:t xml:space="preserve"> </w:t>
      </w:r>
      <w:r>
        <w:t xml:space="preserve">patterns that keep old evidence meaningful without touching a committed</w:t>
      </w:r>
      <w:r>
        <w:t xml:space="preserve"> </w:t>
      </w:r>
      <w:r>
        <w:t xml:space="preserve">byte (9.4), the physical binding’s quantum dividend (9.5), a worked 2049</w:t>
      </w:r>
      <w:r>
        <w:t xml:space="preserve"> </w:t>
      </w:r>
      <w:r>
        <w:t xml:space="preserve">retrospective that runs the whole machine end to end (9.6), and the</w:t>
      </w:r>
      <w:r>
        <w:t xml:space="preserve"> </w:t>
      </w:r>
      <w:r>
        <w:t xml:space="preserve">governance — registers, calendars, procurement clauses, and cost</w:t>
      </w:r>
      <w:r>
        <w:t xml:space="preserve"> </w:t>
      </w:r>
      <w:r>
        <w:t xml:space="preserve">allocation — that makes the mathematics deployable (9.7).</w:t>
      </w:r>
    </w:p>
    <w:bookmarkEnd w:id="20"/>
    <w:bookmarkStart w:id="21" w:name="Xd7833aee382e3cde746977af542e270c68c84b8"/>
    <w:p>
      <w:pPr>
        <w:pStyle w:val="Heading2"/>
      </w:pPr>
      <w:r>
        <w:t xml:space="preserve">9.1 The Asymmetry: Why Thirty Years Changes the Question</w:t>
      </w:r>
    </w:p>
    <w:p>
      <w:pPr>
        <w:pStyle w:val="FirstParagraph"/>
      </w:pPr>
      <w:r>
        <w:t xml:space="preserve">The standard quantum-risk framing for blockchains is financial: a</w:t>
      </w:r>
      <w:r>
        <w:t xml:space="preserve"> </w:t>
      </w:r>
      <w:r>
        <w:t xml:space="preserve">cryptographically relevant quantum computer (CRQC) running Shor’s algorithm breaks</w:t>
      </w:r>
      <w:r>
        <w:t xml:space="preserve"> </w:t>
      </w:r>
      <w:r>
        <w:t xml:space="preserve">the elliptic-curve signatures guarding funds; the defense is to move funds to</w:t>
      </w:r>
      <w:r>
        <w:t xml:space="preserve"> </w:t>
      </w:r>
      <w:r>
        <w:t xml:space="preserve">post-quantum addresses before the attacker arrives. The framing is</w:t>
      </w:r>
      <w:r>
        <w:t xml:space="preserve"> </w:t>
      </w:r>
      <w:r>
        <w:rPr>
          <w:iCs/>
          <w:i/>
        </w:rPr>
        <w:t xml:space="preserve">transactional</w:t>
      </w:r>
      <w:r>
        <w:t xml:space="preserve"> </w:t>
      </w:r>
      <w:r>
        <w:t xml:space="preserve">— protect the next transaction — and it quietly assumes the past does not matter:</w:t>
      </w:r>
      <w:r>
        <w:t xml:space="preserve"> </w:t>
      </w:r>
      <w:r>
        <w:t xml:space="preserve">old payment signatures have no residual value once funds move. The</w:t>
      </w:r>
      <w:r>
        <w:t xml:space="preserve"> </w:t>
      </w:r>
      <w:r>
        <w:t xml:space="preserve">literature built on that framing is genuinely useful — the attack</w:t>
      </w:r>
      <w:r>
        <w:t xml:space="preserve"> </w:t>
      </w:r>
      <w:r>
        <w:t xml:space="preserve">inventories, the migration mechanics for live key material, the</w:t>
      </w:r>
      <w:r>
        <w:t xml:space="preserve"> </w:t>
      </w:r>
      <w:r>
        <w:t xml:space="preserve">hybrid-scheme constructions all transfer — but its risk calculus does not,</w:t>
      </w:r>
      <w:r>
        <w:t xml:space="preserve"> </w:t>
      </w:r>
      <w:r>
        <w:t xml:space="preserve">and importing it unadjusted produces the two characteristic errors this</w:t>
      </w:r>
      <w:r>
        <w:t xml:space="preserve"> </w:t>
      </w:r>
      <w:r>
        <w:t xml:space="preserve">chapter exists to prevent: under-protecting history (because payments</w:t>
      </w:r>
      <w:r>
        <w:t xml:space="preserve"> </w:t>
      </w:r>
      <w:r>
        <w:t xml:space="preserve">never needed to) and over-focusing on the consensus layer (because that is</w:t>
      </w:r>
      <w:r>
        <w:t xml:space="preserve"> </w:t>
      </w:r>
      <w:r>
        <w:t xml:space="preserve">where the funds were).</w:t>
      </w:r>
    </w:p>
    <w:p>
      <w:pPr>
        <w:pStyle w:val="BodyText"/>
      </w:pPr>
      <w:r>
        <w:t xml:space="preserve">Asset identity inverts this. The value of the system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its past: a warranty</w:t>
      </w:r>
      <w:r>
        <w:t xml:space="preserve"> </w:t>
      </w:r>
      <w:r>
        <w:t xml:space="preserve">adjudication in 2049 turns on the verifiability of a commissioning signature made</w:t>
      </w:r>
      <w:r>
        <w:t xml:space="preserve"> </w:t>
      </w:r>
      <w:r>
        <w:t xml:space="preserve">in 2027. The attack this enables deserves one concrete rendering before the</w:t>
      </w:r>
      <w:r>
        <w:t xml:space="preserve"> </w:t>
      </w:r>
      <w:r>
        <w:t xml:space="preserve">analysis abstracts it. A counterfeiter in 2045, holding a CRQC’s services</w:t>
      </w:r>
      <w:r>
        <w:t xml:space="preserve"> </w:t>
      </w:r>
      <w:r>
        <w:t xml:space="preserve">and a warehouse of anonymous mid-2020s-vintage modules, forges what the</w:t>
      </w:r>
      <w:r>
        <w:t xml:space="preserve"> </w:t>
      </w:r>
      <w:r>
        <w:t xml:space="preserve">2020s never protected against: a complete era-1 provenance — registration</w:t>
      </w:r>
      <w:r>
        <w:t xml:space="preserve"> </w:t>
      </w:r>
      <w:r>
        <w:t xml:space="preserve">events signed with the recovered key of a long-dissolved registrar,</w:t>
      </w:r>
      <w:r>
        <w:t xml:space="preserve"> </w:t>
      </w:r>
      <w:r>
        <w:t xml:space="preserve">commissioning by a defunct EPC, inspection records from retired</w:t>
      </w:r>
      <w:r>
        <w:t xml:space="preserve"> </w:t>
      </w:r>
      <w:r>
        <w:t xml:space="preserve">instruments — every signature</w:t>
      </w:r>
      <w:r>
        <w:t xml:space="preserve"> </w:t>
      </w:r>
      <w:r>
        <w:rPr>
          <w:iCs/>
          <w:i/>
        </w:rPr>
        <w:t xml:space="preserve">cryptographically perfect</w:t>
      </w:r>
      <w:r>
        <w:t xml:space="preserve"> </w:t>
      </w:r>
      <w:r>
        <w:t xml:space="preserve">by era-1</w:t>
      </w:r>
      <w:r>
        <w:t xml:space="preserve"> </w:t>
      </w:r>
      <w:r>
        <w:t xml:space="preserve">verification, attached to physically genuine period hardware. Without this</w:t>
      </w:r>
      <w:r>
        <w:t xml:space="preserve"> </w:t>
      </w:r>
      <w:r>
        <w:t xml:space="preserve">chapter’s machinery, that dossier is indistinguishable from truth and</w:t>
      </w:r>
      <w:r>
        <w:t xml:space="preserve"> </w:t>
      </w:r>
      <w:r>
        <w:t xml:space="preserve">worth the full documented-provenance premium across thousands of units.</w:t>
      </w:r>
      <w:r>
        <w:t xml:space="preserve"> </w:t>
      </w:r>
      <w:r>
        <w:t xml:space="preserve">With it, the fraud dies twice: the forged events appear in no anchored</w:t>
      </w:r>
      <w:r>
        <w:t xml:space="preserve"> </w:t>
      </w:r>
      <w:r>
        <w:t xml:space="preserve">history (their absence from the 2033 re-anchor is checkable by anyone),</w:t>
      </w:r>
      <w:r>
        <w:t xml:space="preserve"> </w:t>
      </w:r>
      <w:r>
        <w:t xml:space="preserve">and the nominated templates either match nothing or collide with genuine</w:t>
      </w:r>
      <w:r>
        <w:t xml:space="preserve"> </w:t>
      </w:r>
      <w:r>
        <w:t xml:space="preserve">assets’ records. The scenario is the chapter’s stakes in miniature — the</w:t>
      </w:r>
      <w:r>
        <w:t xml:space="preserve"> </w:t>
      </w:r>
      <w:r>
        <w:t xml:space="preserve">adversary attacks the</w:t>
      </w:r>
      <w:r>
        <w:t xml:space="preserve"> </w:t>
      </w:r>
      <w:r>
        <w:rPr>
          <w:iCs/>
          <w:i/>
        </w:rPr>
        <w:t xml:space="preserve">archive</w:t>
      </w:r>
      <w:r>
        <w:t xml:space="preserve">, and the archive must have been made</w:t>
      </w:r>
      <w:r>
        <w:t xml:space="preserve"> </w:t>
      </w:r>
      <w:r>
        <w:t xml:space="preserve">attack-proof decades before the attack was possible. Three consequences</w:t>
      </w:r>
      <w:r>
        <w:t xml:space="preserve"> </w:t>
      </w:r>
      <w:r>
        <w:t xml:space="preserve">follow, and they reorganize the whole analysis: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Retrospective verification is the workload.</w:t>
      </w:r>
      <w:r>
        <w:t xml:space="preserve"> </w:t>
      </w:r>
      <w:r>
        <w:t xml:space="preserve">It is not enough that new</w:t>
      </w:r>
      <w:r>
        <w:t xml:space="preserve"> </w:t>
      </w:r>
      <w:r>
        <w:t xml:space="preserve">events use safe algorithms; twenty-year-old signatures must still</w:t>
      </w:r>
      <w:r>
        <w:t xml:space="preserve"> </w:t>
      </w:r>
      <w:r>
        <w:rPr>
          <w:iCs/>
          <w:i/>
        </w:rPr>
        <w:t xml:space="preserve">mean</w:t>
      </w:r>
      <w:r>
        <w:rPr>
          <w:iCs/>
          <w:i/>
        </w:rPr>
        <w:t xml:space="preserve"> </w:t>
      </w:r>
      <w:r>
        <w:rPr>
          <w:iCs/>
          <w:i/>
        </w:rPr>
        <w:t xml:space="preserve">something</w:t>
      </w:r>
      <w:r>
        <w:t xml:space="preserve"> </w:t>
      </w:r>
      <w:r>
        <w:t xml:space="preserve">to a verifier who knows the signing algorithm has since fallen. An</w:t>
      </w:r>
      <w:r>
        <w:t xml:space="preserve"> </w:t>
      </w:r>
      <w:r>
        <w:t xml:space="preserve">ECDSA signature verified in 2049 proves nothing by itself — anyone with a CRQC</w:t>
      </w:r>
      <w:r>
        <w:t xml:space="preserve"> </w:t>
      </w:r>
      <w:r>
        <w:t xml:space="preserve">could have forged it in 2047. The record’s authority must rest on something</w:t>
      </w:r>
      <w:r>
        <w:t xml:space="preserve"> </w:t>
      </w:r>
      <w:r>
        <w:t xml:space="preserve">other than the enduring strength of its original algorithm.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Harvest now, decrypt later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becomes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wait, then rewrite.</w:t>
      </w:r>
      <w:r>
        <w:rPr>
          <w:bCs/>
          <w:b/>
        </w:rPr>
        <w:t xml:space="preserve">”</w:t>
      </w:r>
      <w:r>
        <w:t xml:space="preserve"> </w:t>
      </w:r>
      <w:r>
        <w:t xml:space="preserve">The financial</w:t>
      </w:r>
      <w:r>
        <w:t xml:space="preserve"> </w:t>
      </w:r>
      <w:r>
        <w:t xml:space="preserve">attacker steals keys to spend. The asset-identity attacker forges</w:t>
      </w:r>
      <w:r>
        <w:t xml:space="preserve"> </w:t>
      </w:r>
      <w:r>
        <w:rPr>
          <w:iCs/>
          <w:i/>
        </w:rPr>
        <w:t xml:space="preserve">history</w:t>
      </w:r>
      <w:r>
        <w:t xml:space="preserve">:</w:t>
      </w:r>
      <w:r>
        <w:t xml:space="preserve"> </w:t>
      </w:r>
      <w:r>
        <w:t xml:space="preserve">with a broken signature scheme, A2 or A3 of Table 8.1 fabricates a plausible</w:t>
      </w:r>
      <w:r>
        <w:t xml:space="preserve"> </w:t>
      </w:r>
      <w:r>
        <w:t xml:space="preserve">2020s-vintage maintenance record, or a counterfeiter mints</w:t>
      </w:r>
      <w:r>
        <w:t xml:space="preserve"> </w:t>
      </w:r>
      <w:r>
        <w:t xml:space="preserve">“</w:t>
      </w:r>
      <w:r>
        <w:t xml:space="preserve">old</w:t>
      </w:r>
      <w:r>
        <w:t xml:space="preserve">”</w:t>
      </w:r>
      <w:r>
        <w:t xml:space="preserve"> </w:t>
      </w:r>
      <w:r>
        <w:t xml:space="preserve">registrations</w:t>
      </w:r>
      <w:r>
        <w:t xml:space="preserve"> </w:t>
      </w:r>
      <w:r>
        <w:t xml:space="preserve">for freshly made units. The prize is not a hot wallet but the entire evidential</w:t>
      </w:r>
      <w:r>
        <w:t xml:space="preserve"> </w:t>
      </w:r>
      <w:r>
        <w:t xml:space="preserve">authority of the early ledger.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transition is plural.</w:t>
      </w:r>
      <w:r>
        <w:t xml:space="preserve"> </w:t>
      </w:r>
      <w:r>
        <w:t xml:space="preserve">Over thirty years the system should expect not</w:t>
      </w:r>
      <w:r>
        <w:t xml:space="preserve"> </w:t>
      </w:r>
      <w:r>
        <w:t xml:space="preserve">one migration (classical → post-quantum) but ongoing algorithm lifecycle —</w:t>
      </w:r>
      <w:r>
        <w:t xml:space="preserve"> </w:t>
      </w:r>
      <w:r>
        <w:t xml:space="preserve">parameter upgrades, deprecations of first-generation PQC candidates, hash</w:t>
      </w:r>
      <w:r>
        <w:t xml:space="preserve"> </w:t>
      </w:r>
      <w:r>
        <w:t xml:space="preserve">migrations. The design target is not</w:t>
      </w:r>
      <w:r>
        <w:t xml:space="preserve"> </w:t>
      </w:r>
      <w:r>
        <w:t xml:space="preserve">“</w:t>
      </w:r>
      <w:r>
        <w:t xml:space="preserve">add Dilithium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rPr>
          <w:iCs/>
          <w:i/>
        </w:rPr>
        <w:t xml:space="preserve">algorithm agility as</w:t>
      </w:r>
      <w:r>
        <w:rPr>
          <w:iCs/>
          <w:i/>
        </w:rPr>
        <w:t xml:space="preserve"> </w:t>
      </w:r>
      <w:r>
        <w:rPr>
          <w:iCs/>
          <w:i/>
        </w:rPr>
        <w:t xml:space="preserve">a permanent property of the schema</w:t>
      </w:r>
      <w:r>
        <w:t xml:space="preserve">.</w:t>
      </w:r>
    </w:p>
    <w:p>
      <w:pPr>
        <w:pStyle w:val="FirstParagraph"/>
      </w:pPr>
      <w:r>
        <w:t xml:space="preserve">Each consequence rewards one more paragraph of unpacking, because each</w:t>
      </w:r>
      <w:r>
        <w:t xml:space="preserve"> </w:t>
      </w:r>
      <w:r>
        <w:t xml:space="preserve">reverses a habit the payment framing installed. The</w:t>
      </w:r>
      <w:r>
        <w:t xml:space="preserve"> </w:t>
      </w:r>
      <w:r>
        <w:rPr>
          <w:iCs/>
          <w:i/>
        </w:rPr>
        <w:t xml:space="preserve">retrospective-verification</w:t>
      </w:r>
      <w:r>
        <w:t xml:space="preserve"> </w:t>
      </w:r>
      <w:r>
        <w:t xml:space="preserve">workload (consequence 1) is not a rare</w:t>
      </w:r>
      <w:r>
        <w:t xml:space="preserve"> </w:t>
      </w:r>
      <w:r>
        <w:t xml:space="preserve">appellate scenario but the system’s routine: every Step-1 verification of a</w:t>
      </w:r>
      <w:r>
        <w:t xml:space="preserve"> </w:t>
      </w:r>
      <w:r>
        <w:t xml:space="preserve">mid-life asset evaluates signatures made five, ten, twenty years earlier,</w:t>
      </w:r>
      <w:r>
        <w:t xml:space="preserve"> </w:t>
      </w:r>
      <w:r>
        <w:t xml:space="preserve">so the</w:t>
      </w:r>
      <w:r>
        <w:t xml:space="preserve"> </w:t>
      </w:r>
      <w:r>
        <w:t xml:space="preserve">“</w:t>
      </w:r>
      <w:r>
        <w:t xml:space="preserve">old algorithm</w:t>
      </w:r>
      <w:r>
        <w:t xml:space="preserve">”</w:t>
      </w:r>
      <w:r>
        <w:t xml:space="preserve"> </w:t>
      </w:r>
      <w:r>
        <w:t xml:space="preserve">path through the verifier is the</w:t>
      </w:r>
      <w:r>
        <w:t xml:space="preserve"> </w:t>
      </w:r>
      <w:r>
        <w:rPr>
          <w:iCs/>
          <w:i/>
        </w:rPr>
        <w:t xml:space="preserve">hot</w:t>
      </w:r>
      <w:r>
        <w:t xml:space="preserve"> </w:t>
      </w:r>
      <w:r>
        <w:t xml:space="preserve">path, and it</w:t>
      </w:r>
      <w:r>
        <w:t xml:space="preserve"> </w:t>
      </w:r>
      <w:r>
        <w:t xml:space="preserve">must be engineered, tested, and conformance-suited with the same rigor as</w:t>
      </w:r>
      <w:r>
        <w:t xml:space="preserve"> </w:t>
      </w:r>
      <w:r>
        <w:t xml:space="preserve">current-era signing — a reversal of ordinary software priorities, where</w:t>
      </w:r>
      <w:r>
        <w:t xml:space="preserve"> </w:t>
      </w:r>
      <w:r>
        <w:t xml:space="preserve">legacy paths rot in peace. The</w:t>
      </w:r>
      <w:r>
        <w:t xml:space="preserve"> </w:t>
      </w:r>
      <w:r>
        <w:rPr>
          <w:iCs/>
          <w:i/>
        </w:rPr>
        <w:t xml:space="preserve">wait-then-rewrite</w:t>
      </w:r>
      <w:r>
        <w:t xml:space="preserve"> </w:t>
      </w:r>
      <w:r>
        <w:t xml:space="preserve">adversary (consequence 2)</w:t>
      </w:r>
      <w:r>
        <w:t xml:space="preserve"> </w:t>
      </w:r>
      <w:r>
        <w:t xml:space="preserve">also changes what</w:t>
      </w:r>
      <w:r>
        <w:t xml:space="preserve"> </w:t>
      </w:r>
      <w:r>
        <w:t xml:space="preserve">“</w:t>
      </w:r>
      <w:r>
        <w:t xml:space="preserve">harvest now</w:t>
      </w:r>
      <w:r>
        <w:t xml:space="preserve">”</w:t>
      </w:r>
      <w:r>
        <w:t xml:space="preserve"> </w:t>
      </w:r>
      <w:r>
        <w:t xml:space="preserve">means here: in confidentiality contexts the</w:t>
      </w:r>
      <w:r>
        <w:t xml:space="preserve"> </w:t>
      </w:r>
      <w:r>
        <w:t xml:space="preserve">harvester steals ciphertext for later decryption, but a registry’s data is</w:t>
      </w:r>
      <w:r>
        <w:t xml:space="preserve"> </w:t>
      </w:r>
      <w:r>
        <w:t xml:space="preserve">mostly integrity-sensitive rather than secret, so the analog is</w:t>
      </w:r>
      <w:r>
        <w:t xml:space="preserve"> </w:t>
      </w:r>
      <w:r>
        <w:rPr>
          <w:iCs/>
          <w:i/>
        </w:rPr>
        <w:t xml:space="preserve">position-</w:t>
      </w:r>
      <w:r>
        <w:rPr>
          <w:iCs/>
          <w:i/>
        </w:rPr>
        <w:t xml:space="preserve"> </w:t>
      </w:r>
      <w:r>
        <w:rPr>
          <w:iCs/>
          <w:i/>
        </w:rPr>
        <w:t xml:space="preserve">taking</w:t>
      </w:r>
      <w:r>
        <w:t xml:space="preserve"> </w:t>
      </w:r>
      <w:r>
        <w:t xml:space="preserve">— an adversary today accumulating signed artifacts, key material</w:t>
      </w:r>
      <w:r>
        <w:t xml:space="preserve"> </w:t>
      </w:r>
      <w:r>
        <w:t xml:space="preserve">from dissolved parties (F9’s estates), and knowledge of record structures,</w:t>
      </w:r>
      <w:r>
        <w:t xml:space="preserve"> </w:t>
      </w:r>
      <w:r>
        <w:t xml:space="preserve">against the day when forging era-1 history becomes computationally cheap.</w:t>
      </w:r>
      <w:r>
        <w:t xml:space="preserve"> </w:t>
      </w:r>
      <w:r>
        <w:t xml:space="preserve">The defense against position-taking is precisely the dated re-anchor: it</w:t>
      </w:r>
      <w:r>
        <w:t xml:space="preserve"> </w:t>
      </w:r>
      <w:r>
        <w:t xml:space="preserve">slams the window shut at a public timestamp, converting</w:t>
      </w:r>
      <w:r>
        <w:t xml:space="preserve"> </w:t>
      </w:r>
      <w:r>
        <w:t xml:space="preserve">“</w:t>
      </w:r>
      <w:r>
        <w:t xml:space="preserve">someday forgeable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forgeable only before 2033, which is to say never.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plural</w:t>
      </w:r>
      <w:r>
        <w:rPr>
          <w:iCs/>
          <w:i/>
        </w:rPr>
        <w:t xml:space="preserve"> </w:t>
      </w:r>
      <w:r>
        <w:rPr>
          <w:iCs/>
          <w:i/>
        </w:rPr>
        <w:t xml:space="preserve">transition</w:t>
      </w:r>
      <w:r>
        <w:t xml:space="preserve"> </w:t>
      </w:r>
      <w:r>
        <w:t xml:space="preserve">(consequence 3), finally, is an argument from base rates: the</w:t>
      </w:r>
      <w:r>
        <w:t xml:space="preserve"> </w:t>
      </w:r>
      <w:r>
        <w:t xml:space="preserve">past thirty years of cryptographic practice contain the DES retirement, the</w:t>
      </w:r>
      <w:r>
        <w:t xml:space="preserve"> </w:t>
      </w:r>
      <w:r>
        <w:t xml:space="preserve">MD5 and SHA-1 collapses, multiple RSA key-size escalations, and the</w:t>
      </w:r>
      <w:r>
        <w:t xml:space="preserve"> </w:t>
      </w:r>
      <w:r>
        <w:t xml:space="preserve">elliptic-curve migration itself — an algorithm change roughly every</w:t>
      </w:r>
      <w:r>
        <w:t xml:space="preserve"> </w:t>
      </w:r>
      <w:r>
        <w:t xml:space="preserve">decade — and there is no reason to expect the next thirty to be calmer,</w:t>
      </w:r>
      <w:r>
        <w:t xml:space="preserve"> </w:t>
      </w:r>
      <w:r>
        <w:t xml:space="preserve">CRQC or no CRQC. A system that treats the post-quantum transition as a</w:t>
      </w:r>
      <w:r>
        <w:t xml:space="preserve"> </w:t>
      </w:r>
      <w:r>
        <w:t xml:space="preserve">one-time crisis will meet its second transition unprepared; a system that</w:t>
      </w:r>
      <w:r>
        <w:t xml:space="preserve"> </w:t>
      </w:r>
      <w:r>
        <w:t xml:space="preserve">treats algorithm lifecycle as weather builds the machinery of this</w:t>
      </w:r>
      <w:r>
        <w:t xml:space="preserve"> </w:t>
      </w:r>
      <w:r>
        <w:t xml:space="preserve">chapter once and reuses it forever.</w:t>
      </w:r>
    </w:p>
    <w:p>
      <w:pPr>
        <w:pStyle w:val="BodyText"/>
      </w:pPr>
      <w:r>
        <w:t xml:space="preserve">The saving observation — and the chapter’s central design resource — is that the</w:t>
      </w:r>
      <w:r>
        <w:t xml:space="preserve"> </w:t>
      </w:r>
      <w:r>
        <w:t xml:space="preserve">architecture already contains the answer in embryonic form.</w:t>
      </w:r>
      <w:r>
        <w:t xml:space="preserve"> </w:t>
      </w:r>
      <w:r>
        <w:rPr>
          <w:bCs/>
          <w:b/>
        </w:rPr>
        <w:t xml:space="preserve">Hash functions and</w:t>
      </w:r>
      <w:r>
        <w:rPr>
          <w:bCs/>
          <w:b/>
        </w:rPr>
        <w:t xml:space="preserve"> </w:t>
      </w:r>
      <w:r>
        <w:rPr>
          <w:bCs/>
          <w:b/>
        </w:rPr>
        <w:t xml:space="preserve">Merkle structures degrade far more gracefully under quantum attack than signatures</w:t>
      </w:r>
      <w:r>
        <w:rPr>
          <w:bCs/>
          <w:b/>
        </w:rPr>
        <w:t xml:space="preserve"> </w:t>
      </w:r>
      <w:r>
        <w:rPr>
          <w:bCs/>
          <w:b/>
        </w:rPr>
        <w:t xml:space="preserve">do</w:t>
      </w:r>
      <w:r>
        <w:t xml:space="preserve"> </w:t>
      </w:r>
      <w:r>
        <w:t xml:space="preserve">(Grover’s algorithm halves effective hash security; Shor’s demolishes</w:t>
      </w:r>
      <w:r>
        <w:t xml:space="preserve"> </w:t>
      </w:r>
      <w:r>
        <w:t xml:space="preserve">elliptic-curve and RSA signatures outright). A record whose integrity rests on its</w:t>
      </w:r>
      <w:r>
        <w:t xml:space="preserve"> </w:t>
      </w:r>
      <w:r>
        <w:t xml:space="preserve">membership in an</w:t>
      </w:r>
      <w:r>
        <w:t xml:space="preserve"> </w:t>
      </w:r>
      <w:r>
        <w:rPr>
          <w:iCs/>
          <w:i/>
        </w:rPr>
        <w:t xml:space="preserve">anchored hash structure</w:t>
      </w:r>
      <w:r>
        <w:t xml:space="preserve"> </w:t>
      </w:r>
      <w:r>
        <w:t xml:space="preserve">— rather than solely on its author’s</w:t>
      </w:r>
      <w:r>
        <w:t xml:space="preserve"> </w:t>
      </w:r>
      <w:r>
        <w:t xml:space="preserve">signature — inherits the sturdier failure mode. The migration patterns of</w:t>
      </w:r>
      <w:r>
        <w:t xml:space="preserve"> </w:t>
      </w:r>
      <w:r>
        <w:t xml:space="preserve">Section 9.4 are, at bottom, ways of transferring evidential weight from signatures</w:t>
      </w:r>
      <w:r>
        <w:t xml:space="preserve"> </w:t>
      </w:r>
      <w:r>
        <w:t xml:space="preserve">(fragile) onto anchored structure (robust)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signatures fail.</w:t>
      </w:r>
    </w:p>
    <w:p>
      <w:pPr>
        <w:pStyle w:val="BodyText"/>
      </w:pPr>
      <w:r>
        <w:t xml:space="preserve">The asymmetry between the two primitive families deserves its physics-level</w:t>
      </w:r>
      <w:r>
        <w:t xml:space="preserve"> </w:t>
      </w:r>
      <w:r>
        <w:t xml:space="preserve">sentences, because it grounds the whole strategy and because getting it</w:t>
      </w:r>
      <w:r>
        <w:t xml:space="preserve"> </w:t>
      </w:r>
      <w:r>
        <w:t xml:space="preserve">slightly wrong produces migration plans that are slightly wrong everywhere. Shor’s algorithm solves the</w:t>
      </w:r>
      <w:r>
        <w:t xml:space="preserve"> </w:t>
      </w:r>
      <w:r>
        <w:t xml:space="preserve">specific number-theoretic problems (integer factoring, discrete logarithms)</w:t>
      </w:r>
      <w:r>
        <w:t xml:space="preserve"> </w:t>
      </w:r>
      <w:r>
        <w:t xml:space="preserve">on which RSA and elliptic-curve signatures rest, with an exponential</w:t>
      </w:r>
      <w:r>
        <w:t xml:space="preserve"> </w:t>
      </w:r>
      <w:r>
        <w:t xml:space="preserve">speedup — a CRQC does not weaken these schemes, it</w:t>
      </w:r>
      <w:r>
        <w:t xml:space="preserve"> </w:t>
      </w:r>
      <w:r>
        <w:rPr>
          <w:iCs/>
          <w:i/>
        </w:rPr>
        <w:t xml:space="preserve">ends</w:t>
      </w:r>
      <w:r>
        <w:t xml:space="preserve"> </w:t>
      </w:r>
      <w:r>
        <w:t xml:space="preserve">them. Grover’s</w:t>
      </w:r>
      <w:r>
        <w:t xml:space="preserve"> </w:t>
      </w:r>
      <w:r>
        <w:t xml:space="preserve">algorithm, by contrast, offers only a quadratic speedup on unstructured</w:t>
      </w:r>
      <w:r>
        <w:t xml:space="preserve"> </w:t>
      </w:r>
      <w:r>
        <w:t xml:space="preserve">search, which is the best quantum attack known against a well-designed hash</w:t>
      </w:r>
      <w:r>
        <w:t xml:space="preserve"> </w:t>
      </w:r>
      <w:r>
        <w:t xml:space="preserve">function: SHA-256’s preimage resistance degrades from 2²⁵⁶ to roughly 2¹²⁸</w:t>
      </w:r>
      <w:r>
        <w:t xml:space="preserve"> </w:t>
      </w:r>
      <w:r>
        <w:t xml:space="preserve">work — weakened on paper, untouched in practice, and fully restored by</w:t>
      </w:r>
      <w:r>
        <w:t xml:space="preserve"> </w:t>
      </w:r>
      <w:r>
        <w:t xml:space="preserve">moving to a 384- or 512-bit digest. The strategy of betting long-term</w:t>
      </w:r>
      <w:r>
        <w:t xml:space="preserve"> </w:t>
      </w:r>
      <w:r>
        <w:t xml:space="preserve">integrity on hash structures is therefore not a fashion choice among</w:t>
      </w:r>
      <w:r>
        <w:t xml:space="preserve"> </w:t>
      </w:r>
      <w:r>
        <w:t xml:space="preserve">algorithms but a bet on a</w:t>
      </w:r>
      <w:r>
        <w:t xml:space="preserve"> </w:t>
      </w:r>
      <w:r>
        <w:rPr>
          <w:iCs/>
          <w:i/>
        </w:rPr>
        <w:t xml:space="preserve">structural</w:t>
      </w:r>
      <w:r>
        <w:t xml:space="preserve"> </w:t>
      </w:r>
      <w:r>
        <w:t xml:space="preserve">difference in what quantum</w:t>
      </w:r>
      <w:r>
        <w:t xml:space="preserve"> </w:t>
      </w:r>
      <w:r>
        <w:t xml:space="preserve">computation is known to accelerate — and it is the same bet NIST made in</w:t>
      </w:r>
      <w:r>
        <w:t xml:space="preserve"> </w:t>
      </w:r>
      <w:r>
        <w:t xml:space="preserve">standardizing a hash-based signature scheme (SLH-DSA) as the conservative</w:t>
      </w:r>
      <w:r>
        <w:t xml:space="preserve"> </w:t>
      </w:r>
      <w:r>
        <w:t xml:space="preserve">anchor of its post-quantum portfolio.</w:t>
      </w:r>
    </w:p>
    <w:p>
      <w:pPr>
        <w:pStyle w:val="BodyText"/>
      </w:pPr>
      <w:r>
        <w:t xml:space="preserve">Table 9.1’s rows repay individual reading with this asymmetry in mind. The</w:t>
      </w:r>
      <w:r>
        <w:t xml:space="preserve"> </w:t>
      </w:r>
      <w:r>
        <w:t xml:space="preserve">event-signature and secure-element rows are the urgent ones because their</w:t>
      </w:r>
      <w:r>
        <w:t xml:space="preserve"> </w:t>
      </w:r>
      <w:r>
        <w:t xml:space="preserve">exposure is retroactive (consequence 1 above) — but their remediation</w:t>
      </w:r>
      <w:r>
        <w:t xml:space="preserve"> </w:t>
      </w:r>
      <w:r>
        <w:t xml:space="preserve">differs: software signing migrates on governance timelines, while silicon</w:t>
      </w:r>
      <w:r>
        <w:t xml:space="preserve"> </w:t>
      </w:r>
      <w:r>
        <w:t xml:space="preserve">migrates on hardware-refresh timelines, which is why P3 below exists as a</w:t>
      </w:r>
      <w:r>
        <w:t xml:space="preserve"> </w:t>
      </w:r>
      <w:r>
        <w:t xml:space="preserve">separate pattern. The digest and anchor rows are the comfortable ones —</w:t>
      </w:r>
      <w:r>
        <w:t xml:space="preserve"> </w:t>
      </w:r>
      <w:r>
        <w:t xml:space="preserve">parameter upsizing on a schedule. The rollup row is a</w:t>
      </w:r>
      <w:r>
        <w:t xml:space="preserve"> </w:t>
      </w:r>
      <w:r>
        <w:rPr>
          <w:iCs/>
          <w:i/>
        </w:rPr>
        <w:t xml:space="preserve">choice</w:t>
      </w:r>
      <w:r>
        <w:t xml:space="preserve"> </w:t>
      </w:r>
      <w:r>
        <w:t xml:space="preserve">the</w:t>
      </w:r>
      <w:r>
        <w:t xml:space="preserve"> </w:t>
      </w:r>
      <w:r>
        <w:t xml:space="preserve">architecture can still make correctly by selecting hash-based systems from</w:t>
      </w:r>
      <w:r>
        <w:t xml:space="preserve"> </w:t>
      </w:r>
      <w:r>
        <w:t xml:space="preserve">the start (Section 7.4’s verdict). And the last row — the physical binding</w:t>
      </w:r>
      <w:r>
        <w:t xml:space="preserve"> </w:t>
      </w:r>
      <w:r>
        <w:t xml:space="preserve">that no quantum computer touches — is the strategic reserve that</w:t>
      </w:r>
      <w:r>
        <w:t xml:space="preserve"> </w:t>
      </w:r>
      <w:r>
        <w:t xml:space="preserve">Section 9.5 spends.</w:t>
      </w:r>
    </w:p>
    <w:p>
      <w:pPr>
        <w:pStyle w:val="BodyText"/>
      </w:pPr>
      <w:r>
        <w:rPr>
          <w:bCs/>
          <w:b/>
        </w:rPr>
        <w:t xml:space="preserve">Table 9.1</w:t>
      </w:r>
      <w:r>
        <w:t xml:space="preserve"> </w:t>
      </w:r>
      <w:r>
        <w:t xml:space="preserve">Quantum exposure by cryptographic component of the Part II</w:t>
      </w:r>
      <w:r>
        <w:t xml:space="preserve"> </w:t>
      </w:r>
      <w:r>
        <w:t xml:space="preserve">architecture.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class (2026 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Event/registrar 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ECDSA / EdDSA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by Shor (CRQC)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Retrospective forgery of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governs new events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 secure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ECC in silicon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by Shor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attestations; F6 amplified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High, but hardware-replacement-paced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Payload / envelope digests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Grover: security halved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Collision-forged payloads (theoretical at 128-bit residual)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— parameter upsizing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Merkle batching &amp;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digests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Anchor forgery impractical at upsized 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Consortium BFT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TLS-era KEX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 breaks recorded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 of replicated data (Ch. 10 overlap)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Validity-rollup proof systems (§7.4)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construction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Pairing-based: broken; hash-based (STARK-class): robust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Batch-execution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hash-based from the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Passive structural binding (Ch. 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 — physics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quiet advantage</w:t>
            </w:r>
          </w:p>
        </w:tc>
      </w:tr>
    </w:tbl>
    <w:p>
      <w:pPr>
        <w:pStyle w:val="BodyText"/>
      </w:pPr>
      <w:r>
        <w:t xml:space="preserve">The last row deserves its emphasis. The defect map is not a cryptographic object;</w:t>
      </w:r>
      <w:r>
        <w:t xml:space="preserve"> </w:t>
      </w:r>
      <w:r>
        <w:t xml:space="preserve">a CRQC does not help an attacker manufacture a matching semiconductor. In the</w:t>
      </w:r>
      <w:r>
        <w:t xml:space="preserve"> </w:t>
      </w:r>
      <w:r>
        <w:t xml:space="preserve">post-quantum era the</w:t>
      </w:r>
      <w:r>
        <w:t xml:space="preserve"> </w:t>
      </w:r>
      <w:r>
        <w:rPr>
          <w:iCs/>
          <w:i/>
        </w:rPr>
        <w:t xml:space="preserve">physical</w:t>
      </w:r>
      <w:r>
        <w:t xml:space="preserve"> </w:t>
      </w:r>
      <w:r>
        <w:t xml:space="preserve">binding becomes the system’s most durable layer —</w:t>
      </w:r>
      <w:r>
        <w:t xml:space="preserve"> </w:t>
      </w:r>
      <w:r>
        <w:t xml:space="preserve">a reversal of the intuition that hardware is the weak link — and Section 9.5</w:t>
      </w:r>
      <w:r>
        <w:t xml:space="preserve"> </w:t>
      </w:r>
      <w:r>
        <w:t xml:space="preserve">exploits this.</w:t>
      </w:r>
    </w:p>
    <w:bookmarkEnd w:id="21"/>
    <w:bookmarkStart w:id="23" w:name="timeline-reasoning-without-prophecy"/>
    <w:p>
      <w:pPr>
        <w:pStyle w:val="Heading2"/>
      </w:pPr>
      <w:r>
        <w:t xml:space="preserve">9.2 Timeline Reasoning Without Prophecy</w:t>
      </w:r>
    </w:p>
    <w:p>
      <w:pPr>
        <w:pStyle w:val="FirstParagraph"/>
      </w:pPr>
      <w:r>
        <w:t xml:space="preserve">No responsible engineering argument should depend on a CRQC arrival date. The</w:t>
      </w:r>
      <w:r>
        <w:t xml:space="preserve"> </w:t>
      </w:r>
      <w:r>
        <w:t xml:space="preserve">discipline used here is Mosca’s inequality: act now if</w:t>
      </w:r>
      <w:r>
        <w:t xml:space="preserve"> </w:t>
      </w:r>
      <w:r>
        <w:t xml:space="preserve">(x + y &gt; z), where (x) is how long the data must remain secure, (y) is how</w:t>
      </w:r>
      <w:r>
        <w:t xml:space="preserve"> </w:t>
      </w:r>
      <w:r>
        <w:t xml:space="preserve">long migration takes, and (z) is time until the threat arrives. For this system:</w:t>
      </w:r>
      <w:r>
        <w:t xml:space="preserve"> </w:t>
      </w:r>
      <w:r>
        <w:t xml:space="preserve">(x) is 25–30 years by construction (the asset life); (y) is realistically</w:t>
      </w:r>
      <w:r>
        <w:t xml:space="preserve"> </w:t>
      </w:r>
      <w:r>
        <w:t xml:space="preserve">5–10 years (consortium governance, instrument hardware refresh cycles, schema</w:t>
      </w:r>
      <w:r>
        <w:t xml:space="preserve"> </w:t>
      </w:r>
      <w:r>
        <w:t xml:space="preserve">migration across hundreds of participants); and any (z) shorter than ~35 years</w:t>
      </w:r>
      <w:r>
        <w:t xml:space="preserve"> </w:t>
      </w:r>
      <w:r>
        <w:t xml:space="preserve">therefore demands action at design time. Every serious (z) estimate — including</w:t>
      </w:r>
      <w:r>
        <w:t xml:space="preserve"> </w:t>
      </w:r>
      <w:r>
        <w:t xml:space="preserve">skeptical ones — falls inside that window. The conclusion is not that a CRQC is</w:t>
      </w:r>
      <w:r>
        <w:t xml:space="preserve"> </w:t>
      </w:r>
      <w:r>
        <w:t xml:space="preserve">imminent; it is that</w:t>
      </w:r>
      <w:r>
        <w:t xml:space="preserve"> </w:t>
      </w:r>
      <w:r>
        <w:rPr>
          <w:iCs/>
          <w:i/>
        </w:rPr>
        <w:t xml:space="preserve">for this system the question of imminence is irrelevant</w:t>
      </w:r>
      <w:r>
        <w:t xml:space="preserve">:</w:t>
      </w:r>
      <w:r>
        <w:t xml:space="preserve"> </w:t>
      </w:r>
      <w:r>
        <w:t xml:space="preserve">the inequality binds under any defensible forecast, and the standardization</w:t>
      </w:r>
      <w:r>
        <w:t xml:space="preserve"> </w:t>
      </w:r>
      <w:r>
        <w:t xml:space="preserve">milestones already passed (NIST’s 2024 publication of ML-KEM, ML-DSA, and SLH-DSA,</w:t>
      </w:r>
      <w:r>
        <w:t xml:space="preserve"> </w:t>
      </w:r>
      <w:r>
        <w:t xml:space="preserve">with migration guidance following) remove the</w:t>
      </w:r>
      <w:r>
        <w:t xml:space="preserve"> </w:t>
      </w:r>
      <w:r>
        <w:t xml:space="preserve">“</w:t>
      </w:r>
      <w:r>
        <w:t xml:space="preserve">nothing to migrate to</w:t>
      </w:r>
      <w:r>
        <w:t xml:space="preserve">”</w:t>
      </w:r>
      <w:r>
        <w:t xml:space="preserve"> </w:t>
      </w:r>
      <w:r>
        <w:t xml:space="preserve">excuse.</w:t>
      </w:r>
    </w:p>
    <w:p>
      <w:pPr>
        <w:pStyle w:val="BodyText"/>
      </w:pPr>
      <w:r>
        <w:t xml:space="preserve">The inequality’s virtue is that it converts an unanswerable question (when</w:t>
      </w:r>
      <w:r>
        <w:t xml:space="preserve"> </w:t>
      </w:r>
      <w:r>
        <w:t xml:space="preserve">will the machine exist?) into three answerable ones (how long must this</w:t>
      </w:r>
      <w:r>
        <w:t xml:space="preserve"> </w:t>
      </w:r>
      <w:r>
        <w:t xml:space="preserve">data live? how long does our slowest migration take? what is the earliest</w:t>
      </w:r>
      <w:r>
        <w:t xml:space="preserve"> </w:t>
      </w:r>
      <w:r>
        <w:t xml:space="preserve">arrival we cannot rule out?) — and for this system two of the three</w:t>
      </w:r>
      <w:r>
        <w:t xml:space="preserve"> </w:t>
      </w:r>
      <w:r>
        <w:t xml:space="preserve">answers are matters of contract and engineering rather than forecast.</w:t>
      </w:r>
      <w:r>
        <w:t xml:space="preserve"> </w:t>
      </w:r>
      <w:r>
        <w:t xml:space="preserve">Two refinements sharpen the inequality for this domain. First, (x) is not</w:t>
      </w:r>
      <w:r>
        <w:t xml:space="preserve"> </w:t>
      </w:r>
      <w:r>
        <w:t xml:space="preserve">uniform across the record: a custody event’s evidential relevance peaks</w:t>
      </w:r>
      <w:r>
        <w:t xml:space="preserve"> </w:t>
      </w:r>
      <w:r>
        <w:t xml:space="preserve">within years (transport disputes are prompt), while registration and</w:t>
      </w:r>
      <w:r>
        <w:t xml:space="preserve"> </w:t>
      </w:r>
      <w:r>
        <w:t xml:space="preserve">commissioning events carry value to end-of-warranty and beyond — so the</w:t>
      </w:r>
      <w:r>
        <w:t xml:space="preserve"> </w:t>
      </w:r>
      <w:r>
        <w:t xml:space="preserve">migration sequencing of Section 9.4 prioritizes by</w:t>
      </w:r>
      <w:r>
        <w:t xml:space="preserve"> </w:t>
      </w:r>
      <w:r>
        <w:rPr>
          <w:iCs/>
          <w:i/>
        </w:rPr>
        <w:t xml:space="preserve">residual evidential</w:t>
      </w:r>
      <w:r>
        <w:rPr>
          <w:iCs/>
          <w:i/>
        </w:rPr>
        <w:t xml:space="preserve"> </w:t>
      </w:r>
      <w:r>
        <w:rPr>
          <w:iCs/>
          <w:i/>
        </w:rPr>
        <w:t xml:space="preserve">lifetime</w:t>
      </w:r>
      <w:r>
        <w:t xml:space="preserve">, not by record age, and the registrar/governance signatures whose</w:t>
      </w:r>
      <w:r>
        <w:t xml:space="preserve"> </w:t>
      </w:r>
      <w:r>
        <w:t xml:space="preserve">forgery would be catastrophic get the conservative algorithm family</w:t>
      </w:r>
      <w:r>
        <w:t xml:space="preserve"> </w:t>
      </w:r>
      <w:r>
        <w:t xml:space="preserve">regardless of cost. Second, (y) has a long tail this sector should</w:t>
      </w:r>
      <w:r>
        <w:t xml:space="preserve"> </w:t>
      </w:r>
      <w:r>
        <w:t xml:space="preserve">respect: the migration is not done when the consortium’s software migrates</w:t>
      </w:r>
      <w:r>
        <w:t xml:space="preserve"> </w:t>
      </w:r>
      <w:r>
        <w:t xml:space="preserve">but when the last I-A instrument in the field signs post-quantum — and</w:t>
      </w:r>
      <w:r>
        <w:t xml:space="preserve"> </w:t>
      </w:r>
      <w:r>
        <w:t xml:space="preserve">instrument fleets turn over on decadal cycles. The honest reading of the</w:t>
      </w:r>
      <w:r>
        <w:t xml:space="preserve"> </w:t>
      </w:r>
      <w:r>
        <w:t xml:space="preserve">inequality is therefore not</w:t>
      </w:r>
      <w:r>
        <w:t xml:space="preserve"> </w:t>
      </w:r>
      <w:r>
        <w:t xml:space="preserve">“</w:t>
      </w:r>
      <w:r>
        <w:t xml:space="preserve">begin soon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the beginning is already</w:t>
      </w:r>
      <w:r>
        <w:t xml:space="preserve"> </w:t>
      </w:r>
      <w:r>
        <w:t xml:space="preserve">priced into the architecture, and the schedule’s critical path runs through</w:t>
      </w:r>
      <w:r>
        <w:t xml:space="preserve"> </w:t>
      </w:r>
      <w:r>
        <w:t xml:space="preserve">procurement clauses being written this year.</w:t>
      </w:r>
      <w:r>
        <w:t xml:space="preserve">”</w:t>
      </w:r>
      <w:r>
        <w:t xml:space="preserve"> </w:t>
      </w:r>
      <w:r>
        <w:t xml:space="preserve">As for (z) itself, the</w:t>
      </w:r>
      <w:r>
        <w:t xml:space="preserve"> </w:t>
      </w:r>
      <w:r>
        <w:t xml:space="preserve">estimation literature — expert elicitations, resource-count extrapolations</w:t>
      </w:r>
      <w:r>
        <w:t xml:space="preserve"> </w:t>
      </w:r>
      <w:r>
        <w:t xml:space="preserve">from error-corrected qubit requirements — spans roughly a decade to several</w:t>
      </w:r>
      <w:r>
        <w:t xml:space="preserve"> </w:t>
      </w:r>
      <w:r>
        <w:t xml:space="preserve">decades at meaningful probability mass; the design posture of this chapter</w:t>
      </w:r>
      <w:r>
        <w:t xml:space="preserve"> </w:t>
      </w:r>
      <w:r>
        <w:t xml:space="preserve">is deliberately insensitive to where in that span the truth lands, which is</w:t>
      </w:r>
      <w:r>
        <w:t xml:space="preserve"> </w:t>
      </w:r>
      <w:r>
        <w:t xml:space="preserve">the only posture a thirty-year system can defend.</w:t>
      </w:r>
    </w:p>
    <w:bookmarkStart w:id="22" w:name="how-the-long-lived-peers-handle-it"/>
    <w:p>
      <w:pPr>
        <w:pStyle w:val="Heading3"/>
      </w:pPr>
      <w:r>
        <w:t xml:space="preserve">9.2.1 How the Long-Lived Peers Handle It</w:t>
      </w:r>
    </w:p>
    <w:p>
      <w:pPr>
        <w:pStyle w:val="FirstParagraph"/>
      </w:pPr>
      <w:r>
        <w:t xml:space="preserve">Asset identity is not the first record system to face algorithm mortality,</w:t>
      </w:r>
      <w:r>
        <w:t xml:space="preserve"> </w:t>
      </w:r>
      <w:r>
        <w:t xml:space="preserve">and the peers’ answers calibrate this chapter’s — both the patterns worth</w:t>
      </w:r>
      <w:r>
        <w:t xml:space="preserve"> </w:t>
      </w:r>
      <w:r>
        <w:t xml:space="preserve">borrowing and the cost curves worth avoiding. Long-term digital archives</w:t>
      </w:r>
      <w:r>
        <w:t xml:space="preserve"> </w:t>
      </w:r>
      <w:r>
        <w:t xml:space="preserve">(national libraries, the OAIS community of Section 4.2.1) converged on</w:t>
      </w:r>
      <w:r>
        <w:t xml:space="preserve"> </w:t>
      </w:r>
      <w:r>
        <w:t xml:space="preserve">exactly the P1 shape a decade ago: periodic re-timestamping of holdings</w:t>
      </w:r>
      <w:r>
        <w:t xml:space="preserve"> </w:t>
      </w:r>
      <w:r>
        <w:t xml:space="preserve">under fresh algorithms, standardized in the evidence-record syntax the</w:t>
      </w:r>
      <w:r>
        <w:t xml:space="preserve"> </w:t>
      </w:r>
      <w:r>
        <w:t xml:space="preserve">references cite — proof that re-anchoring is archival practice, not</w:t>
      </w:r>
      <w:r>
        <w:t xml:space="preserve"> </w:t>
      </w:r>
      <w:r>
        <w:t xml:space="preserve">blockchain novelty. Land registries, whose records outlive every</w:t>
      </w:r>
      <w:r>
        <w:t xml:space="preserve"> </w:t>
      </w:r>
      <w:r>
        <w:t xml:space="preserve">technology that touches them, teach the P2 lesson: their evidential</w:t>
      </w:r>
      <w:r>
        <w:t xml:space="preserve"> </w:t>
      </w:r>
      <w:r>
        <w:t xml:space="preserve">continuity rests on formality-at-the-time plus custodial chain, and their</w:t>
      </w:r>
      <w:r>
        <w:t xml:space="preserve"> </w:t>
      </w:r>
      <w:r>
        <w:t xml:space="preserve">digitization projects preserve the</w:t>
      </w:r>
      <w:r>
        <w:t xml:space="preserve"> </w:t>
      </w:r>
      <w:r>
        <w:rPr>
          <w:iCs/>
          <w:i/>
        </w:rPr>
        <w:t xml:space="preserve">original</w:t>
      </w:r>
      <w:r>
        <w:t xml:space="preserve"> </w:t>
      </w:r>
      <w:r>
        <w:t xml:space="preserve">instruments alongside every</w:t>
      </w:r>
      <w:r>
        <w:t xml:space="preserve"> </w:t>
      </w:r>
      <w:r>
        <w:t xml:space="preserve">re-encoding — the never-delete discipline this schema hard-codes. Aviation</w:t>
      </w:r>
      <w:r>
        <w:t xml:space="preserve"> </w:t>
      </w:r>
      <w:r>
        <w:t xml:space="preserve">records teach a warning rather than a pattern: back-to-birth traceability</w:t>
      </w:r>
      <w:r>
        <w:t xml:space="preserve"> </w:t>
      </w:r>
      <w:r>
        <w:t xml:space="preserve">is documentary and institutional, with essentially no cryptographic layer,</w:t>
      </w:r>
      <w:r>
        <w:t xml:space="preserve"> </w:t>
      </w:r>
      <w:r>
        <w:t xml:space="preserve">and its integrity costs — armies of records auditors, part-document</w:t>
      </w:r>
      <w:r>
        <w:t xml:space="preserve"> </w:t>
      </w:r>
      <w:r>
        <w:t xml:space="preserve">reconciliation at every transfer — are what this book’s architecture</w:t>
      </w:r>
      <w:r>
        <w:t xml:space="preserve"> </w:t>
      </w:r>
      <w:r>
        <w:t xml:space="preserve">exists to avoid; aviation shows that pure proceduralism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carry</w:t>
      </w:r>
      <w:r>
        <w:t xml:space="preserve"> </w:t>
      </w:r>
      <w:r>
        <w:t xml:space="preserve">decades, at a price per unit this sector cannot pay. And qualified</w:t>
      </w:r>
      <w:r>
        <w:t xml:space="preserve"> </w:t>
      </w:r>
      <w:r>
        <w:t xml:space="preserve">electronic signature regimes (the eIDAS world) supply the legal template:</w:t>
      </w:r>
      <w:r>
        <w:t xml:space="preserve"> </w:t>
      </w:r>
      <w:r>
        <w:t xml:space="preserve">statutory recognition that a signature’s validity is assessed against the</w:t>
      </w:r>
      <w:r>
        <w:t xml:space="preserve"> </w:t>
      </w:r>
      <w:r>
        <w:t xml:space="preserve">algorithms and certificates</w:t>
      </w:r>
      <w:r>
        <w:t xml:space="preserve"> </w:t>
      </w:r>
      <w:r>
        <w:rPr>
          <w:iCs/>
          <w:i/>
        </w:rPr>
        <w:t xml:space="preserve">of its signing time</w:t>
      </w:r>
      <w:r>
        <w:t xml:space="preserve">, provided qualified</w:t>
      </w:r>
      <w:r>
        <w:t xml:space="preserve"> </w:t>
      </w:r>
      <w:r>
        <w:t xml:space="preserve">preservation services maintain exactly the re-timestamping this chapter’s</w:t>
      </w:r>
      <w:r>
        <w:t xml:space="preserve"> </w:t>
      </w:r>
      <w:r>
        <w:t xml:space="preserve">patterns mechanize. The synthesis: nothing in Section 9.4 is without</w:t>
      </w:r>
      <w:r>
        <w:t xml:space="preserve"> </w:t>
      </w:r>
      <w:r>
        <w:t xml:space="preserve">precedent; what is new is only the combination — archival re-anchoring,</w:t>
      </w:r>
      <w:r>
        <w:t xml:space="preserve"> </w:t>
      </w:r>
      <w:r>
        <w:t xml:space="preserve">registry-grade custody, and statutory-style time-contextual validity,</w:t>
      </w:r>
      <w:r>
        <w:t xml:space="preserve"> </w:t>
      </w:r>
      <w:r>
        <w:t xml:space="preserve">bolted onto a physical binding none of the peers possess.</w:t>
      </w:r>
    </w:p>
    <w:bookmarkEnd w:id="22"/>
    <w:bookmarkEnd w:id="23"/>
    <w:bookmarkStart w:id="24" w:name="X0b50d38dbc9fc01fc768d0a00825ddb0e969f23"/>
    <w:p>
      <w:pPr>
        <w:pStyle w:val="Heading2"/>
      </w:pPr>
      <w:r>
        <w:t xml:space="preserve">9.3 What to Sign With: Algorithm Selection Under a Thirty-Year Constraint</w:t>
      </w:r>
    </w:p>
    <w:p>
      <w:pPr>
        <w:pStyle w:val="FirstParagraph"/>
      </w:pPr>
      <w:r>
        <w:t xml:space="preserve">Selection criteria differ from enterprise IT in two respects: signature</w:t>
      </w:r>
      <w:r>
        <w:t xml:space="preserve"> </w:t>
      </w:r>
      <w:r>
        <w:rPr>
          <w:iCs/>
          <w:i/>
        </w:rPr>
        <w:t xml:space="preserve">size</w:t>
      </w:r>
      <w:r>
        <w:t xml:space="preserve"> </w:t>
      </w:r>
      <w:r>
        <w:t xml:space="preserve">lands on a replicated ledger and in secure elements with decade-long hardware</w:t>
      </w:r>
      <w:r>
        <w:t xml:space="preserve"> </w:t>
      </w:r>
      <w:r>
        <w:t xml:space="preserve">cycles, and algorithm</w:t>
      </w:r>
      <w:r>
        <w:t xml:space="preserve"> </w:t>
      </w:r>
      <w:r>
        <w:rPr>
          <w:iCs/>
          <w:i/>
        </w:rPr>
        <w:t xml:space="preserve">diversity</w:t>
      </w:r>
      <w:r>
        <w:t xml:space="preserve"> </w:t>
      </w:r>
      <w:r>
        <w:t xml:space="preserve">matters more than optimality because the system</w:t>
      </w:r>
      <w:r>
        <w:t xml:space="preserve"> </w:t>
      </w:r>
      <w:r>
        <w:t xml:space="preserve">must survive the failure of any single family. Stated as criteria: maturity</w:t>
      </w:r>
      <w:r>
        <w:t xml:space="preserve"> </w:t>
      </w:r>
      <w:r>
        <w:t xml:space="preserve">of cryptanalysis (age and intensity of adversarial attention), assumption</w:t>
      </w:r>
      <w:r>
        <w:t xml:space="preserve"> </w:t>
      </w:r>
      <w:r>
        <w:t xml:space="preserve">diversity (no single mathematical failure should strand every role),</w:t>
      </w:r>
      <w:r>
        <w:t xml:space="preserve"> </w:t>
      </w:r>
      <w:r>
        <w:t xml:space="preserve">implementability in constrained silicon (the P3 wave needs elements, not</w:t>
      </w:r>
      <w:r>
        <w:t xml:space="preserve"> </w:t>
      </w:r>
      <w:r>
        <w:t xml:space="preserve">servers), size-against-role fit (bulk tolerable where events are</w:t>
      </w:r>
      <w:r>
        <w:t xml:space="preserve"> </w:t>
      </w:r>
      <w:r>
        <w:t xml:space="preserve">batch-paced, not where handhelds verify in the field), and standardization</w:t>
      </w:r>
      <w:r>
        <w:t xml:space="preserve"> </w:t>
      </w:r>
      <w:r>
        <w:t xml:space="preserve">status (a thirty-year system cites standards, not preprints). The</w:t>
      </w:r>
      <w:r>
        <w:t xml:space="preserve"> </w:t>
      </w:r>
      <w:r>
        <w:t xml:space="preserve">selections below are the criteria applied; disagreements should be argued</w:t>
      </w:r>
      <w:r>
        <w:t xml:space="preserve"> </w:t>
      </w:r>
      <w:r>
        <w:t xml:space="preserve">criterion by criterion rather than brand by brand. Two candidate families</w:t>
      </w:r>
      <w:r>
        <w:t xml:space="preserve"> </w:t>
      </w:r>
      <w:r>
        <w:t xml:space="preserve">are deliberately absent from the selection and should be noted with</w:t>
      </w:r>
      <w:r>
        <w:t xml:space="preserve"> </w:t>
      </w:r>
      <w:r>
        <w:t xml:space="preserve">reasons. The</w:t>
      </w:r>
      <w:r>
        <w:t xml:space="preserve"> </w:t>
      </w:r>
      <w:r>
        <w:rPr>
          <w:iCs/>
          <w:i/>
        </w:rPr>
        <w:t xml:space="preserve">stateful</w:t>
      </w:r>
      <w:r>
        <w:t xml:space="preserve"> </w:t>
      </w:r>
      <w:r>
        <w:t xml:space="preserve">hash-based schemes (XMSS, LMS) offer smaller signatures than</w:t>
      </w:r>
      <w:r>
        <w:t xml:space="preserve"> </w:t>
      </w:r>
      <w:r>
        <w:t xml:space="preserve">SLH-DSA on the same conservative assumptions, at the price of state</w:t>
      </w:r>
      <w:r>
        <w:t xml:space="preserve"> </w:t>
      </w:r>
      <w:r>
        <w:t xml:space="preserve">management — a signer must never reuse a one-time key index, which turns</w:t>
      </w:r>
      <w:r>
        <w:t xml:space="preserve"> </w:t>
      </w:r>
      <w:r>
        <w:t xml:space="preserve">every backup, restore, and HSM migration into a correctness hazard; for</w:t>
      </w:r>
      <w:r>
        <w:t xml:space="preserve"> </w:t>
      </w:r>
      <w:r>
        <w:t xml:space="preserve">high-volume, multi-decade, organizationally churning signers, statefulness</w:t>
      </w:r>
      <w:r>
        <w:t xml:space="preserve"> </w:t>
      </w:r>
      <w:r>
        <w:t xml:space="preserve">is precisely the wrong risk to import, though the schemes remain reasonable</w:t>
      </w:r>
      <w:r>
        <w:t xml:space="preserve"> </w:t>
      </w:r>
      <w:r>
        <w:t xml:space="preserve">for tightly controlled single-purpose signers such as the anchoring</w:t>
      </w:r>
      <w:r>
        <w:t xml:space="preserve"> </w:t>
      </w:r>
      <w:r>
        <w:t xml:space="preserve">account. And the pairing-based families beloved of the rollup world (BLS</w:t>
      </w:r>
      <w:r>
        <w:t xml:space="preserve"> </w:t>
      </w:r>
      <w:r>
        <w:t xml:space="preserve">aggregation and its relatives) fail the era-2 test outright — pairings fall</w:t>
      </w:r>
      <w:r>
        <w:t xml:space="preserve"> </w:t>
      </w:r>
      <w:r>
        <w:t xml:space="preserve">to Shor with the rest of the discrete-log world — which is why Section</w:t>
      </w:r>
      <w:r>
        <w:t xml:space="preserve"> </w:t>
      </w:r>
      <w:r>
        <w:t xml:space="preserve">7.4.1’s aggregation conveniences are transition-era tools with PQC</w:t>
      </w:r>
      <w:r>
        <w:t xml:space="preserve"> </w:t>
      </w:r>
      <w:r>
        <w:t xml:space="preserve">replacements (lattice aggregation, plain multi-signatures at larger size)</w:t>
      </w:r>
      <w:r>
        <w:t xml:space="preserve"> </w:t>
      </w:r>
      <w:r>
        <w:t xml:space="preserve">already penciled into the policy register’s roadmap. Key encapsulation,</w:t>
      </w:r>
      <w:r>
        <w:t xml:space="preserve"> </w:t>
      </w:r>
      <w:r>
        <w:t xml:space="preserve">finally, barely appears in this chapter because the architecture barely</w:t>
      </w:r>
      <w:r>
        <w:t xml:space="preserve"> </w:t>
      </w:r>
      <w:r>
        <w:t xml:space="preserve">encrypts on the wire between organizations: the transport and</w:t>
      </w:r>
      <w:r>
        <w:t xml:space="preserve"> </w:t>
      </w:r>
      <w:r>
        <w:t xml:space="preserve">payload-at-rest layers migrate to ML-KEM hybrids on ordinary enterprise</w:t>
      </w:r>
      <w:r>
        <w:t xml:space="preserve"> </w:t>
      </w:r>
      <w:r>
        <w:t xml:space="preserve">schedules, important but unremarkable — the registry’s crown jewels are</w:t>
      </w:r>
      <w:r>
        <w:t xml:space="preserve"> </w:t>
      </w:r>
      <w:r>
        <w:t xml:space="preserve">signatures, and the chapter’s attention follows the jewels.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ML-DSA (lattice-based, formerly Dilithium)</w:t>
      </w:r>
      <w:r>
        <w:t xml:space="preserve"> </w:t>
      </w:r>
      <w:r>
        <w:t xml:space="preserve">as the workhorse event-signature</w:t>
      </w:r>
      <w:r>
        <w:t xml:space="preserve"> </w:t>
      </w:r>
      <w:r>
        <w:t xml:space="preserve">algorithm: performant, standardized, implementable in next-generation secure</w:t>
      </w:r>
      <w:r>
        <w:t xml:space="preserve"> </w:t>
      </w:r>
      <w:r>
        <w:t xml:space="preserve">elements. Signatures of ~2–4 kB inflate the 0.9 kB envelope of Section 7.6</w:t>
      </w:r>
      <w:r>
        <w:t xml:space="preserve"> </w:t>
      </w:r>
      <w:r>
        <w:t xml:space="preserve">several-fold — Table 7.4’s margins absorb this without strain, one more dividend</w:t>
      </w:r>
      <w:r>
        <w:t xml:space="preserve"> </w:t>
      </w:r>
      <w:r>
        <w:t xml:space="preserve">of designing for megabytes, not gigabytes. The lattice assumptions beneath</w:t>
      </w:r>
      <w:r>
        <w:t xml:space="preserve"> </w:t>
      </w:r>
      <w:r>
        <w:t xml:space="preserve">it are young by cryptographic standards — two decades of serious</w:t>
      </w:r>
      <w:r>
        <w:t xml:space="preserve"> </w:t>
      </w:r>
      <w:r>
        <w:t xml:space="preserve">cryptanalysis against structured lattices, versus four for elliptic</w:t>
      </w:r>
      <w:r>
        <w:t xml:space="preserve"> </w:t>
      </w:r>
      <w:r>
        <w:t xml:space="preserve">curves at their fall — which is not a reason to avoid the family (nothing</w:t>
      </w:r>
      <w:r>
        <w:t xml:space="preserve"> </w:t>
      </w:r>
      <w:r>
        <w:t xml:space="preserve">better-studied is standardized and performant) but is the reason it</w:t>
      </w:r>
      <w:r>
        <w:t xml:space="preserve"> </w:t>
      </w:r>
      <w:r>
        <w:t xml:space="preserve">carries the</w:t>
      </w:r>
      <w:r>
        <w:t xml:space="preserve"> </w:t>
      </w:r>
      <w:r>
        <w:rPr>
          <w:iCs/>
          <w:i/>
        </w:rPr>
        <w:t xml:space="preserve">volume</w:t>
      </w:r>
      <w:r>
        <w:t xml:space="preserve"> </w:t>
      </w:r>
      <w:r>
        <w:t xml:space="preserve">roles rather than the</w:t>
      </w:r>
      <w:r>
        <w:t xml:space="preserve"> </w:t>
      </w:r>
      <w:r>
        <w:rPr>
          <w:iCs/>
          <w:i/>
        </w:rPr>
        <w:t xml:space="preserve">catastrophic</w:t>
      </w:r>
      <w:r>
        <w:t xml:space="preserve"> </w:t>
      </w:r>
      <w:r>
        <w:t xml:space="preserve">ones, and the</w:t>
      </w:r>
      <w:r>
        <w:t xml:space="preserve"> </w:t>
      </w:r>
      <w:r>
        <w:t xml:space="preserve">reason the hybrid decade exists.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SLH-DSA (hash-based, formerly SPHINCS+)</w:t>
      </w:r>
      <w:r>
        <w:t xml:space="preserve"> </w:t>
      </w:r>
      <w:r>
        <w:t xml:space="preserve">for the</w:t>
      </w:r>
      <w:r>
        <w:t xml:space="preserve"> </w:t>
      </w:r>
      <w:r>
        <w:rPr>
          <w:iCs/>
          <w:i/>
        </w:rPr>
        <w:t xml:space="preserve">registrar and governance</w:t>
      </w:r>
      <w:r>
        <w:rPr>
          <w:iCs/>
          <w:i/>
        </w:rPr>
        <w:t xml:space="preserve"> </w:t>
      </w:r>
      <w:r>
        <w:rPr>
          <w:iCs/>
          <w:i/>
        </w:rPr>
        <w:t xml:space="preserve">roles</w:t>
      </w:r>
      <w:r>
        <w:t xml:space="preserve">: slower and bulkier (~8–50 kB), but resting on hash assumptions only —</w:t>
      </w:r>
      <w:r>
        <w:t xml:space="preserve"> </w:t>
      </w:r>
      <w:r>
        <w:t xml:space="preserve">the most conservative available foundation for the signatures whose forgery</w:t>
      </w:r>
      <w:r>
        <w:t xml:space="preserve"> </w:t>
      </w:r>
      <w:r>
        <w:t xml:space="preserve">would be catastrophic (F2/F10 at scale). Registrar events are batch-paced</w:t>
      </w:r>
      <w:r>
        <w:t xml:space="preserve"> </w:t>
      </w:r>
      <w:r>
        <w:t xml:space="preserve">(Section 7.2), so the size cost lands where the architecture is most tolerant.</w:t>
      </w:r>
      <w:r>
        <w:t xml:space="preserve"> </w:t>
      </w:r>
      <w:r>
        <w:t xml:space="preserve">The conservatism is structural, not reputational: a hash-based signature’s</w:t>
      </w:r>
      <w:r>
        <w:t xml:space="preserve"> </w:t>
      </w:r>
      <w:r>
        <w:t xml:space="preserve">security reduces to the properties of the hash function alone — the same</w:t>
      </w:r>
      <w:r>
        <w:t xml:space="preserve"> </w:t>
      </w:r>
      <w:r>
        <w:t xml:space="preserve">primitive the whole edifice already stakes its integrity on — so</w:t>
      </w:r>
      <w:r>
        <w:t xml:space="preserve"> </w:t>
      </w:r>
      <w:r>
        <w:t xml:space="preserve">assigning SLH-DSA to the roles above adds</w:t>
      </w:r>
      <w:r>
        <w:t xml:space="preserve"> </w:t>
      </w:r>
      <w:r>
        <w:rPr>
          <w:iCs/>
          <w:i/>
        </w:rPr>
        <w:t xml:space="preserve">no new assumptions</w:t>
      </w:r>
      <w:r>
        <w:t xml:space="preserve"> </w:t>
      </w:r>
      <w:r>
        <w:t xml:space="preserve">to the</w:t>
      </w:r>
      <w:r>
        <w:t xml:space="preserve"> </w:t>
      </w:r>
      <w:r>
        <w:t xml:space="preserve">system’s trust base, an accounting that matters when the assurance cases</w:t>
      </w:r>
      <w:r>
        <w:t xml:space="preserve"> </w:t>
      </w:r>
      <w:r>
        <w:t xml:space="preserve">of Section 8.7 tally what everything rests 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Hybrid classical+PQC signing</w:t>
      </w:r>
      <w:r>
        <w:t xml:space="preserve"> </w:t>
      </w:r>
      <w:r>
        <w:t xml:space="preserve">for the transition decade: events co-signed</w:t>
      </w:r>
      <w:r>
        <w:t xml:space="preserve"> </w:t>
      </w:r>
      <w:r>
        <w:t xml:space="preserve">with ECDSA and ML-DSA, valid if both verify — protecting against both an early</w:t>
      </w:r>
      <w:r>
        <w:t xml:space="preserve"> </w:t>
      </w:r>
      <w:r>
        <w:t xml:space="preserve">CRQC and an early cryptanalysis of young lattice assumptions. The envelope of</w:t>
      </w:r>
      <w:r>
        <w:t xml:space="preserve"> </w:t>
      </w:r>
      <w:r>
        <w:t xml:space="preserve">Section 5.4 accommodates this as a corroboration-class variant with no schema</w:t>
      </w:r>
      <w:r>
        <w:t xml:space="preserve"> </w:t>
      </w:r>
      <w:r>
        <w:t xml:space="preserve">surgery, which was not luck but Chapter 5’s extensibility principle doing its</w:t>
      </w:r>
      <w:r>
        <w:t xml:space="preserve"> </w:t>
      </w:r>
      <w:r>
        <w:t xml:space="preserve">job. The both-must-verify composition rule matters: an either-verifies</w:t>
      </w:r>
      <w:r>
        <w:t xml:space="preserve"> </w:t>
      </w:r>
      <w:r>
        <w:t xml:space="preserve">hybrid inherits the</w:t>
      </w:r>
      <w:r>
        <w:t xml:space="preserve"> </w:t>
      </w:r>
      <w:r>
        <w:rPr>
          <w:iCs/>
          <w:i/>
        </w:rPr>
        <w:t xml:space="preserve">weaker</w:t>
      </w:r>
      <w:r>
        <w:t xml:space="preserve"> </w:t>
      </w:r>
      <w:r>
        <w:t xml:space="preserve">of its components at any moment, which is</w:t>
      </w:r>
      <w:r>
        <w:t xml:space="preserve"> </w:t>
      </w:r>
      <w:r>
        <w:t xml:space="preserve">the opposite of the intended insurance, and the policy register encodes</w:t>
      </w:r>
      <w:r>
        <w:t xml:space="preserve"> </w:t>
      </w:r>
      <w:r>
        <w:t xml:space="preserve">the composition explicitly so that no implementation can quietly choose</w:t>
      </w:r>
      <w:r>
        <w:t xml:space="preserve"> </w:t>
      </w:r>
      <w:r>
        <w:t xml:space="preserve">the convenient reading. The young-assumption worry is not hypothetical</w:t>
      </w:r>
      <w:r>
        <w:t xml:space="preserve"> </w:t>
      </w:r>
      <w:r>
        <w:t xml:space="preserve">caution, either — the post-quantum standardization process itself</w:t>
      </w:r>
      <w:r>
        <w:t xml:space="preserve"> </w:t>
      </w:r>
      <w:r>
        <w:t xml:space="preserve">watched a late-round candidate fall to classical cryptanalysis, which is</w:t>
      </w:r>
      <w:r>
        <w:t xml:space="preserve"> </w:t>
      </w:r>
      <w:r>
        <w:t xml:space="preserve">precisely the event the hybrid decade is designed to absorb without</w:t>
      </w:r>
      <w:r>
        <w:t xml:space="preserve"> </w:t>
      </w:r>
      <w:r>
        <w:t xml:space="preserve">drama.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Anchor targets:</w:t>
      </w:r>
      <w:r>
        <w:t xml:space="preserve"> </w:t>
      </w:r>
      <w:r>
        <w:t xml:space="preserve">the consortium controls its own algorithms but not the</w:t>
      </w:r>
      <w:r>
        <w:t xml:space="preserve"> </w:t>
      </w:r>
      <w:r>
        <w:t xml:space="preserve">public chains’; anchoring to two independent chains (Section 4.4) now also</w:t>
      </w:r>
      <w:r>
        <w:t xml:space="preserve"> </w:t>
      </w:r>
      <w:r>
        <w:t xml:space="preserve">diversifies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migration risk, and the anchoring contract’s replaceable</w:t>
      </w:r>
      <w:r>
        <w:t xml:space="preserve"> </w:t>
      </w:r>
      <w:r>
        <w:t xml:space="preserve">target list is the escape hatch if a chain migrates badly.</w:t>
      </w:r>
    </w:p>
    <w:p>
      <w:pPr>
        <w:pStyle w:val="FirstParagraph"/>
      </w:pPr>
      <w:r>
        <w:rPr>
          <w:bCs/>
          <w:b/>
        </w:rPr>
        <w:t xml:space="preserve">Table 9.2</w:t>
      </w:r>
      <w:r>
        <w:t xml:space="preserve"> </w:t>
      </w:r>
      <w:r>
        <w:t xml:space="preserve">The selection at a glance: algorithm assignments by role, with</w:t>
      </w:r>
      <w:r>
        <w:t xml:space="preserve"> </w:t>
      </w:r>
      <w:r>
        <w:t xml:space="preserve">the sizes that drive the engineering. Sizes are representative parameter</w:t>
      </w:r>
      <w:r>
        <w:t xml:space="preserve"> </w:t>
      </w:r>
      <w:r>
        <w:t xml:space="preserve">sets at the 128-bit post-quantum security level.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(era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Sig.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submitters (field, O&amp;M, EPC)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~2.4–3.3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workhorse; performant verification on handhelds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Instruments (I-A secure elements)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ML-DSA (hardware)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~2.4–3.3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Element-implementable; refresh-cycle paced (P3)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SLH-DSA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~8–17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Catastrophic-forgery role; hash-only assumptions; batch-paced so size is absorbed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/ accreditation / checkpoints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SLH-DSA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~8–17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Longest-lived authority statements in the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Anchoring account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target chain + SLH-DSA co-signature on anchor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Chain’s algorithm is not ours to choose; co-signature preserves our own verifiability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 decade (all roles)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Hybrid: ECDSA + PQC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 of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Protects against both threat directions during immaturity</w:t>
            </w:r>
          </w:p>
        </w:tc>
      </w:tr>
    </w:tbl>
    <w:p>
      <w:pPr>
        <w:pStyle w:val="BodyText"/>
      </w:pPr>
      <w:r>
        <w:t xml:space="preserve">Verification performance, the criterion field hardware feels first: ML-DSA</w:t>
      </w:r>
      <w:r>
        <w:t xml:space="preserve"> </w:t>
      </w:r>
      <w:r>
        <w:t xml:space="preserve">verification is fast — comfortably thousands of signature checks per second</w:t>
      </w:r>
      <w:r>
        <w:t xml:space="preserve"> </w:t>
      </w:r>
      <w:r>
        <w:t xml:space="preserve">on handheld-class processors — so Step-1 verification of a record bundle</w:t>
      </w:r>
      <w:r>
        <w:t xml:space="preserve"> </w:t>
      </w:r>
      <w:r>
        <w:t xml:space="preserve">remains interactive even when every signature in it is post-quantum;</w:t>
      </w:r>
      <w:r>
        <w:t xml:space="preserve"> </w:t>
      </w:r>
      <w:r>
        <w:t xml:space="preserve">SLH-DSA verification is slower but appears only at the batch and</w:t>
      </w:r>
      <w:r>
        <w:t xml:space="preserve"> </w:t>
      </w:r>
      <w:r>
        <w:t xml:space="preserve">governance cadence where nobody is standing on a roof waiting. The</w:t>
      </w:r>
      <w:r>
        <w:t xml:space="preserve"> </w:t>
      </w:r>
      <w:r>
        <w:t xml:space="preserve">envelope-size consequence is worth one arithmetic sentence: a Class C</w:t>
      </w:r>
      <w:r>
        <w:t xml:space="preserve"> </w:t>
      </w:r>
      <w:r>
        <w:t xml:space="preserve">event carrying three hybrid signatures grows from under a kilobyte to</w:t>
      </w:r>
      <w:r>
        <w:t xml:space="preserve"> </w:t>
      </w:r>
      <w:r>
        <w:t xml:space="preserve">roughly 10–15 kB during the transition decade and settles near 8–12 kB in</w:t>
      </w:r>
      <w:r>
        <w:t xml:space="preserve"> </w:t>
      </w:r>
      <w:r>
        <w:t xml:space="preserve">era 2 with SLH-DSA-signing roles in the mix — which multiplies Table 7.4’s</w:t>
      </w:r>
      <w:r>
        <w:t xml:space="preserve"> </w:t>
      </w:r>
      <w:r>
        <w:t xml:space="preserve">consensus-state projection by roughly an order of magnitude and still lands</w:t>
      </w:r>
      <w:r>
        <w:t xml:space="preserve"> </w:t>
      </w:r>
      <w:r>
        <w:t xml:space="preserve">a large plant’s quarter-century under a hundred megabytes. The architecture</w:t>
      </w:r>
      <w:r>
        <w:t xml:space="preserve"> </w:t>
      </w:r>
      <w:r>
        <w:t xml:space="preserve">absorbs post-quantum signature inflation</w:t>
      </w:r>
      <w:r>
        <w:t xml:space="preserve"> </w:t>
      </w:r>
      <w:r>
        <w:rPr>
          <w:iCs/>
          <w:i/>
        </w:rPr>
        <w:t xml:space="preserve">because</w:t>
      </w:r>
      <w:r>
        <w:t xml:space="preserve"> </w:t>
      </w:r>
      <w:r>
        <w:t xml:space="preserve">Chapter 4 exiled</w:t>
      </w:r>
      <w:r>
        <w:t xml:space="preserve"> </w:t>
      </w:r>
      <w:r>
        <w:t xml:space="preserve">payloads from the ledger; systems that stored content on-chain face the</w:t>
      </w:r>
      <w:r>
        <w:t xml:space="preserve"> </w:t>
      </w:r>
      <w:r>
        <w:t xml:space="preserve">same transition with three more zeros attached.</w:t>
      </w:r>
    </w:p>
    <w:bookmarkEnd w:id="24"/>
    <w:bookmarkStart w:id="26" w:name="X87fb31d888b212a6b37398cddc778f15bce3e24"/>
    <w:p>
      <w:pPr>
        <w:pStyle w:val="Heading2"/>
      </w:pPr>
      <w:r>
        <w:t xml:space="preserve">9.4 Migration Patterns: Keeping Old Evidence Meaningful</w:t>
      </w:r>
    </w:p>
    <w:p>
      <w:pPr>
        <w:pStyle w:val="FirstParagraph"/>
      </w:pPr>
      <w:r>
        <w:t xml:space="preserve">The heart of the chapter. Four patterns, composable, in ascending order of</w:t>
      </w:r>
      <w:r>
        <w:t xml:space="preserve"> </w:t>
      </w:r>
      <w:r>
        <w:t xml:space="preserve">machinery. Their shared design constraint is worth stating first: every</w:t>
      </w:r>
      <w:r>
        <w:t xml:space="preserve"> </w:t>
      </w:r>
      <w:r>
        <w:t xml:space="preserve">pattern must operate</w:t>
      </w:r>
      <w:r>
        <w:t xml:space="preserve"> </w:t>
      </w:r>
      <w:r>
        <w:rPr>
          <w:iCs/>
          <w:i/>
        </w:rPr>
        <w:t xml:space="preserve">without touching committed records</w:t>
      </w:r>
      <w:r>
        <w:t xml:space="preserve"> </w:t>
      </w:r>
      <w:r>
        <w:t xml:space="preserve">— records are</w:t>
      </w:r>
      <w:r>
        <w:t xml:space="preserve"> </w:t>
      </w:r>
      <w:r>
        <w:t xml:space="preserve">immutable, authors are gone, and any</w:t>
      </w:r>
      <w:r>
        <w:t xml:space="preserve"> </w:t>
      </w:r>
      <w:r>
        <w:t xml:space="preserve">“</w:t>
      </w:r>
      <w:r>
        <w:t xml:space="preserve">migration</w:t>
      </w:r>
      <w:r>
        <w:t xml:space="preserve">”</w:t>
      </w:r>
      <w:r>
        <w:t xml:space="preserve"> </w:t>
      </w:r>
      <w:r>
        <w:t xml:space="preserve">that rewrites history has</w:t>
      </w:r>
      <w:r>
        <w:t xml:space="preserve"> </w:t>
      </w:r>
      <w:r>
        <w:t xml:space="preserve">sawed off the branch the system sits on. Migration here means adding new</w:t>
      </w:r>
      <w:r>
        <w:t xml:space="preserve"> </w:t>
      </w:r>
      <w:r>
        <w:t xml:space="preserve">commitments, new attestations, and new policy context</w:t>
      </w:r>
      <w:r>
        <w:t xml:space="preserve"> </w:t>
      </w:r>
      <w:r>
        <w:rPr>
          <w:iCs/>
          <w:i/>
        </w:rPr>
        <w:t xml:space="preserve">around</w:t>
      </w:r>
      <w:r>
        <w:t xml:space="preserve"> </w:t>
      </w:r>
      <w:r>
        <w:t xml:space="preserve">old records,</w:t>
      </w:r>
      <w:r>
        <w:t xml:space="preserve"> </w:t>
      </w:r>
      <w:r>
        <w:t xml:space="preserve">so that their meaning survives even as the mathematics beneath their</w:t>
      </w:r>
      <w:r>
        <w:t xml:space="preserve"> </w:t>
      </w:r>
      <w:r>
        <w:t xml:space="preserve">original signatures decays.</w:t>
      </w:r>
    </w:p>
    <w:p>
      <w:pPr>
        <w:pStyle w:val="BodyText"/>
      </w:pPr>
      <w:r>
        <w:rPr>
          <w:bCs/>
          <w:b/>
        </w:rPr>
        <w:t xml:space="preserve">P1 — Cryptographic re-anchoring (the workhorse).</w:t>
      </w:r>
      <w:r>
        <w:t xml:space="preserve"> </w:t>
      </w:r>
      <w:r>
        <w:t xml:space="preserve">Before algorithm A weakens,</w:t>
      </w:r>
      <w:r>
        <w:t xml:space="preserve"> </w:t>
      </w:r>
      <w:r>
        <w:t xml:space="preserve">compute a fresh commitment over the</w:t>
      </w:r>
      <w:r>
        <w:t xml:space="preserve"> </w:t>
      </w:r>
      <w:r>
        <w:rPr>
          <w:iCs/>
          <w:i/>
        </w:rPr>
        <w:t xml:space="preserve">entire existing ledger</w:t>
      </w:r>
      <w:r>
        <w:t xml:space="preserve"> </w:t>
      </w:r>
      <w:r>
        <w:t xml:space="preserve">using successor</w:t>
      </w:r>
      <w:r>
        <w:t xml:space="preserve"> </w:t>
      </w:r>
      <w:r>
        <w:t xml:space="preserve">algorithm B, and anchor it (consortium event + public anchors). The old records’</w:t>
      </w:r>
      <w:r>
        <w:t xml:space="preserve"> </w:t>
      </w:r>
      <w:r>
        <w:t xml:space="preserve">authority now rests on a checkable fact: they were fixed in an anchored structure</w:t>
      </w:r>
      <w:r>
        <w:t xml:space="preserve"> </w:t>
      </w:r>
      <w:r>
        <w:rPr>
          <w:iCs/>
          <w:i/>
        </w:rPr>
        <w:t xml:space="preserve">at a time when A was still strong</w:t>
      </w:r>
      <w:r>
        <w:t xml:space="preserve"> </w:t>
      </w:r>
      <w:r>
        <w:t xml:space="preserve">— forging them later requires having beaten A</w:t>
      </w:r>
      <w:r>
        <w:t xml:space="preserve"> </w:t>
      </w:r>
      <w:r>
        <w:t xml:space="preserve">before the re-anchor, a bounded and dated claim rather than an eternal one.</w:t>
      </w:r>
      <w:r>
        <w:t xml:space="preserve"> </w:t>
      </w:r>
      <w:r>
        <w:t xml:space="preserve">Re-anchoring is cheap (one traversal, one event), repeatable per transition, and</w:t>
      </w:r>
      <w:r>
        <w:t xml:space="preserve"> </w:t>
      </w:r>
      <w:r>
        <w:t xml:space="preserve">retroactively protects records whose authors are long gone — the only</w:t>
      </w:r>
      <w:r>
        <w:t xml:space="preserve"> </w:t>
      </w:r>
      <w:r>
        <w:t xml:space="preserve">pattern in the kit that can defend the dead, which is why it runs first</w:t>
      </w:r>
      <w:r>
        <w:t xml:space="preserve"> </w:t>
      </w:r>
      <w:r>
        <w:t xml:space="preserve">and oftenest. It is the direct</w:t>
      </w:r>
      <w:r>
        <w:t xml:space="preserve"> </w:t>
      </w:r>
      <w:r>
        <w:t xml:space="preserve">implementation of Section 9.1’s principle: evidential weight moves from signature</w:t>
      </w:r>
      <w:r>
        <w:t xml:space="preserve"> </w:t>
      </w:r>
      <w:r>
        <w:t xml:space="preserve">to anchored structure.</w:t>
      </w:r>
    </w:p>
    <w:p>
      <w:pPr>
        <w:pStyle w:val="BodyText"/>
      </w:pPr>
      <w:r>
        <w:t xml:space="preserve">The procedure, specified because the pattern’s value lives in its details:</w:t>
      </w:r>
      <w:r>
        <w:t xml:space="preserve"> </w:t>
      </w:r>
      <w:r>
        <w:t xml:space="preserve">the re-anchor traverses the ledger and all custody-held payloads (not just</w:t>
      </w:r>
      <w:r>
        <w:t xml:space="preserve"> </w:t>
      </w:r>
      <w:r>
        <w:t xml:space="preserve">envelopes — the payload digests are being re-committed too, which is P4</w:t>
      </w:r>
      <w:r>
        <w:t xml:space="preserve"> </w:t>
      </w:r>
      <w:r>
        <w:t xml:space="preserve">riding along), computes the new-algorithm commitment tree, publishes the</w:t>
      </w:r>
      <w:r>
        <w:t xml:space="preserve"> </w:t>
      </w:r>
      <w:r>
        <w:t xml:space="preserve">root through the standard anchoring path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a dedicated re-anchor event</w:t>
      </w:r>
      <w:r>
        <w:t xml:space="preserve"> </w:t>
      </w:r>
      <w:r>
        <w:t xml:space="preserve">carrying the algorithm metadata and traversal attestations, and — the step</w:t>
      </w:r>
      <w:r>
        <w:t xml:space="preserve"> </w:t>
      </w:r>
      <w:r>
        <w:t xml:space="preserve">that converts a technical act into an evidential one — is performed</w:t>
      </w:r>
      <w:r>
        <w:t xml:space="preserve"> </w:t>
      </w:r>
      <w:r>
        <w:rPr>
          <w:iCs/>
          <w:i/>
        </w:rPr>
        <w:t xml:space="preserve">redundantly by multiple members with adverse interests</w:t>
      </w:r>
      <w:r>
        <w:t xml:space="preserve">, whose independent</w:t>
      </w:r>
      <w:r>
        <w:t xml:space="preserve"> </w:t>
      </w:r>
      <w:r>
        <w:t xml:space="preserve">roots must match before the governance event confirms. A re-anchor computed</w:t>
      </w:r>
      <w:r>
        <w:t xml:space="preserve"> </w:t>
      </w:r>
      <w:r>
        <w:t xml:space="preserve">by one operator is a claim; computed by five who would happily catch each</w:t>
      </w:r>
      <w:r>
        <w:t xml:space="preserve"> </w:t>
      </w:r>
      <w:r>
        <w:t xml:space="preserve">other cheating, it is evidence. Timing policy: re-anchor on algorithm</w:t>
      </w:r>
      <w:r>
        <w:t xml:space="preserve"> </w:t>
      </w:r>
      <w:r>
        <w:t xml:space="preserve">milestones (a NIST deprecation, a published cryptanalytic advance) and on a</w:t>
      </w:r>
      <w:r>
        <w:t xml:space="preserve"> </w:t>
      </w:r>
      <w:r>
        <w:t xml:space="preserve">fixed decadal schedule regardless — because the milestone you react to may</w:t>
      </w:r>
      <w:r>
        <w:t xml:space="preserve"> </w:t>
      </w:r>
      <w:r>
        <w:t xml:space="preserve">be announced years after the capability it reveals existed.</w:t>
      </w:r>
    </w:p>
    <w:p>
      <w:pPr>
        <w:pStyle w:val="BodyText"/>
      </w:pPr>
      <w:r>
        <w:t xml:space="preserve">The pattern’s limit is stated as plainly as its strength: P1 protects</w:t>
      </w:r>
      <w:r>
        <w:t xml:space="preserve"> </w:t>
      </w:r>
      <w:r>
        <w:rPr>
          <w:iCs/>
          <w:i/>
        </w:rPr>
        <w:t xml:space="preserve">integrity</w:t>
      </w:r>
      <w:r>
        <w:t xml:space="preserve">, not attribution. After algorithm A falls, the re-anchored</w:t>
      </w:r>
      <w:r>
        <w:t xml:space="preserve"> </w:t>
      </w:r>
      <w:r>
        <w:t xml:space="preserve">record proves those bytes existed before the re-anchor date — but the claim</w:t>
      </w:r>
      <w:r>
        <w:t xml:space="preserve"> </w:t>
      </w:r>
      <w:r>
        <w:t xml:space="preserve">“</w:t>
      </w:r>
      <w:r>
        <w:t xml:space="preserve">party X authored this</w:t>
      </w:r>
      <w:r>
        <w:t xml:space="preserve">”</w:t>
      </w:r>
      <w:r>
        <w:t xml:space="preserve"> </w:t>
      </w:r>
      <w:r>
        <w:t xml:space="preserve">now rests on A-era signatures whose forgeability is</w:t>
      </w:r>
      <w:r>
        <w:t xml:space="preserve"> </w:t>
      </w:r>
      <w:r>
        <w:t xml:space="preserve">retrospective. This is why P2’s time-contextual verification matters (the</w:t>
      </w:r>
      <w:r>
        <w:t xml:space="preserve"> </w:t>
      </w:r>
      <w:r>
        <w:t xml:space="preserve">authorship claim is evaluated against A’s strength</w:t>
      </w:r>
      <w:r>
        <w:t xml:space="preserve"> </w:t>
      </w:r>
      <w:r>
        <w:rPr>
          <w:iCs/>
          <w:i/>
        </w:rPr>
        <w:t xml:space="preserve">at signing time</w:t>
      </w:r>
      <w:r>
        <w:t xml:space="preserve">, an</w:t>
      </w:r>
      <w:r>
        <w:t xml:space="preserve"> </w:t>
      </w:r>
      <w:r>
        <w:t xml:space="preserve">argument courts already accept for expired notarial regimes), why the</w:t>
      </w:r>
      <w:r>
        <w:t xml:space="preserve"> </w:t>
      </w:r>
      <w:r>
        <w:t xml:space="preserve">corroboration classes help (forging one A-signature is a different</w:t>
      </w:r>
      <w:r>
        <w:t xml:space="preserve"> </w:t>
      </w:r>
      <w:r>
        <w:t xml:space="preserve">retrospective task than forging three mutually consistent ones inside an</w:t>
      </w:r>
      <w:r>
        <w:t xml:space="preserve"> </w:t>
      </w:r>
      <w:r>
        <w:t xml:space="preserve">anchored structure), and why Section 9.5’s physical cross-check is the</w:t>
      </w:r>
      <w:r>
        <w:t xml:space="preserve"> </w:t>
      </w:r>
      <w:r>
        <w:t xml:space="preserve">final backstop for attribution disputes that outlive their algorithms.</w:t>
      </w:r>
    </w:p>
    <w:p>
      <w:pPr>
        <w:pStyle w:val="BodyText"/>
      </w:pPr>
      <w:r>
        <w:rPr>
          <w:bCs/>
          <w:b/>
        </w:rPr>
        <w:t xml:space="preserve">P2 — Timestamped supersession of role keys.</w:t>
      </w:r>
      <w:r>
        <w:t xml:space="preserve"> </w:t>
      </w:r>
      <w:r>
        <w:t xml:space="preserve">Every role accreditation</w:t>
      </w:r>
      <w:r>
        <w:t xml:space="preserve"> </w:t>
      </w:r>
      <w:r>
        <w:t xml:space="preserve">(Section 8.5, F9) carries algorithm metadata and validity intervals; migration is</w:t>
      </w:r>
      <w:r>
        <w:t xml:space="preserve"> </w:t>
      </w:r>
      <w:r>
        <w:t xml:space="preserve">a governed succession event (</w:t>
      </w:r>
      <w:r>
        <w:t xml:space="preserve">“</w:t>
      </w:r>
      <w:r>
        <w:t xml:space="preserve">registrar M’s ECDSA accreditation ends at T; ML-DSA</w:t>
      </w:r>
      <w:r>
        <w:t xml:space="preserve"> </w:t>
      </w:r>
      <w:r>
        <w:t xml:space="preserve">accreditation begins</w:t>
      </w:r>
      <w:r>
        <w:t xml:space="preserve">”</w:t>
      </w:r>
      <w:r>
        <w:t xml:space="preserve">), so verifiers evaluate old signatures</w:t>
      </w:r>
      <w:r>
        <w:t xml:space="preserve"> </w:t>
      </w:r>
      <w:r>
        <w:rPr>
          <w:iCs/>
          <w:i/>
        </w:rPr>
        <w:t xml:space="preserve">against the</w:t>
      </w:r>
      <w:r>
        <w:rPr>
          <w:iCs/>
          <w:i/>
        </w:rPr>
        <w:t xml:space="preserve"> </w:t>
      </w:r>
      <w:r>
        <w:rPr>
          <w:iCs/>
          <w:i/>
        </w:rPr>
        <w:t xml:space="preserve">algorithm policy in force at signing time</w:t>
      </w:r>
      <w:r>
        <w:t xml:space="preserve">, with the policy history itself on the</w:t>
      </w:r>
      <w:r>
        <w:t xml:space="preserve"> </w:t>
      </w:r>
      <w:r>
        <w:t xml:space="preserve">ledger. Verification becomes time-contextual — the 2049 adjudicator checks that</w:t>
      </w:r>
      <w:r>
        <w:t xml:space="preserve"> </w:t>
      </w:r>
      <w:r>
        <w:t xml:space="preserve">the 2027 signature was valid</w:t>
      </w:r>
      <w:r>
        <w:t xml:space="preserve"> </w:t>
      </w:r>
      <w:r>
        <w:rPr>
          <w:iCs/>
          <w:i/>
        </w:rPr>
        <w:t xml:space="preserve">by 2027 rules</w:t>
      </w:r>
      <w:r>
        <w:t xml:space="preserve"> </w:t>
      </w:r>
      <w:r>
        <w:t xml:space="preserve">and that the record predates the 2032</w:t>
      </w:r>
      <w:r>
        <w:t xml:space="preserve"> </w:t>
      </w:r>
      <w:r>
        <w:t xml:space="preserve">re-anchor. Appendix A sketches the verifier logic.</w:t>
      </w:r>
    </w:p>
    <w:p>
      <w:pPr>
        <w:pStyle w:val="BodyText"/>
      </w:pPr>
      <w:r>
        <w:t xml:space="preserve">P2 has a legal ancestry worth citing when the pattern meets skeptical</w:t>
      </w:r>
      <w:r>
        <w:t xml:space="preserve"> </w:t>
      </w:r>
      <w:r>
        <w:t xml:space="preserve">counsel: documents notarized under seal regimes that have since been</w:t>
      </w:r>
      <w:r>
        <w:t xml:space="preserve"> </w:t>
      </w:r>
      <w:r>
        <w:t xml:space="preserve">superseded, contracts executed under signature statutes since repealed, and</w:t>
      </w:r>
      <w:r>
        <w:t xml:space="preserve"> </w:t>
      </w:r>
      <w:r>
        <w:t xml:space="preserve">land records maintained under abandoned recording systems all remain</w:t>
      </w:r>
      <w:r>
        <w:t xml:space="preserve"> </w:t>
      </w:r>
      <w:r>
        <w:t xml:space="preserve">evidentially effective — courts evaluate them against the formalities</w:t>
      </w:r>
      <w:r>
        <w:t xml:space="preserve"> </w:t>
      </w:r>
      <w:r>
        <w:rPr>
          <w:iCs/>
          <w:i/>
        </w:rPr>
        <w:t xml:space="preserve">of</w:t>
      </w:r>
      <w:r>
        <w:rPr>
          <w:iCs/>
          <w:i/>
        </w:rPr>
        <w:t xml:space="preserve"> </w:t>
      </w:r>
      <w:r>
        <w:rPr>
          <w:iCs/>
          <w:i/>
        </w:rPr>
        <w:t xml:space="preserve">their time</w:t>
      </w:r>
      <w:r>
        <w:t xml:space="preserve">, provided an unbroken custodial chain connects then to now. P2</w:t>
      </w:r>
      <w:r>
        <w:t xml:space="preserve"> </w:t>
      </w:r>
      <w:r>
        <w:t xml:space="preserve">is that doctrine, mechanized: the algorithm policy register is the statute</w:t>
      </w:r>
      <w:r>
        <w:t xml:space="preserve"> </w:t>
      </w:r>
      <w:r>
        <w:t xml:space="preserve">book of formalities, the anchored chain is the custody, and the verifier’s</w:t>
      </w:r>
      <w:r>
        <w:t xml:space="preserve"> </w:t>
      </w:r>
      <w:r>
        <w:t xml:space="preserve">time-contextual check is the court’s analysis, executable in milliseconds.</w:t>
      </w:r>
      <w:r>
        <w:t xml:space="preserve"> </w:t>
      </w:r>
      <w:r>
        <w:t xml:space="preserve">The pattern’s demand on the present is only that the policy register be</w:t>
      </w:r>
      <w:r>
        <w:t xml:space="preserve"> </w:t>
      </w:r>
      <w:r>
        <w:t xml:space="preserve">maintained</w:t>
      </w:r>
      <w:r>
        <w:t xml:space="preserve"> </w:t>
      </w:r>
      <w:r>
        <w:rPr>
          <w:iCs/>
          <w:i/>
        </w:rPr>
        <w:t xml:space="preserve">now</w:t>
      </w:r>
      <w:r>
        <w:t xml:space="preserve">, unambiguously, with effective heights — because the one</w:t>
      </w:r>
      <w:r>
        <w:t xml:space="preserve"> </w:t>
      </w:r>
      <w:r>
        <w:t xml:space="preserve">thing the 2049 adjudicator cannot reconstruct is what 2027 believed about</w:t>
      </w:r>
      <w:r>
        <w:t xml:space="preserve"> </w:t>
      </w:r>
      <w:r>
        <w:t xml:space="preserve">its own algorithms if 2027 never wrote it down. Every jurisdiction’s</w:t>
      </w:r>
      <w:r>
        <w:t xml:space="preserve"> </w:t>
      </w:r>
      <w:r>
        <w:t xml:space="preserve">evidence law will phrase the analysis differently; the register’s job is to</w:t>
      </w:r>
      <w:r>
        <w:t xml:space="preserve"> </w:t>
      </w:r>
      <w:r>
        <w:t xml:space="preserve">make sure that, however phrased, the analysis has facts to run on.</w:t>
      </w:r>
    </w:p>
    <w:p>
      <w:pPr>
        <w:pStyle w:val="BodyText"/>
      </w:pPr>
      <w:r>
        <w:rPr>
          <w:bCs/>
          <w:b/>
        </w:rPr>
        <w:t xml:space="preserve">P3 — Re-attestation of living bindings.</w:t>
      </w:r>
      <w:r>
        <w:t xml:space="preserve"> </w:t>
      </w:r>
      <w:r>
        <w:t xml:space="preserve">Signatures can be re-anchored;</w:t>
      </w:r>
      <w:r>
        <w:t xml:space="preserve"> </w:t>
      </w:r>
      <w:r>
        <w:rPr>
          <w:iCs/>
          <w:i/>
        </w:rPr>
        <w:t xml:space="preserve">hardware</w:t>
      </w:r>
      <w:r>
        <w:t xml:space="preserve"> </w:t>
      </w:r>
      <w:r>
        <w:t xml:space="preserve">cannot. Secure elements with ECC roots (Table 9.1, row 2) must be</w:t>
      </w:r>
      <w:r>
        <w:t xml:space="preserve"> </w:t>
      </w:r>
      <w:r>
        <w:t xml:space="preserve">re-attested under PQC instruments as fleets refresh — an</w:t>
      </w:r>
      <w:r>
        <w:t xml:space="preserve"> </w:t>
      </w:r>
      <w:r>
        <w:rPr>
          <w:rStyle w:val="VerbatimChar"/>
        </w:rPr>
        <w:t xml:space="preserve">EVT_REENROLL</w:t>
      </w:r>
      <w:r>
        <w:t xml:space="preserve">-class</w:t>
      </w:r>
      <w:r>
        <w:t xml:space="preserve"> </w:t>
      </w:r>
      <w:r>
        <w:t xml:space="preserve">event linking the old device identity to a new attestation, at the natural</w:t>
      </w:r>
      <w:r>
        <w:t xml:space="preserve"> </w:t>
      </w:r>
      <w:r>
        <w:t xml:space="preserve">hardware-replacement cadence of inverters (10–15 years), which conveniently fits</w:t>
      </w:r>
      <w:r>
        <w:t xml:space="preserve"> </w:t>
      </w:r>
      <w:r>
        <w:t xml:space="preserve">inside any plausible (z). Passive assets need no P3: their binding is physics</w:t>
      </w:r>
      <w:r>
        <w:t xml:space="preserve"> </w:t>
      </w:r>
      <w:r>
        <w:t xml:space="preserve">(Table 9.1’s last row), and only the</w:t>
      </w:r>
      <w:r>
        <w:t xml:space="preserve"> </w:t>
      </w:r>
      <w:r>
        <w:rPr>
          <w:iCs/>
          <w:i/>
        </w:rPr>
        <w:t xml:space="preserve">records about them</w:t>
      </w:r>
      <w:r>
        <w:t xml:space="preserve"> </w:t>
      </w:r>
      <w:r>
        <w:t xml:space="preserve">need P1/P2.</w:t>
      </w:r>
    </w:p>
    <w:p>
      <w:pPr>
        <w:pStyle w:val="BodyText"/>
      </w:pPr>
      <w:r>
        <w:t xml:space="preserve">P3 also has a graceful-degradation property worth noticing: a device whose</w:t>
      </w:r>
      <w:r>
        <w:t xml:space="preserve"> </w:t>
      </w:r>
      <w:r>
        <w:t xml:space="preserve">element is never re-attested does not fall out of the system — its</w:t>
      </w:r>
      <w:r>
        <w:t xml:space="preserve"> </w:t>
      </w:r>
      <w:r>
        <w:t xml:space="preserve">historical attestations remain valid under P2, its telemetry remains</w:t>
      </w:r>
      <w:r>
        <w:t xml:space="preserve"> </w:t>
      </w:r>
      <w:r>
        <w:t xml:space="preserve">corroborating context, and only its</w:t>
      </w:r>
      <w:r>
        <w:t xml:space="preserve"> </w:t>
      </w:r>
      <w:r>
        <w:rPr>
          <w:iCs/>
          <w:i/>
        </w:rPr>
        <w:t xml:space="preserve">live</w:t>
      </w:r>
      <w:r>
        <w:t xml:space="preserve"> </w:t>
      </w:r>
      <w:r>
        <w:t xml:space="preserve">challenge-response assurance</w:t>
      </w:r>
      <w:r>
        <w:t xml:space="preserve"> </w:t>
      </w:r>
      <w:r>
        <w:t xml:space="preserve">decays to era-1 strength, which verifiers weight accordingly. Migration</w:t>
      </w:r>
      <w:r>
        <w:t xml:space="preserve"> </w:t>
      </w:r>
      <w:r>
        <w:t xml:space="preserve">laggards get weaker evidence, not exile — the incentive gradient without a</w:t>
      </w:r>
      <w:r>
        <w:t xml:space="preserve"> </w:t>
      </w:r>
      <w:r>
        <w:t xml:space="preserve">cliff. P3’s operational shape matters for procurement now. The re-attestation event</w:t>
      </w:r>
      <w:r>
        <w:t xml:space="preserve"> </w:t>
      </w:r>
      <w:r>
        <w:t xml:space="preserve">requires an element capable of a PQC handshake — either a replacement</w:t>
      </w:r>
      <w:r>
        <w:t xml:space="preserve"> </w:t>
      </w:r>
      <w:r>
        <w:t xml:space="preserve">element (the normal case at hardware refresh) or a firmware-upgradeable one</w:t>
      </w:r>
      <w:r>
        <w:t xml:space="preserve"> </w:t>
      </w:r>
      <w:r>
        <w:t xml:space="preserve">(available in current-generation secure elements for lattice schemes, not</w:t>
      </w:r>
      <w:r>
        <w:t xml:space="preserve"> </w:t>
      </w:r>
      <w:r>
        <w:t xml:space="preserve">for hash-based ones at useful performance). The procurement clause that</w:t>
      </w:r>
      <w:r>
        <w:t xml:space="preserve"> </w:t>
      </w:r>
      <w:r>
        <w:t xml:space="preserve">follows: devices bought from this year forward must either carry</w:t>
      </w:r>
      <w:r>
        <w:t xml:space="preserve"> </w:t>
      </w:r>
      <w:r>
        <w:t xml:space="preserve">PQC-capable elements or be contractually upgradeable, because a 2026</w:t>
      </w:r>
      <w:r>
        <w:t xml:space="preserve"> </w:t>
      </w:r>
      <w:r>
        <w:t xml:space="preserve">inverter with a locked ECC-only element will still be in service in 2041,</w:t>
      </w:r>
      <w:r>
        <w:t xml:space="preserve"> </w:t>
      </w:r>
      <w:r>
        <w:t xml:space="preserve">and its identity will then rest entirely on P1/P2’s treatment of its</w:t>
      </w:r>
      <w:r>
        <w:t xml:space="preserve"> </w:t>
      </w:r>
      <w:r>
        <w:t xml:space="preserve">historical attestations plus whatever operational corroboration its</w:t>
      </w:r>
      <w:r>
        <w:t xml:space="preserve"> </w:t>
      </w:r>
      <w:r>
        <w:t xml:space="preserve">telemetry provides. The gap is manageable — inverters are corroborated</w:t>
      </w:r>
      <w:r>
        <w:t xml:space="preserve"> </w:t>
      </w:r>
      <w:r>
        <w:t xml:space="preserve">devices, not lone witnesses — but it is a gap the purchase order could</w:t>
      </w:r>
      <w:r>
        <w:t xml:space="preserve"> </w:t>
      </w:r>
      <w:r>
        <w:t xml:space="preserve">have closed for a dollar.</w:t>
      </w:r>
    </w:p>
    <w:p>
      <w:pPr>
        <w:pStyle w:val="BodyText"/>
      </w:pPr>
      <w:r>
        <w:rPr>
          <w:bCs/>
          <w:b/>
        </w:rPr>
        <w:t xml:space="preserve">P4 — Digest upsizing with dual-commitment.</w:t>
      </w:r>
      <w:r>
        <w:t xml:space="preserve"> </w:t>
      </w:r>
      <w:r>
        <w:t xml:space="preserve">For the Grover-class erosion of</w:t>
      </w:r>
      <w:r>
        <w:t xml:space="preserve"> </w:t>
      </w:r>
      <w:r>
        <w:t xml:space="preserve">hash security: new events commit payload digests under both the incumbent and the</w:t>
      </w:r>
      <w:r>
        <w:t xml:space="preserve"> </w:t>
      </w:r>
      <w:r>
        <w:t xml:space="preserve">successor hash during a transition window, and P1 re-anchors old single-digest</w:t>
      </w:r>
      <w:r>
        <w:t xml:space="preserve"> </w:t>
      </w:r>
      <w:r>
        <w:t xml:space="preserve">records under the new hash wholesale. Mechanically trivial; the discipline is</w:t>
      </w:r>
      <w:r>
        <w:t xml:space="preserve"> </w:t>
      </w:r>
      <w:r>
        <w:t xml:space="preserve">having the</w:t>
      </w:r>
      <w:r>
        <w:t xml:space="preserve"> </w:t>
      </w:r>
      <w:r>
        <w:rPr>
          <w:rStyle w:val="VerbatimChar"/>
        </w:rPr>
        <w:t xml:space="preserve">payload_digest</w:t>
      </w:r>
      <w:r>
        <w:t xml:space="preserve"> </w:t>
      </w:r>
      <w:r>
        <w:t xml:space="preserve">field versioned from day one, which Section 5.4 did.</w:t>
      </w:r>
      <w:r>
        <w:t xml:space="preserve"> </w:t>
      </w:r>
      <w:r>
        <w:t xml:space="preserve">The window’s length is set by verifier</w:t>
      </w:r>
      <w:r>
        <w:t xml:space="preserve"> </w:t>
      </w:r>
      <w:r>
        <w:t xml:space="preserve">ecosystems, not by cryptography — every client library, contract, and</w:t>
      </w:r>
      <w:r>
        <w:t xml:space="preserve"> </w:t>
      </w:r>
      <w:r>
        <w:t xml:space="preserve">conformance suite must verify both digests before either can be retired —</w:t>
      </w:r>
      <w:r>
        <w:t xml:space="preserve"> </w:t>
      </w:r>
      <w:r>
        <w:t xml:space="preserve">and the schedule discipline is the lesson the SHA-1 deprecation taught the</w:t>
      </w:r>
      <w:r>
        <w:t xml:space="preserve"> </w:t>
      </w:r>
      <w:r>
        <w:t xml:space="preserve">web at scale: announced sunsets with enforced deadlines migrate ecosystems;</w:t>
      </w:r>
      <w:r>
        <w:t xml:space="preserve"> </w:t>
      </w:r>
      <w:r>
        <w:t xml:space="preserve">open-ended dual-support migrates nothing.</w:t>
      </w:r>
    </w:p>
    <w:bookmarkStart w:id="25" w:name="composing-the-patterns"/>
    <w:p>
      <w:pPr>
        <w:pStyle w:val="Heading3"/>
      </w:pPr>
      <w:r>
        <w:t xml:space="preserve">9.4.1 Composing the Patterns</w:t>
      </w:r>
    </w:p>
    <w:p>
      <w:pPr>
        <w:pStyle w:val="FirstParagraph"/>
      </w:pPr>
      <w:r>
        <w:t xml:space="preserve">The four patterns are a kit, not a menu, and Table 9.3 shows which exposure</w:t>
      </w:r>
      <w:r>
        <w:t xml:space="preserve"> </w:t>
      </w:r>
      <w:r>
        <w:t xml:space="preserve">each closes — the check a deployment’s migration plan should be audited</w:t>
      </w:r>
      <w:r>
        <w:t xml:space="preserve"> </w:t>
      </w:r>
      <w:r>
        <w:t xml:space="preserve">against, since plans that adopt P1 alone (the common shortcut, because it is</w:t>
      </w:r>
      <w:r>
        <w:t xml:space="preserve"> </w:t>
      </w:r>
      <w:r>
        <w:t xml:space="preserve">the cheapest) leave attribution, hardware, and digest exposures standing.</w:t>
      </w:r>
    </w:p>
    <w:p>
      <w:pPr>
        <w:pStyle w:val="BodyText"/>
      </w:pPr>
      <w:r>
        <w:rPr>
          <w:bCs/>
          <w:b/>
        </w:rPr>
        <w:t xml:space="preserve">Table 9.3</w:t>
      </w:r>
      <w:r>
        <w:t xml:space="preserve"> </w:t>
      </w:r>
      <w:r>
        <w:t xml:space="preserve">Exposure-to-pattern coverage map.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Exposure (from Table 9.1)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 re-anchor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P2 supersession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P3 re-attestation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P4 digest upsizing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Retrospective event forgery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integrity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attribution context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Fake device attestations post-CRQC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bounds era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policy context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closes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Collision-forged payloads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dates commitment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closes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Anchor forgery on public chains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 dual-target + re-anchor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(anchor digests ride along)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Orphaned/estate keys (F9 × CRQC)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● closes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Figure 9.1</w:t>
      </w:r>
      <w:r>
        <w:t xml:space="preserve"> </w:t>
      </w:r>
      <w:r>
        <w:t xml:space="preserve">The migration timeline as the schema sees it: overlapping algorithm</w:t>
      </w:r>
      <w:r>
        <w:t xml:space="preserve"> </w:t>
      </w:r>
      <w:r>
        <w:t xml:space="preserve">validity intervals, periodic re-anchors, and hardware re-attestation waves. A</w:t>
      </w:r>
      <w:r>
        <w:t xml:space="preserve"> </w:t>
      </w:r>
      <w:r>
        <w:t xml:space="preserve">verifier at any point evaluates each record against the policy in force at its</w:t>
      </w:r>
      <w:r>
        <w:t xml:space="preserve"> </w:t>
      </w:r>
      <w:r>
        <w:t xml:space="preserve">creation, plus the re-anchor chain since.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ERA1 [Era 1: classical]</w:t>
      </w:r>
      <w:r>
        <w:br/>
      </w:r>
      <w:r>
        <w:rPr>
          <w:rStyle w:val="VerbatimChar"/>
        </w:rPr>
        <w:t xml:space="preserve">        E1[Events signed ECDSA&lt;br&gt;digests SHA-256]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TRANS [Transition window]</w:t>
      </w:r>
      <w:r>
        <w:br/>
      </w:r>
      <w:r>
        <w:rPr>
          <w:rStyle w:val="VerbatimChar"/>
        </w:rPr>
        <w:t xml:space="preserve">        H[Hybrid signing&lt;br&gt;ECDSA + ML-DSA&lt;br&gt;dual digests]</w:t>
      </w:r>
      <w:r>
        <w:br/>
      </w:r>
      <w:r>
        <w:rPr>
          <w:rStyle w:val="VerbatimChar"/>
        </w:rPr>
        <w:t xml:space="preserve">        RA1[Re-anchor R1:&lt;br&gt;whole ledger under&lt;br&gt;PQC hash + SLH-DSA]</w:t>
      </w:r>
      <w:r>
        <w:br/>
      </w:r>
      <w:r>
        <w:rPr>
          <w:rStyle w:val="VerbatimChar"/>
        </w:rPr>
        <w:t xml:space="preserve">        RE[Instrument fleet&lt;br&gt;re-attestation P3]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ERA2 [Era 2: post-quantum]</w:t>
      </w:r>
      <w:r>
        <w:br/>
      </w:r>
      <w:r>
        <w:rPr>
          <w:rStyle w:val="VerbatimChar"/>
        </w:rPr>
        <w:t xml:space="preserve">        E2[Events signed ML-DSA /&lt;br&gt;SLH-DSA for roles]</w:t>
      </w:r>
      <w:r>
        <w:br/>
      </w:r>
      <w:r>
        <w:rPr>
          <w:rStyle w:val="VerbatimChar"/>
        </w:rPr>
        <w:t xml:space="preserve">        RA2[Periodic re-anchors&lt;br&gt;continue as policy]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E1 --&gt; H --&gt; E2</w:t>
      </w:r>
      <w:r>
        <w:br/>
      </w:r>
      <w:r>
        <w:rPr>
          <w:rStyle w:val="VerbatimChar"/>
        </w:rPr>
        <w:t xml:space="preserve">    E1 -. authority preserved via .-&gt; RA1</w:t>
      </w:r>
      <w:r>
        <w:br/>
      </w:r>
      <w:r>
        <w:rPr>
          <w:rStyle w:val="VerbatimChar"/>
        </w:rPr>
        <w:t xml:space="preserve">    RA1 --&gt; RA2</w:t>
      </w:r>
      <w:r>
        <w:br/>
      </w:r>
      <w:r>
        <w:rPr>
          <w:rStyle w:val="VerbatimChar"/>
        </w:rPr>
        <w:t xml:space="preserve">    H --&gt; RE</w:t>
      </w:r>
    </w:p>
    <w:bookmarkEnd w:id="25"/>
    <w:bookmarkEnd w:id="26"/>
    <w:bookmarkStart w:id="27" w:name="X5dc7fa91ab48b3034788af0879271304c8668d6"/>
    <w:p>
      <w:pPr>
        <w:pStyle w:val="Heading2"/>
      </w:pPr>
      <w:r>
        <w:t xml:space="preserve">9.5 The Post-Quantum Dividend of Physical Binding</w:t>
      </w:r>
    </w:p>
    <w:p>
      <w:pPr>
        <w:pStyle w:val="FirstParagraph"/>
      </w:pPr>
      <w:r>
        <w:rPr>
          <w:bCs/>
          <w:b/>
        </w:rPr>
        <w:t xml:space="preserve">Figure 9.1’s timeline</w:t>
      </w:r>
      <w:r>
        <w:t xml:space="preserve">, read as an operations calendar rather than a</w:t>
      </w:r>
      <w:r>
        <w:t xml:space="preserve"> </w:t>
      </w:r>
      <w:r>
        <w:t xml:space="preserve">diagram: era 1 runs on classical algorithms with the policy register and</w:t>
      </w:r>
      <w:r>
        <w:t xml:space="preserve"> </w:t>
      </w:r>
      <w:r>
        <w:t xml:space="preserve">versioned digests already in place (the sockets, installed at design time,</w:t>
      </w:r>
      <w:r>
        <w:t xml:space="preserve"> </w:t>
      </w:r>
      <w:r>
        <w:t xml:space="preserve">costing nothing); the transition window opens on a standards milestone —</w:t>
      </w:r>
      <w:r>
        <w:t xml:space="preserve"> </w:t>
      </w:r>
      <w:r>
        <w:t xml:space="preserve">not on a threat announcement — with hybrid signing, dual digests, and the</w:t>
      </w:r>
      <w:r>
        <w:t xml:space="preserve"> </w:t>
      </w:r>
      <w:r>
        <w:t xml:space="preserve">first full re-anchor; the instrument re-attestation wave rides the natural</w:t>
      </w:r>
      <w:r>
        <w:t xml:space="preserve"> </w:t>
      </w:r>
      <w:r>
        <w:t xml:space="preserve">refresh cycle across the window’s decade; and era 2 closes the window</w:t>
      </w:r>
      <w:r>
        <w:t xml:space="preserve"> </w:t>
      </w:r>
      <w:r>
        <w:t xml:space="preserve">role by role as verifier-ecosystem coverage metrics (not calendar dates)</w:t>
      </w:r>
      <w:r>
        <w:t xml:space="preserve"> </w:t>
      </w:r>
      <w:r>
        <w:t xml:space="preserve">hit their thresholds. Two properties of the calendar deserve notice: no</w:t>
      </w:r>
      <w:r>
        <w:t xml:space="preserve"> </w:t>
      </w:r>
      <w:r>
        <w:t xml:space="preserve">step requires the assets’ cooperation — modules on rooftops neither know</w:t>
      </w:r>
      <w:r>
        <w:t xml:space="preserve"> </w:t>
      </w:r>
      <w:r>
        <w:t xml:space="preserve">nor care which algorithms attest to them — and no step is irreversible;</w:t>
      </w:r>
      <w:r>
        <w:t xml:space="preserve"> </w:t>
      </w:r>
      <w:r>
        <w:t xml:space="preserve">a transition paused by a lattice-cryptanalysis surprise (the scenario</w:t>
      </w:r>
      <w:r>
        <w:t xml:space="preserve"> </w:t>
      </w:r>
      <w:r>
        <w:t xml:space="preserve">hybrid signing exists for) resumes on the alternate family without any</w:t>
      </w:r>
      <w:r>
        <w:t xml:space="preserve"> </w:t>
      </w:r>
      <w:r>
        <w:t xml:space="preserve">committed record caring.</w:t>
      </w:r>
    </w:p>
    <w:p>
      <w:pPr>
        <w:pStyle w:val="BodyText"/>
      </w:pPr>
      <w:r>
        <w:t xml:space="preserve">Section 9.1 promised the exploitation of Table 9.1’s last row. In the post-quantum</w:t>
      </w:r>
      <w:r>
        <w:t xml:space="preserve"> </w:t>
      </w:r>
      <w:r>
        <w:t xml:space="preserve">scenario the attacker’s best target is old</w:t>
      </w:r>
      <w:r>
        <w:t xml:space="preserve"> </w:t>
      </w:r>
      <w:r>
        <w:rPr>
          <w:iCs/>
          <w:i/>
        </w:rPr>
        <w:t xml:space="preserve">records</w:t>
      </w:r>
      <w:r>
        <w:t xml:space="preserve">; the defender’s best</w:t>
      </w:r>
      <w:r>
        <w:t xml:space="preserve"> </w:t>
      </w:r>
      <w:r>
        <w:t xml:space="preserve">countermeasure turns out to be old</w:t>
      </w:r>
      <w:r>
        <w:t xml:space="preserve"> </w:t>
      </w:r>
      <w:r>
        <w:rPr>
          <w:iCs/>
          <w:i/>
        </w:rPr>
        <w:t xml:space="preserve">matter</w:t>
      </w:r>
      <w:r>
        <w:t xml:space="preserve">. A forged 2020s-vintage registration —</w:t>
      </w:r>
      <w:r>
        <w:t xml:space="preserve"> </w:t>
      </w:r>
      <w:r>
        <w:t xml:space="preserve">minted retroactively with a broken signature scheme — must still name a template,</w:t>
      </w:r>
      <w:r>
        <w:t xml:space="preserve"> </w:t>
      </w:r>
      <w:r>
        <w:t xml:space="preserve">and the template must match a physical unit the fraud intends to pass off. But the</w:t>
      </w:r>
      <w:r>
        <w:t xml:space="preserve"> </w:t>
      </w:r>
      <w:r>
        <w:t xml:space="preserve">unit in hand is measurable</w:t>
      </w:r>
      <w:r>
        <w:t xml:space="preserve"> </w:t>
      </w:r>
      <w:r>
        <w:rPr>
          <w:iCs/>
          <w:i/>
        </w:rPr>
        <w:t xml:space="preserve">now</w:t>
      </w:r>
      <w:r>
        <w:t xml:space="preserve">, under current instruments and challenge</w:t>
      </w:r>
      <w:r>
        <w:t xml:space="preserve"> </w:t>
      </w:r>
      <w:r>
        <w:t xml:space="preserve">protocols; its structural age, degradation morphology, and evolution history</w:t>
      </w:r>
      <w:r>
        <w:t xml:space="preserve"> </w:t>
      </w:r>
      <w:r>
        <w:t xml:space="preserve">(R5 plausibility, Section 6.4) must all cohere with the forged paper trail. The</w:t>
      </w:r>
      <w:r>
        <w:t xml:space="preserve"> </w:t>
      </w:r>
      <w:r>
        <w:t xml:space="preserve">fraud must therefore fabricate not just bytes but a</w:t>
      </w:r>
      <w:r>
        <w:t xml:space="preserve"> </w:t>
      </w:r>
      <w:r>
        <w:rPr>
          <w:iCs/>
          <w:i/>
        </w:rPr>
        <w:t xml:space="preserve">physically consistent</w:t>
      </w:r>
      <w:r>
        <w:rPr>
          <w:iCs/>
          <w:i/>
        </w:rPr>
        <w:t xml:space="preserve"> </w:t>
      </w:r>
      <w:r>
        <w:rPr>
          <w:iCs/>
          <w:i/>
        </w:rPr>
        <w:t xml:space="preserve">history</w:t>
      </w:r>
      <w:r>
        <w:t xml:space="preserve"> </w:t>
      </w:r>
      <w:r>
        <w:t xml:space="preserve">— the one thing quantum computation does not provide. Structural binding</w:t>
      </w:r>
      <w:r>
        <w:t xml:space="preserve"> </w:t>
      </w:r>
      <w:r>
        <w:t xml:space="preserve">thus acts as a cross-check that survives total signature failure, and the</w:t>
      </w:r>
      <w:r>
        <w:t xml:space="preserve"> </w:t>
      </w:r>
      <w:r>
        <w:t xml:space="preserve">verification workflow of Section 6.6 needs only one post-quantum amendment: in</w:t>
      </w:r>
      <w:r>
        <w:t xml:space="preserve"> </w:t>
      </w:r>
      <w:r>
        <w:t xml:space="preserve">Step 1, records predating the relevant re-anchor are trusted via the anchor chain</w:t>
      </w:r>
      <w:r>
        <w:t xml:space="preserve"> </w:t>
      </w:r>
      <w:r>
        <w:t xml:space="preserve">(P1), not via their native signatures; in Step 3, physical verification carries</w:t>
      </w:r>
      <w:r>
        <w:t xml:space="preserve"> </w:t>
      </w:r>
      <w:r>
        <w:t xml:space="preserve">correspondingly more of the decision weight for disputed old records.</w:t>
      </w:r>
    </w:p>
    <w:p>
      <w:pPr>
        <w:pStyle w:val="BodyText"/>
      </w:pPr>
      <w:r>
        <w:t xml:space="preserve">The dividend has a quantitative face worth sketching. A forged 2020s</w:t>
      </w:r>
      <w:r>
        <w:t xml:space="preserve"> </w:t>
      </w:r>
      <w:r>
        <w:t xml:space="preserve">registration must nominate a template; to profit, the fraud must eventually</w:t>
      </w:r>
      <w:r>
        <w:t xml:space="preserve"> </w:t>
      </w:r>
      <w:r>
        <w:t xml:space="preserve">present a physical unit matching it. The forger’s options: fabricate a</w:t>
      </w:r>
      <w:r>
        <w:t xml:space="preserve"> </w:t>
      </w:r>
      <w:r>
        <w:t xml:space="preserve">matching unit (the R3 wall, unchanged by quantum computation); find a</w:t>
      </w:r>
      <w:r>
        <w:t xml:space="preserve"> </w:t>
      </w:r>
      <w:r>
        <w:t xml:space="preserve">natural match in the fielded population (the FAR arithmetic of Section 6.5</w:t>
      </w:r>
      <w:r>
        <w:t xml:space="preserve"> </w:t>
      </w:r>
      <w:r>
        <w:t xml:space="preserve">— at published false-accept rates, the expected number of usable natural</w:t>
      </w:r>
      <w:r>
        <w:t xml:space="preserve"> </w:t>
      </w:r>
      <w:r>
        <w:t xml:space="preserve">matches across even a global fleet rounds to zero); or nominate the</w:t>
      </w:r>
      <w:r>
        <w:t xml:space="preserve"> </w:t>
      </w:r>
      <w:r>
        <w:t xml:space="preserve">template of a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unit and wrestle with its custody trail — a unit</w:t>
      </w:r>
      <w:r>
        <w:t xml:space="preserve"> </w:t>
      </w:r>
      <w:r>
        <w:t xml:space="preserve">whose genuine history is anchored elsewhere, making the forged</w:t>
      </w:r>
      <w:r>
        <w:t xml:space="preserve"> </w:t>
      </w:r>
      <w:r>
        <w:t xml:space="preserve">registration a detectable duplicate (the F4 resurrection machinery, now</w:t>
      </w:r>
      <w:r>
        <w:t xml:space="preserve"> </w:t>
      </w:r>
      <w:r>
        <w:t xml:space="preserve">working retrospectively). Each option was priced in Chapter 8 against</w:t>
      </w:r>
      <w:r>
        <w:t xml:space="preserve"> </w:t>
      </w:r>
      <w:r>
        <w:t xml:space="preserve">classical adversaries, and none of the prices is denominated in</w:t>
      </w:r>
      <w:r>
        <w:t xml:space="preserve"> </w:t>
      </w:r>
      <w:r>
        <w:t xml:space="preserve">computation — which is the precise sense in which the physical layer is</w:t>
      </w:r>
      <w:r>
        <w:t xml:space="preserve"> </w:t>
      </w:r>
      <w:r>
        <w:t xml:space="preserve">quantum-immune: not that it cannot be attacked, but that its attacks do</w:t>
      </w:r>
      <w:r>
        <w:t xml:space="preserve"> </w:t>
      </w:r>
      <w:r>
        <w:t xml:space="preserve">not get cheaper when mathematics does. In the post-quantum era the</w:t>
      </w:r>
      <w:r>
        <w:t xml:space="preserve"> </w:t>
      </w:r>
      <w:r>
        <w:t xml:space="preserve">architecture’s trust budget quietly rebalances — less weight on old</w:t>
      </w:r>
      <w:r>
        <w:t xml:space="preserve"> </w:t>
      </w:r>
      <w:r>
        <w:t xml:space="preserve">signatures, more on anchored structure and measured matter — and the</w:t>
      </w:r>
      <w:r>
        <w:t xml:space="preserve"> </w:t>
      </w:r>
      <w:r>
        <w:t xml:space="preserve">system was built from Chapter 3 onward so that this rebalancing is a</w:t>
      </w:r>
      <w:r>
        <w:t xml:space="preserve"> </w:t>
      </w:r>
      <w:r>
        <w:t xml:space="preserve">parameter shift, not a redesign. There is a certain justice in the</w:t>
      </w:r>
      <w:r>
        <w:t xml:space="preserve"> </w:t>
      </w:r>
      <w:r>
        <w:t xml:space="preserve">direction of travel: the book began by refusing to let paper outrank</w:t>
      </w:r>
      <w:r>
        <w:t xml:space="preserve"> </w:t>
      </w:r>
      <w:r>
        <w:t xml:space="preserve">matter, and the quantum era simply enforces the refusal — when the</w:t>
      </w:r>
      <w:r>
        <w:t xml:space="preserve"> </w:t>
      </w:r>
      <w:r>
        <w:t xml:space="preserve">mathematics protecting the paper expires, the matter is still there,</w:t>
      </w:r>
      <w:r>
        <w:t xml:space="preserve"> </w:t>
      </w:r>
      <w:r>
        <w:t xml:space="preserve">still measurable, still itself.</w:t>
      </w:r>
    </w:p>
    <w:bookmarkEnd w:id="27"/>
    <w:bookmarkStart w:id="28" w:name="Xdae51e27a9713f3da31da5711edcd40f38d7d50"/>
    <w:p>
      <w:pPr>
        <w:pStyle w:val="Heading2"/>
      </w:pPr>
      <w:r>
        <w:t xml:space="preserve">9.6 A Worked Retrospective: One Record, Twenty-Two Years Later</w:t>
      </w:r>
    </w:p>
    <w:p>
      <w:pPr>
        <w:pStyle w:val="FirstParagraph"/>
      </w:pPr>
      <w:r>
        <w:t xml:space="preserve">The chapter’s machinery earns its keep only if the far end works, so run it</w:t>
      </w:r>
      <w:r>
        <w:t xml:space="preserve"> </w:t>
      </w:r>
      <w:r>
        <w:t xml:space="preserve">forward once, concretely — a companion to Section 2.8’s trace, now with the</w:t>
      </w:r>
      <w:r>
        <w:t xml:space="preserve"> </w:t>
      </w:r>
      <w:r>
        <w:t xml:space="preserve">cryptographic weather turned hostile. The year is 2049. A warranty successor entity</w:t>
      </w:r>
      <w:r>
        <w:t xml:space="preserve"> </w:t>
      </w:r>
      <w:r>
        <w:t xml:space="preserve">disputes a claim turning on a commissioning event committed in March 2027 —</w:t>
      </w:r>
      <w:r>
        <w:t xml:space="preserve"> </w:t>
      </w:r>
      <w:r>
        <w:t xml:space="preserve">signed, per Table 9.2’s era-1 reality, with ECDSA by an EPC that dissolved</w:t>
      </w:r>
      <w:r>
        <w:t xml:space="preserve"> </w:t>
      </w:r>
      <w:r>
        <w:t xml:space="preserve">in 2036, corroborated by an instrument whose vendor no longer exists, on a</w:t>
      </w:r>
      <w:r>
        <w:t xml:space="preserve"> </w:t>
      </w:r>
      <w:r>
        <w:t xml:space="preserve">consortium ledger that has since re-platformed twice. A CRQC has existed,</w:t>
      </w:r>
      <w:r>
        <w:t xml:space="preserve"> </w:t>
      </w:r>
      <w:r>
        <w:t xml:space="preserve">publicly, since the early 2040s; ECDSA forgeries are a commodity. The</w:t>
      </w:r>
      <w:r>
        <w:t xml:space="preserve"> </w:t>
      </w:r>
      <w:r>
        <w:t xml:space="preserve">adjudicator’s verifier proceeds: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Locate the record’s era.</w:t>
      </w:r>
      <w:r>
        <w:t xml:space="preserve"> </w:t>
      </w:r>
      <w:r>
        <w:t xml:space="preserve">The event’s block height places it in</w:t>
      </w:r>
      <w:r>
        <w:t xml:space="preserve"> </w:t>
      </w:r>
      <w:r>
        <w:t xml:space="preserve">algorithm-policy era 1; the policy register (itself verified through the</w:t>
      </w:r>
      <w:r>
        <w:t xml:space="preserve"> </w:t>
      </w:r>
      <w:r>
        <w:t xml:space="preserve">current-era chain) states era 1’s rules and their sunset at the 2033</w:t>
      </w:r>
      <w:r>
        <w:t xml:space="preserve"> </w:t>
      </w:r>
      <w:r>
        <w:t xml:space="preserve">hybrid transition. Nothing about this step required the adjudicator to</w:t>
      </w:r>
      <w:r>
        <w:t xml:space="preserve"> </w:t>
      </w:r>
      <w:r>
        <w:t xml:space="preserve">know any of the history in advance — the record, the register, and the</w:t>
      </w:r>
      <w:r>
        <w:t xml:space="preserve"> </w:t>
      </w:r>
      <w:r>
        <w:t xml:space="preserve">anchors carry their own context, which is what</w:t>
      </w:r>
      <w:r>
        <w:t xml:space="preserve"> </w:t>
      </w:r>
      <w:r>
        <w:t xml:space="preserve">“</w:t>
      </w:r>
      <w:r>
        <w:t xml:space="preserve">self-describing</w:t>
      </w:r>
      <w:r>
        <w:t xml:space="preserve"> </w:t>
      </w:r>
      <w:r>
        <w:t xml:space="preserve">evidence</w:t>
      </w:r>
      <w:r>
        <w:t xml:space="preserve">”</w:t>
      </w:r>
      <w:r>
        <w:t xml:space="preserve"> </w:t>
      </w:r>
      <w:r>
        <w:t xml:space="preserve">has meant since Chapter 4.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Establish pre-quantum fixation.</w:t>
      </w:r>
      <w:r>
        <w:t xml:space="preserve"> </w:t>
      </w:r>
      <w:r>
        <w:t xml:space="preserve">The event’s inclusion proof chains to</w:t>
      </w:r>
      <w:r>
        <w:t xml:space="preserve"> </w:t>
      </w:r>
      <w:r>
        <w:t xml:space="preserve">the 2033 re-anchor (P1) — computed redundantly under SLH-DSA and a</w:t>
      </w:r>
      <w:r>
        <w:t xml:space="preserve"> </w:t>
      </w:r>
      <w:r>
        <w:t xml:space="preserve">512-bit hash, confirmed by five adverse members, anchored to two public</w:t>
      </w:r>
      <w:r>
        <w:t xml:space="preserve"> </w:t>
      </w:r>
      <w:r>
        <w:t xml:space="preserve">chains whose 2033 states are themselves matters of public archive. Since</w:t>
      </w:r>
      <w:r>
        <w:t xml:space="preserve"> </w:t>
      </w:r>
      <w:r>
        <w:t xml:space="preserve">forging the event now would require having beaten ECDSA</w:t>
      </w:r>
      <w:r>
        <w:t xml:space="preserve"> </w:t>
      </w:r>
      <w:r>
        <w:rPr>
          <w:iCs/>
          <w:i/>
        </w:rPr>
        <w:t xml:space="preserve">before 2033</w:t>
      </w:r>
      <w:r>
        <w:t xml:space="preserve"> </w:t>
      </w:r>
      <w:r>
        <w:t xml:space="preserve">—</w:t>
      </w:r>
      <w:r>
        <w:t xml:space="preserve"> </w:t>
      </w:r>
      <w:r>
        <w:t xml:space="preserve">years before any credible capability — the bytes are fixed, and the</w:t>
      </w:r>
      <w:r>
        <w:t xml:space="preserve"> </w:t>
      </w:r>
      <w:r>
        <w:t xml:space="preserve">dispute narrows from</w:t>
      </w:r>
      <w:r>
        <w:t xml:space="preserve"> </w:t>
      </w:r>
      <w:r>
        <w:t xml:space="preserve">“</w:t>
      </w:r>
      <w:r>
        <w:t xml:space="preserve">is this record real?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what does this real</w:t>
      </w:r>
      <w:r>
        <w:t xml:space="preserve"> </w:t>
      </w:r>
      <w:r>
        <w:t xml:space="preserve">record prove?</w:t>
      </w:r>
      <w:r>
        <w:t xml:space="preserve">”</w:t>
      </w:r>
      <w:r>
        <w:t xml:space="preserve">, which is where disputes belong.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Evaluate attribution by era rules.</w:t>
      </w:r>
      <w:r>
        <w:t xml:space="preserve"> </w:t>
      </w:r>
      <w:r>
        <w:t xml:space="preserve">The EPC’s and instrument’s</w:t>
      </w:r>
      <w:r>
        <w:t xml:space="preserve"> </w:t>
      </w:r>
      <w:r>
        <w:t xml:space="preserve">signatures verify under era-1 algorithms against the accreditation</w:t>
      </w:r>
      <w:r>
        <w:t xml:space="preserve"> </w:t>
      </w:r>
      <w:r>
        <w:t xml:space="preserve">register’s 2027 entries (P2); the corroboration class is satisfied per</w:t>
      </w:r>
      <w:r>
        <w:t xml:space="preserve"> </w:t>
      </w:r>
      <w:r>
        <w:t xml:space="preserve">the 2027 schema version, retrieved from the archived registry.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Cross-check matter where paper is contested.</w:t>
      </w:r>
      <w:r>
        <w:t xml:space="preserve"> </w:t>
      </w:r>
      <w:r>
        <w:t xml:space="preserve">The successor disputes</w:t>
      </w:r>
      <w:r>
        <w:t xml:space="preserve"> </w:t>
      </w:r>
      <w:r>
        <w:t xml:space="preserve">attribution anyway, alleging pre-2033 insider forgery. The asset itself</w:t>
      </w:r>
      <w:r>
        <w:t xml:space="preserve"> </w:t>
      </w:r>
      <w:r>
        <w:t xml:space="preserve">answers: the module’s 2027 enrollment template, its 2033 and 2041</w:t>
      </w:r>
      <w:r>
        <w:t xml:space="preserve"> </w:t>
      </w:r>
      <w:r>
        <w:t xml:space="preserve">re-enrollment chain, and a fresh 2049 measurement form a physically</w:t>
      </w:r>
      <w:r>
        <w:t xml:space="preserve"> </w:t>
      </w:r>
      <w:r>
        <w:t xml:space="preserve">consistent evolution (R5) that a fabricated 2027 event could not have</w:t>
      </w:r>
      <w:r>
        <w:t xml:space="preserve"> </w:t>
      </w:r>
      <w:r>
        <w:t xml:space="preserve">predicted (Section 9.5). The claim’s physical narrative and its</w:t>
      </w:r>
      <w:r>
        <w:t xml:space="preserve"> </w:t>
      </w:r>
      <w:r>
        <w:t xml:space="preserve">documentary narrative agree — twenty-two years of weathering, one</w:t>
      </w:r>
      <w:r>
        <w:t xml:space="preserve"> </w:t>
      </w:r>
      <w:r>
        <w:t xml:space="preserve">documented hail event, and a degradation trajectory that no 2027</w:t>
      </w:r>
      <w:r>
        <w:t xml:space="preserve"> </w:t>
      </w:r>
      <w:r>
        <w:t xml:space="preserve">forger could have authored in advance.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Decide, with residuals named.</w:t>
      </w:r>
      <w:r>
        <w:t xml:space="preserve"> </w:t>
      </w:r>
      <w:r>
        <w:t xml:space="preserve">What remains unverifiable in 2049 is</w:t>
      </w:r>
      <w:r>
        <w:t xml:space="preserve"> </w:t>
      </w:r>
      <w:r>
        <w:t xml:space="preserve">what was unverifiable in 2027 — Section 5.7’s completeness residual —</w:t>
      </w:r>
      <w:r>
        <w:t xml:space="preserve"> </w:t>
      </w:r>
      <w:r>
        <w:t xml:space="preserve">plus the bounded hypothesis of pre-2033 forgery by parties who</w:t>
      </w:r>
      <w:r>
        <w:t xml:space="preserve"> </w:t>
      </w:r>
      <w:r>
        <w:t xml:space="preserve">controlled era-1 keys, weighed against the corroboration structure and</w:t>
      </w:r>
      <w:r>
        <w:t xml:space="preserve"> </w:t>
      </w:r>
      <w:r>
        <w:t xml:space="preserve">the physical cross-check. The adjudicator decides on evidence whose</w:t>
      </w:r>
      <w:r>
        <w:t xml:space="preserve"> </w:t>
      </w:r>
      <w:r>
        <w:t xml:space="preserve">quality the intervening decades did not erode, which was the entire</w:t>
      </w:r>
      <w:r>
        <w:t xml:space="preserve"> </w:t>
      </w:r>
      <w:r>
        <w:t xml:space="preserve">assignment.</w:t>
      </w:r>
    </w:p>
    <w:p>
      <w:pPr>
        <w:pStyle w:val="FirstParagraph"/>
      </w:pPr>
      <w:r>
        <w:t xml:space="preserve">Total machinery invoked: the anchors, two register lookups, one Merkle</w:t>
      </w:r>
      <w:r>
        <w:t xml:space="preserve"> </w:t>
      </w:r>
      <w:r>
        <w:t xml:space="preserve">traversal, one field measurement. Nothing heroic, nobody’s cooperation</w:t>
      </w:r>
      <w:r>
        <w:t xml:space="preserve"> </w:t>
      </w:r>
      <w:r>
        <w:t xml:space="preserve">required, and no step depends on any institution from 2027 still existing.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</w:t>
      </w:r>
      <w:r>
        <w:t xml:space="preserve">designing for the falsity of the assumption</w:t>
      </w:r>
      <w:r>
        <w:t xml:space="preserve">”</w:t>
      </w:r>
      <w:r>
        <w:t xml:space="preserve"> </w:t>
      </w:r>
      <w:r>
        <w:t xml:space="preserve">means in</w:t>
      </w:r>
      <w:r>
        <w:t xml:space="preserve"> </w:t>
      </w:r>
      <w:r>
        <w:t xml:space="preserve">practice, and every pattern in Section 9.4 appears in the walkthrough</w:t>
      </w:r>
      <w:r>
        <w:t xml:space="preserve"> </w:t>
      </w:r>
      <w:r>
        <w:t xml:space="preserve">doing its one job.</w:t>
      </w:r>
    </w:p>
    <w:p>
      <w:pPr>
        <w:pStyle w:val="BodyText"/>
      </w:pPr>
      <w:r>
        <w:t xml:space="preserve">Three lessons ride home from the exercise. First, the</w:t>
      </w:r>
      <w:r>
        <w:t xml:space="preserve"> </w:t>
      </w:r>
      <w:r>
        <w:rPr>
          <w:iCs/>
          <w:i/>
        </w:rPr>
        <w:t xml:space="preserve">decisive dates are</w:t>
      </w:r>
      <w:r>
        <w:rPr>
          <w:iCs/>
          <w:i/>
        </w:rPr>
        <w:t xml:space="preserve"> </w:t>
      </w:r>
      <w:r>
        <w:rPr>
          <w:iCs/>
          <w:i/>
        </w:rPr>
        <w:t xml:space="preserve">administrative, not cryptanalytic</w:t>
      </w:r>
      <w:r>
        <w:t xml:space="preserve">: what mattered in 2049 was not when the</w:t>
      </w:r>
      <w:r>
        <w:t xml:space="preserve"> </w:t>
      </w:r>
      <w:r>
        <w:t xml:space="preserve">CRQC arrived but when the re-anchor was performed — the defenders, not the</w:t>
      </w:r>
      <w:r>
        <w:t xml:space="preserve"> </w:t>
      </w:r>
      <w:r>
        <w:t xml:space="preserve">attackers, control the timeline that counts, provided they act while</w:t>
      </w:r>
      <w:r>
        <w:t xml:space="preserve"> </w:t>
      </w:r>
      <w:r>
        <w:t xml:space="preserve">acting is cheap. Second, the walkthrough’s</w:t>
      </w:r>
      <w:r>
        <w:t xml:space="preserve"> </w:t>
      </w:r>
      <w:r>
        <w:rPr>
          <w:iCs/>
          <w:i/>
        </w:rPr>
        <w:t xml:space="preserve">hardest step was archival</w:t>
      </w:r>
      <w:r>
        <w:t xml:space="preserve">,</w:t>
      </w:r>
      <w:r>
        <w:t xml:space="preserve"> </w:t>
      </w:r>
      <w:r>
        <w:t xml:space="preserve">not mathematical: retrieving the 2027 schema version, the era-1 policy</w:t>
      </w:r>
      <w:r>
        <w:t xml:space="preserve"> </w:t>
      </w:r>
      <w:r>
        <w:t xml:space="preserve">entries, and a custody copy of the enrollment payload — Chapter 4’s</w:t>
      </w:r>
      <w:r>
        <w:t xml:space="preserve"> </w:t>
      </w:r>
      <w:r>
        <w:t xml:space="preserve">format-longevity and custody disciplines are what actually broke a sweat,</w:t>
      </w:r>
      <w:r>
        <w:t xml:space="preserve"> </w:t>
      </w:r>
      <w:r>
        <w:t xml:space="preserve">confirming this book’s repeated suspicion that the long game is curation.</w:t>
      </w:r>
      <w:r>
        <w:t xml:space="preserve"> </w:t>
      </w:r>
      <w:r>
        <w:t xml:space="preserve">Third, the</w:t>
      </w:r>
      <w:r>
        <w:t xml:space="preserve"> </w:t>
      </w:r>
      <w:r>
        <w:rPr>
          <w:iCs/>
          <w:i/>
        </w:rPr>
        <w:t xml:space="preserve">physical cross-check ended the argument</w:t>
      </w:r>
      <w:r>
        <w:t xml:space="preserve"> </w:t>
      </w:r>
      <w:r>
        <w:t xml:space="preserve">that mathematics</w:t>
      </w:r>
      <w:r>
        <w:t xml:space="preserve"> </w:t>
      </w:r>
      <w:r>
        <w:t xml:space="preserve">alone could only bound: when attribution is contested across a</w:t>
      </w:r>
      <w:r>
        <w:t xml:space="preserve"> </w:t>
      </w:r>
      <w:r>
        <w:t xml:space="preserve">cryptographic era boundary, the asset’s measured continuity is the</w:t>
      </w:r>
      <w:r>
        <w:t xml:space="preserve"> </w:t>
      </w:r>
      <w:r>
        <w:t xml:space="preserve">evidence that has no era. Systems protecting purely digital subjects face</w:t>
      </w:r>
      <w:r>
        <w:t xml:space="preserve"> </w:t>
      </w:r>
      <w:r>
        <w:t xml:space="preserve">the post-quantum transition without that anchor, and the comparison is,</w:t>
      </w:r>
      <w:r>
        <w:t xml:space="preserve"> </w:t>
      </w:r>
      <w:r>
        <w:t xml:space="preserve">for once, in physical infrastructure’s favor.</w:t>
      </w:r>
    </w:p>
    <w:bookmarkEnd w:id="28"/>
    <w:bookmarkStart w:id="29" w:name="governance-of-a-migration-nobody-owns"/>
    <w:p>
      <w:pPr>
        <w:pStyle w:val="Heading2"/>
      </w:pPr>
      <w:r>
        <w:t xml:space="preserve">9.7 Governance of a Migration Nobody Owns</w:t>
      </w:r>
    </w:p>
    <w:p>
      <w:pPr>
        <w:pStyle w:val="FirstParagraph"/>
      </w:pPr>
      <w:r>
        <w:t xml:space="preserve">The hard part is not cryptographic. A migration across a consortium of</w:t>
      </w:r>
      <w:r>
        <w:t xml:space="preserve"> </w:t>
      </w:r>
      <w:r>
        <w:t xml:space="preserve">manufacturers, operators, insurers, and instrument vendors — several of whom will</w:t>
      </w:r>
      <w:r>
        <w:t xml:space="preserve"> </w:t>
      </w:r>
      <w:r>
        <w:t xml:space="preserve">not exist by the time it completes — needs: a standing</w:t>
      </w:r>
      <w:r>
        <w:t xml:space="preserve"> </w:t>
      </w:r>
      <w:r>
        <w:rPr>
          <w:bCs/>
          <w:b/>
        </w:rPr>
        <w:t xml:space="preserve">algorithm policy register</w:t>
      </w:r>
      <w:r>
        <w:rPr>
          <w:bCs/>
          <w:b/>
        </w:rPr>
        <w:t xml:space="preserve"> </w:t>
      </w:r>
      <w:r>
        <w:rPr>
          <w:bCs/>
          <w:b/>
        </w:rPr>
        <w:t xml:space="preserve">on the ledger itself</w:t>
      </w:r>
      <w:r>
        <w:t xml:space="preserve"> </w:t>
      </w:r>
      <w:r>
        <w:t xml:space="preserve">(which algorithms are approved for which roles, with sunset</w:t>
      </w:r>
      <w:r>
        <w:t xml:space="preserve"> </w:t>
      </w:r>
      <w:r>
        <w:t xml:space="preserve">dates — so P2’s time-contextual verification has an authoritative source); a</w:t>
      </w:r>
      <w:r>
        <w:t xml:space="preserve"> </w:t>
      </w:r>
      <w:r>
        <w:rPr>
          <w:bCs/>
          <w:b/>
        </w:rPr>
        <w:t xml:space="preserve">re-anchor cadence written into the consortium agreement</w:t>
      </w:r>
      <w:r>
        <w:t xml:space="preserve"> </w:t>
      </w:r>
      <w:r>
        <w:t xml:space="preserve">rather than summoned</w:t>
      </w:r>
      <w:r>
        <w:t xml:space="preserve"> </w:t>
      </w:r>
      <w:r>
        <w:t xml:space="preserve">ad hoc when panic arrives;</w:t>
      </w:r>
      <w:r>
        <w:t xml:space="preserve"> </w:t>
      </w:r>
      <w:r>
        <w:rPr>
          <w:bCs/>
          <w:b/>
        </w:rPr>
        <w:t xml:space="preserve">procurement language</w:t>
      </w:r>
      <w:r>
        <w:t xml:space="preserve"> </w:t>
      </w:r>
      <w:r>
        <w:t xml:space="preserve">obliging instrument vendors to</w:t>
      </w:r>
      <w:r>
        <w:t xml:space="preserve"> </w:t>
      </w:r>
      <w:r>
        <w:t xml:space="preserve">attestation-migration support (the P3 wave fails if 2030s secure elements cannot</w:t>
      </w:r>
      <w:r>
        <w:t xml:space="preserve"> </w:t>
      </w:r>
      <w:r>
        <w:t xml:space="preserve">be re-attested); and a designated</w:t>
      </w:r>
      <w:r>
        <w:t xml:space="preserve"> </w:t>
      </w:r>
      <w:r>
        <w:rPr>
          <w:bCs/>
          <w:b/>
        </w:rPr>
        <w:t xml:space="preserve">migration authority quorum</w:t>
      </w:r>
      <w:r>
        <w:t xml:space="preserve"> </w:t>
      </w:r>
      <w:r>
        <w:t xml:space="preserve">— because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consortium will decide when the time comes</w:t>
      </w:r>
      <w:r>
        <w:t xml:space="preserve">”</w:t>
      </w:r>
      <w:r>
        <w:t xml:space="preserve"> </w:t>
      </w:r>
      <w:r>
        <w:t xml:space="preserve">is how deadlines die.</w:t>
      </w:r>
    </w:p>
    <w:p>
      <w:pPr>
        <w:pStyle w:val="BodyText"/>
      </w:pPr>
      <w:r>
        <w:t xml:space="preserve">The policy register’s content deserves specification since everything else</w:t>
      </w:r>
      <w:r>
        <w:t xml:space="preserve"> </w:t>
      </w:r>
      <w:r>
        <w:t xml:space="preserve">cites it: per role class, the approved signature and digest algorithms with</w:t>
      </w:r>
      <w:r>
        <w:t xml:space="preserve"> </w:t>
      </w:r>
      <w:r>
        <w:t xml:space="preserve">parameter sets; per algorithm, its status ladder (approved → deprecated-for-</w:t>
      </w:r>
      <w:r>
        <w:t xml:space="preserve"> </w:t>
      </w:r>
      <w:r>
        <w:t xml:space="preserve">new-use → sunset for verification-by-default, never</w:t>
      </w:r>
      <w:r>
        <w:t xml:space="preserve"> </w:t>
      </w:r>
      <w:r>
        <w:t xml:space="preserve">“</w:t>
      </w:r>
      <w:r>
        <w:t xml:space="preserve">deleted</w:t>
      </w:r>
      <w:r>
        <w:t xml:space="preserve">”</w:t>
      </w:r>
      <w:r>
        <w:t xml:space="preserve"> </w:t>
      </w:r>
      <w:r>
        <w:t xml:space="preserve">— old</w:t>
      </w:r>
      <w:r>
        <w:t xml:space="preserve"> </w:t>
      </w:r>
      <w:r>
        <w:t xml:space="preserve">verifications remain computable forever under P2) with effective block</w:t>
      </w:r>
      <w:r>
        <w:t xml:space="preserve"> </w:t>
      </w:r>
      <w:r>
        <w:t xml:space="preserve">heights; the hybrid-composition rules of the transition windows; and the</w:t>
      </w:r>
      <w:r>
        <w:t xml:space="preserve"> </w:t>
      </w:r>
      <w:r>
        <w:t xml:space="preserve">re-anchor log itself. Register changes are governance events with the</w:t>
      </w:r>
      <w:r>
        <w:t xml:space="preserve"> </w:t>
      </w:r>
      <w:r>
        <w:t xml:space="preserve">longest timelocks in the system, because a rushed algorithm change is</w:t>
      </w:r>
      <w:r>
        <w:t xml:space="preserve"> </w:t>
      </w:r>
      <w:r>
        <w:t xml:space="preserve">indistinguishable, from the outside, from an attack on the register. The</w:t>
      </w:r>
      <w:r>
        <w:t xml:space="preserve"> </w:t>
      </w:r>
      <w:r>
        <w:t xml:space="preserve">migration authority — the technical committee acting with a designated</w:t>
      </w:r>
      <w:r>
        <w:t xml:space="preserve"> </w:t>
      </w:r>
      <w:r>
        <w:t xml:space="preserve">cryptographic advisor, in the pilot’s instantiation — holds a</w:t>
      </w:r>
      <w:r>
        <w:t xml:space="preserve"> </w:t>
      </w:r>
      <w:r>
        <w:rPr>
          <w:iCs/>
          <w:i/>
        </w:rPr>
        <w:t xml:space="preserve">proposal</w:t>
      </w:r>
      <w:r>
        <w:t xml:space="preserve"> </w:t>
      </w:r>
      <w:r>
        <w:t xml:space="preserve">monopoly and no unilateral power; its real function is to own the calendar:</w:t>
      </w:r>
      <w:r>
        <w:t xml:space="preserve"> </w:t>
      </w:r>
      <w:r>
        <w:t xml:space="preserve">annual algorithm-status reviews against the public cryptanalytic literature</w:t>
      </w:r>
      <w:r>
        <w:t xml:space="preserve"> </w:t>
      </w:r>
      <w:r>
        <w:t xml:space="preserve">and standards-body advisories, biennial migration-readiness reports</w:t>
      </w:r>
      <w:r>
        <w:t xml:space="preserve"> </w:t>
      </w:r>
      <w:r>
        <w:t xml:space="preserve">(instrument fleet PQC coverage, verifier-ecosystem dual-digest coverage),</w:t>
      </w:r>
      <w:r>
        <w:t xml:space="preserve"> </w:t>
      </w:r>
      <w:r>
        <w:t xml:space="preserve">and the authority to trigger the milestone re-anchor without waiting for a</w:t>
      </w:r>
      <w:r>
        <w:t xml:space="preserve"> </w:t>
      </w:r>
      <w:r>
        <w:t xml:space="preserve">scheduled meeting when a cryptanalytic event warrants it.</w:t>
      </w:r>
    </w:p>
    <w:p>
      <w:pPr>
        <w:pStyle w:val="BodyText"/>
      </w:pPr>
      <w:r>
        <w:t xml:space="preserve">Rehearsal, finally, is what separates a migration plan from a migration</w:t>
      </w:r>
      <w:r>
        <w:t xml:space="preserve"> </w:t>
      </w:r>
      <w:r>
        <w:t xml:space="preserve">capability, and the architecture hands the consortium a rehearsal for free:</w:t>
      </w:r>
      <w:r>
        <w:t xml:space="preserve"> </w:t>
      </w:r>
      <w:r>
        <w:t xml:space="preserve">the payload-version and template re-commitment exercises that ordinary</w:t>
      </w:r>
      <w:r>
        <w:t xml:space="preserve"> </w:t>
      </w:r>
      <w:r>
        <w:t xml:space="preserve">schema evolution already requires (the pilot’s lesson 6, Section 11.5,</w:t>
      </w:r>
      <w:r>
        <w:t xml:space="preserve"> </w:t>
      </w:r>
      <w:r>
        <w:t xml:space="preserve">re-committed 6,300 templates through exactly the P1 machinery a decade</w:t>
      </w:r>
      <w:r>
        <w:t xml:space="preserve"> </w:t>
      </w:r>
      <w:r>
        <w:t xml:space="preserve">before any quantum deadline) are the migration drill in miniature — same</w:t>
      </w:r>
      <w:r>
        <w:t xml:space="preserve"> </w:t>
      </w:r>
      <w:r>
        <w:t xml:space="preserve">registers, same redundant computation, same governance events, smaller</w:t>
      </w:r>
      <w:r>
        <w:t xml:space="preserve"> </w:t>
      </w:r>
      <w:r>
        <w:t xml:space="preserve">stakes. A consortium that has run three routine re-commitments will find</w:t>
      </w:r>
      <w:r>
        <w:t xml:space="preserve"> </w:t>
      </w:r>
      <w:r>
        <w:t xml:space="preserve">the milestone re-anchor boring, which is the correct emotional register</w:t>
      </w:r>
      <w:r>
        <w:t xml:space="preserve"> </w:t>
      </w:r>
      <w:r>
        <w:t xml:space="preserve">for the most consequential cryptographic operation of its life.</w:t>
      </w:r>
    </w:p>
    <w:p>
      <w:pPr>
        <w:pStyle w:val="BodyText"/>
      </w:pPr>
      <w:r>
        <w:t xml:space="preserve">Transparency to relying parties completes the governance design. Insurers,</w:t>
      </w:r>
      <w:r>
        <w:t xml:space="preserve"> </w:t>
      </w:r>
      <w:r>
        <w:t xml:space="preserve">lenders, and adjudicators pricing records need to know the migration’s</w:t>
      </w:r>
      <w:r>
        <w:t xml:space="preserve"> </w:t>
      </w:r>
      <w:r>
        <w:t xml:space="preserve">state — which eras exist, which re-anchors cover them, what fraction of</w:t>
      </w:r>
      <w:r>
        <w:t xml:space="preserve"> </w:t>
      </w:r>
      <w:r>
        <w:t xml:space="preserve">the instrument fleet signs post-quantum — and the consortium publishes</w:t>
      </w:r>
      <w:r>
        <w:t xml:space="preserve"> </w:t>
      </w:r>
      <w:r>
        <w:t xml:space="preserve">exactly this as a standing section of its transparency report, derived</w:t>
      </w:r>
      <w:r>
        <w:t xml:space="preserve"> </w:t>
      </w:r>
      <w:r>
        <w:t xml:space="preserve">mechanically from the registers. The disclosure serves the system twice:</w:t>
      </w:r>
      <w:r>
        <w:t xml:space="preserve"> </w:t>
      </w:r>
      <w:r>
        <w:t xml:space="preserve">it lets relying parties weight evidence rationally by era (an era-1 record</w:t>
      </w:r>
      <w:r>
        <w:t xml:space="preserve"> </w:t>
      </w:r>
      <w:r>
        <w:t xml:space="preserve">behind two re-anchors deserves different treatment from one behind none),</w:t>
      </w:r>
      <w:r>
        <w:t xml:space="preserve"> </w:t>
      </w:r>
      <w:r>
        <w:t xml:space="preserve">and it converts migration diligence into a competitive fact — a consortium</w:t>
      </w:r>
      <w:r>
        <w:t xml:space="preserve"> </w:t>
      </w:r>
      <w:r>
        <w:t xml:space="preserve">demonstrably ahead on P3 coverage is selling a measurably better product,</w:t>
      </w:r>
      <w:r>
        <w:t xml:space="preserve"> </w:t>
      </w:r>
      <w:r>
        <w:t xml:space="preserve">which recruits the market to enforce the calendar that governance alone</w:t>
      </w:r>
      <w:r>
        <w:t xml:space="preserve"> </w:t>
      </w:r>
      <w:r>
        <w:t xml:space="preserve">enforces weakly.</w:t>
      </w:r>
    </w:p>
    <w:p>
      <w:pPr>
        <w:pStyle w:val="BodyText"/>
      </w:pPr>
      <w:r>
        <w:t xml:space="preserve">Procurement language, since it is the cheapest lever with the longest</w:t>
      </w:r>
      <w:r>
        <w:t xml:space="preserve"> </w:t>
      </w:r>
      <w:r>
        <w:t xml:space="preserve">reach, in checklist form: PQC-capable or upgradeable secure elements in all</w:t>
      </w:r>
      <w:r>
        <w:t xml:space="preserve"> </w:t>
      </w:r>
      <w:r>
        <w:t xml:space="preserve">I-A instruments and active devices; vendor commitments to attestation-</w:t>
      </w:r>
      <w:r>
        <w:t xml:space="preserve"> </w:t>
      </w:r>
      <w:r>
        <w:t xml:space="preserve">migration support across the device’s service life, surviving vendor</w:t>
      </w:r>
      <w:r>
        <w:t xml:space="preserve"> </w:t>
      </w:r>
      <w:r>
        <w:t xml:space="preserve">acquisition (escrowed tooling where the vendor’s longevity is doubtful);</w:t>
      </w:r>
      <w:r>
        <w:t xml:space="preserve"> </w:t>
      </w:r>
      <w:r>
        <w:t xml:space="preserve">open or escrowed template and payload formats (Section 4.2.1’s rule, now</w:t>
      </w:r>
      <w:r>
        <w:t xml:space="preserve"> </w:t>
      </w:r>
      <w:r>
        <w:t xml:space="preserve">with an algorithm-migration justification too); and client libraries</w:t>
      </w:r>
      <w:r>
        <w:t xml:space="preserve"> </w:t>
      </w:r>
      <w:r>
        <w:t xml:space="preserve">conformant to the dual-digest and policy-register verification suite. None</w:t>
      </w:r>
      <w:r>
        <w:t xml:space="preserve"> </w:t>
      </w:r>
      <w:r>
        <w:t xml:space="preserve">of these clauses costs meaningful money at contract time; all of them are</w:t>
      </w:r>
      <w:r>
        <w:t xml:space="preserve"> </w:t>
      </w:r>
      <w:r>
        <w:t xml:space="preserve">expensive to retrofit, and their absence in today’s contracts is the single</w:t>
      </w:r>
      <w:r>
        <w:t xml:space="preserve"> </w:t>
      </w:r>
      <w:r>
        <w:t xml:space="preserve">most fixable post-quantum exposure the sector has. None of this is</w:t>
      </w:r>
      <w:r>
        <w:t xml:space="preserve"> </w:t>
      </w:r>
      <w:r>
        <w:t xml:space="preserve">speculative process design; it is the same governance machinery Chapters 8 and 10</w:t>
      </w:r>
      <w:r>
        <w:t xml:space="preserve"> </w:t>
      </w:r>
      <w:r>
        <w:t xml:space="preserve">already require, pointed at one more slow-moving risk. The general playbook —</w:t>
      </w:r>
      <w:r>
        <w:t xml:space="preserve"> </w:t>
      </w:r>
      <w:r>
        <w:t xml:space="preserve">inventories, prioritization, hybrid periods, vendor management — is the subject of</w:t>
      </w:r>
      <w:r>
        <w:t xml:space="preserve"> </w:t>
      </w:r>
      <w:r>
        <w:t xml:space="preserve">my migration book; what is specific here, and what this chapter has supplied, is</w:t>
      </w:r>
      <w:r>
        <w:t xml:space="preserve"> </w:t>
      </w:r>
      <w:r>
        <w:t xml:space="preserve">the evidential twist: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system must migrate in a way that keeps twenty-year-</w:t>
      </w:r>
      <w:r>
        <w:t xml:space="preserve"> </w:t>
      </w:r>
      <w:r>
        <w:t xml:space="preserve">old signatures meaningful, and P1–P4 are that requirement made mechanism.</w:t>
      </w:r>
    </w:p>
    <w:p>
      <w:pPr>
        <w:pStyle w:val="BodyText"/>
      </w:pPr>
      <w:r>
        <w:t xml:space="preserve">Who pays deserves its honest paragraph, because migration budgets fail at</w:t>
      </w:r>
      <w:r>
        <w:t xml:space="preserve"> </w:t>
      </w:r>
      <w:r>
        <w:t xml:space="preserve">allocation more often than at size. The costs sort cleanly. Re-anchoring</w:t>
      </w:r>
      <w:r>
        <w:t xml:space="preserve"> </w:t>
      </w:r>
      <w:r>
        <w:t xml:space="preserve">and register governance are consortium fixed costs — trivial in money,</w:t>
      </w:r>
      <w:r>
        <w:t xml:space="preserve"> </w:t>
      </w:r>
      <w:r>
        <w:t xml:space="preserve">real in coordination hours — funded by the membership assessments of</w:t>
      </w:r>
      <w:r>
        <w:t xml:space="preserve"> </w:t>
      </w:r>
      <w:r>
        <w:t xml:space="preserve">Section 7.5.1. Software and verifier-ecosystem migration is each member’s</w:t>
      </w:r>
      <w:r>
        <w:t xml:space="preserve"> </w:t>
      </w:r>
      <w:r>
        <w:t xml:space="preserve">own IT expense, bounded by the smallness of the contracts and the</w:t>
      </w:r>
      <w:r>
        <w:t xml:space="preserve"> </w:t>
      </w:r>
      <w:r>
        <w:t xml:space="preserve">conformance suites’ existence. The genuinely large line is the instrument</w:t>
      </w:r>
      <w:r>
        <w:t xml:space="preserve"> </w:t>
      </w:r>
      <w:r>
        <w:t xml:space="preserve">and device fleet (P3), and its allocation is the design’s quiet victory:</w:t>
      </w:r>
      <w:r>
        <w:t xml:space="preserve"> </w:t>
      </w:r>
      <w:r>
        <w:t xml:space="preserve">by riding hardware-refresh cycles, the PQC premium collapses into the</w:t>
      </w:r>
      <w:r>
        <w:t xml:space="preserve"> </w:t>
      </w:r>
      <w:r>
        <w:t xml:space="preserve">ordinary replacement budget — the marginal cost of a PQC-capable element</w:t>
      </w:r>
      <w:r>
        <w:t xml:space="preserve"> </w:t>
      </w:r>
      <w:r>
        <w:t xml:space="preserve">over its predecessor, a few dollars per device at volume, paid by whoever</w:t>
      </w:r>
      <w:r>
        <w:t xml:space="preserve"> </w:t>
      </w:r>
      <w:r>
        <w:t xml:space="preserve">was buying the device anyway. The alternative allocation — a crash</w:t>
      </w:r>
      <w:r>
        <w:t xml:space="preserve"> </w:t>
      </w:r>
      <w:r>
        <w:t xml:space="preserve">retrofit program triggered by a threat announcement — would cost an order</w:t>
      </w:r>
      <w:r>
        <w:t xml:space="preserve"> </w:t>
      </w:r>
      <w:r>
        <w:t xml:space="preserve">of magnitude more and land on whoever happens to hold the assets that</w:t>
      </w:r>
      <w:r>
        <w:t xml:space="preserve"> </w:t>
      </w:r>
      <w:r>
        <w:t xml:space="preserve">year. The entire economic content of Mosca’s inequality, for this sector,</w:t>
      </w:r>
      <w:r>
        <w:t xml:space="preserve"> </w:t>
      </w:r>
      <w:r>
        <w:t xml:space="preserve">is that early deciders pay the cheap allocation and late deciders pay the</w:t>
      </w:r>
      <w:r>
        <w:t xml:space="preserve"> </w:t>
      </w:r>
      <w:r>
        <w:t xml:space="preserve">expensive one, for identical technical outcomes.</w:t>
      </w:r>
    </w:p>
    <w:bookmarkEnd w:id="29"/>
    <w:bookmarkStart w:id="30" w:name="chapter-summary"/>
    <w:p>
      <w:pPr>
        <w:pStyle w:val="Heading2"/>
      </w:pPr>
      <w:r>
        <w:t xml:space="preserve">9.8 Chapter Summary</w:t>
      </w:r>
    </w:p>
    <w:p>
      <w:pPr>
        <w:pStyle w:val="FirstParagraph"/>
      </w:pPr>
      <w:r>
        <w:t xml:space="preserve">Financial blockchains fear the quantum future for their next transaction; asset</w:t>
      </w:r>
      <w:r>
        <w:t xml:space="preserve"> </w:t>
      </w:r>
      <w:r>
        <w:t xml:space="preserve">ledgers must fear it for their past, because a broken signature scheme lets</w:t>
      </w:r>
      <w:r>
        <w:t xml:space="preserve"> </w:t>
      </w:r>
      <w:r>
        <w:t xml:space="preserve">adversaries rewrite history that adjudications decades hence will depend on —</w:t>
      </w:r>
      <w:r>
        <w:t xml:space="preserve"> </w:t>
      </w:r>
      <w:r>
        <w:t xml:space="preserve">and the old-algorithm verification path is therefore this system’s hot</w:t>
      </w:r>
      <w:r>
        <w:t xml:space="preserve"> </w:t>
      </w:r>
      <w:r>
        <w:t xml:space="preserve">path, engineered rather than tolerated. Mosca’s inequality binds for any</w:t>
      </w:r>
      <w:r>
        <w:t xml:space="preserve"> </w:t>
      </w:r>
      <w:r>
        <w:t xml:space="preserve">defensible CRQC forecast once (x) is an asset</w:t>
      </w:r>
      <w:r>
        <w:t xml:space="preserve"> </w:t>
      </w:r>
      <w:r>
        <w:t xml:space="preserve">lifetime — with (x) prioritized by residual evidential life and (y)’s</w:t>
      </w:r>
      <w:r>
        <w:t xml:space="preserve"> </w:t>
      </w:r>
      <w:r>
        <w:t xml:space="preserve">critical path running through instrument fleets and procurement clauses —</w:t>
      </w:r>
      <w:r>
        <w:t xml:space="preserve"> </w:t>
      </w:r>
      <w:r>
        <w:t xml:space="preserve">so migration is a design-time requirement, not a watching brief, and the</w:t>
      </w:r>
      <w:r>
        <w:t xml:space="preserve"> </w:t>
      </w:r>
      <w:r>
        <w:t xml:space="preserve">long-lived record systems that preceded this one (archives, land</w:t>
      </w:r>
      <w:r>
        <w:t xml:space="preserve"> </w:t>
      </w:r>
      <w:r>
        <w:t xml:space="preserve">registries, qualified-signature regimes) already practice every pattern</w:t>
      </w:r>
      <w:r>
        <w:t xml:space="preserve"> </w:t>
      </w:r>
      <w:r>
        <w:t xml:space="preserve">here under other names. The</w:t>
      </w:r>
      <w:r>
        <w:t xml:space="preserve"> </w:t>
      </w:r>
      <w:r>
        <w:t xml:space="preserve">architecture’s response: diversified PQC selection (lattice workhorse, hash-based</w:t>
      </w:r>
      <w:r>
        <w:t xml:space="preserve"> </w:t>
      </w:r>
      <w:r>
        <w:t xml:space="preserve">conservatism for registrar and governance roles, hybrid signing with</w:t>
      </w:r>
      <w:r>
        <w:t xml:space="preserve"> </w:t>
      </w:r>
      <w:r>
        <w:t xml:space="preserve">both-must-verify composition through the</w:t>
      </w:r>
      <w:r>
        <w:t xml:space="preserve"> </w:t>
      </w:r>
      <w:r>
        <w:t xml:space="preserve">transition, statefulness and pairings declined with reasons), and four</w:t>
      </w:r>
      <w:r>
        <w:t xml:space="preserve"> </w:t>
      </w:r>
      <w:r>
        <w:t xml:space="preserve">migration patterns — re-anchoring that shifts evidential</w:t>
      </w:r>
      <w:r>
        <w:t xml:space="preserve"> </w:t>
      </w:r>
      <w:r>
        <w:t xml:space="preserve">weight from fragile signatures onto robust anchored hash structure,</w:t>
      </w:r>
      <w:r>
        <w:t xml:space="preserve"> </w:t>
      </w:r>
      <w:r>
        <w:t xml:space="preserve">performed redundantly by adverse parties and scheduled by calendar as well</w:t>
      </w:r>
      <w:r>
        <w:t xml:space="preserve"> </w:t>
      </w:r>
      <w:r>
        <w:t xml:space="preserve">as by milestone; time-contextual</w:t>
      </w:r>
      <w:r>
        <w:t xml:space="preserve"> </w:t>
      </w:r>
      <w:r>
        <w:t xml:space="preserve">key supersession with its notarial-doctrine ancestry; hardware</w:t>
      </w:r>
      <w:r>
        <w:t xml:space="preserve"> </w:t>
      </w:r>
      <w:r>
        <w:t xml:space="preserve">re-attestation riding natural refresh cycles so the fleet migrates inside</w:t>
      </w:r>
      <w:r>
        <w:t xml:space="preserve"> </w:t>
      </w:r>
      <w:r>
        <w:t xml:space="preserve">the ordinary replacement budget; and versioned</w:t>
      </w:r>
      <w:r>
        <w:t xml:space="preserve"> </w:t>
      </w:r>
      <w:r>
        <w:t xml:space="preserve">digest upsizing with enforced sunset discipline — all of which land as schema</w:t>
      </w:r>
      <w:r>
        <w:t xml:space="preserve"> </w:t>
      </w:r>
      <w:r>
        <w:t xml:space="preserve">fields and governance clauses rather</w:t>
      </w:r>
      <w:r>
        <w:t xml:space="preserve"> </w:t>
      </w:r>
      <w:r>
        <w:t xml:space="preserve">than heroics, because Chapters 4 and 5 left the sockets in place. The 2049</w:t>
      </w:r>
      <w:r>
        <w:t xml:space="preserve"> </w:t>
      </w:r>
      <w:r>
        <w:t xml:space="preserve">walkthrough of Section 9.6 ran the whole machine against a dissolved EPC,</w:t>
      </w:r>
      <w:r>
        <w:t xml:space="preserve"> </w:t>
      </w:r>
      <w:r>
        <w:t xml:space="preserve">a defunct instrument vendor, two re-platformings, and a commodity-forgery</w:t>
      </w:r>
      <w:r>
        <w:t xml:space="preserve"> </w:t>
      </w:r>
      <w:r>
        <w:t xml:space="preserve">CRQC, and closed in five steps whose hardest was archival. The physical</w:t>
      </w:r>
      <w:r>
        <w:t xml:space="preserve"> </w:t>
      </w:r>
      <w:r>
        <w:t xml:space="preserve">binding layer, immune to Shor by virtue of being made of silicon defects rather</w:t>
      </w:r>
      <w:r>
        <w:t xml:space="preserve"> </w:t>
      </w:r>
      <w:r>
        <w:t xml:space="preserve">than mathematics, becomes the system’s most durable evidence in exactly the</w:t>
      </w:r>
      <w:r>
        <w:t xml:space="preserve"> </w:t>
      </w:r>
      <w:r>
        <w:t xml:space="preserve">scenario where its cryptography is weakest — the trust budget rebalances</w:t>
      </w:r>
      <w:r>
        <w:t xml:space="preserve"> </w:t>
      </w:r>
      <w:r>
        <w:t xml:space="preserve">toward anchored structure and measured matter, and the architecture was</w:t>
      </w:r>
      <w:r>
        <w:t xml:space="preserve"> </w:t>
      </w:r>
      <w:r>
        <w:t xml:space="preserve">built so the rebalancing is a parameter, not a redesign. What cryptographic</w:t>
      </w:r>
      <w:r>
        <w:t xml:space="preserve"> </w:t>
      </w:r>
      <w:r>
        <w:t xml:space="preserve">longevity is to</w:t>
      </w:r>
      <w:r>
        <w:t xml:space="preserve"> </w:t>
      </w:r>
      <w:r>
        <w:t xml:space="preserve">time, privacy and regulation are to jurisdiction — the other long-horizon</w:t>
      </w:r>
      <w:r>
        <w:t xml:space="preserve"> </w:t>
      </w:r>
      <w:r>
        <w:t xml:space="preserve">interface the system must survive, and the subject of Chapter 10.</w:t>
      </w:r>
    </w:p>
    <w:bookmarkEnd w:id="30"/>
    <w:bookmarkStart w:id="31" w:name="references-and-further-reading"/>
    <w:p>
      <w:pPr>
        <w:pStyle w:val="Heading2"/>
      </w:pPr>
      <w:r>
        <w:t xml:space="preserve">References and Further Reading</w:t>
      </w:r>
    </w:p>
    <w:p>
      <w:pPr>
        <w:numPr>
          <w:ilvl w:val="0"/>
          <w:numId w:val="1004"/>
        </w:numPr>
        <w:pStyle w:val="Compact"/>
      </w:pPr>
      <w:r>
        <w:t xml:space="preserve">Shor, P. W.</w:t>
      </w:r>
      <w:r>
        <w:t xml:space="preserve"> </w:t>
      </w:r>
      <w:r>
        <w:t xml:space="preserve">“</w:t>
      </w:r>
      <w:r>
        <w:t xml:space="preserve">Polynomial-Time Algorithms for Prime Factorization and Discrete</w:t>
      </w:r>
      <w:r>
        <w:t xml:space="preserve"> </w:t>
      </w:r>
      <w:r>
        <w:t xml:space="preserve">Logarithms on a Quantum Computer.</w:t>
      </w:r>
      <w:r>
        <w:t xml:space="preserve">”</w:t>
      </w:r>
      <w:r>
        <w:t xml:space="preserve"> </w:t>
      </w:r>
      <w:r>
        <w:rPr>
          <w:iCs/>
          <w:i/>
        </w:rPr>
        <w:t xml:space="preserve">SIAM Journal on Computing</w:t>
      </w:r>
      <w:r>
        <w:t xml:space="preserve"> </w:t>
      </w:r>
      <w:r>
        <w:t xml:space="preserve">26, no. 5</w:t>
      </w:r>
      <w:r>
        <w:t xml:space="preserve"> </w:t>
      </w:r>
      <w:r>
        <w:t xml:space="preserve">(1997): 1484–1509.</w:t>
      </w:r>
    </w:p>
    <w:p>
      <w:pPr>
        <w:numPr>
          <w:ilvl w:val="0"/>
          <w:numId w:val="1004"/>
        </w:numPr>
        <w:pStyle w:val="Compact"/>
      </w:pPr>
      <w:r>
        <w:t xml:space="preserve">Grover, L. K.</w:t>
      </w:r>
      <w:r>
        <w:t xml:space="preserve"> </w:t>
      </w:r>
      <w:r>
        <w:t xml:space="preserve">“</w:t>
      </w:r>
      <w:r>
        <w:t xml:space="preserve">A Fast Quantum Mechanical Algorithm for Database Search.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Proceedings of the 28th Annual ACM Symposium on Theory of Computing</w:t>
      </w:r>
      <w:r>
        <w:rPr>
          <w:iCs/>
          <w:i/>
        </w:rPr>
        <w:t xml:space="preserve"> </w:t>
      </w:r>
      <w:r>
        <w:rPr>
          <w:iCs/>
          <w:i/>
        </w:rPr>
        <w:t xml:space="preserve">(STOC ’96)</w:t>
      </w:r>
      <w:r>
        <w:t xml:space="preserve">, 212–219.</w:t>
      </w:r>
    </w:p>
    <w:p>
      <w:pPr>
        <w:numPr>
          <w:ilvl w:val="0"/>
          <w:numId w:val="1004"/>
        </w:numPr>
        <w:pStyle w:val="Compact"/>
      </w:pPr>
      <w:r>
        <w:t xml:space="preserve">Mosca, M.</w:t>
      </w:r>
      <w:r>
        <w:t xml:space="preserve"> </w:t>
      </w:r>
      <w:r>
        <w:t xml:space="preserve">“</w:t>
      </w:r>
      <w:r>
        <w:t xml:space="preserve">Cybersecurity in an Era with Quantum Computers: Will We Be Ready?</w:t>
      </w:r>
      <w:r>
        <w:t xml:space="preserve">”</w:t>
      </w:r>
      <w:r>
        <w:t xml:space="preserve"> </w:t>
      </w:r>
      <w:r>
        <w:rPr>
          <w:iCs/>
          <w:i/>
        </w:rPr>
        <w:t xml:space="preserve">IEEE Security &amp; Privacy</w:t>
      </w:r>
      <w:r>
        <w:t xml:space="preserve"> </w:t>
      </w:r>
      <w:r>
        <w:t xml:space="preserve">16, no. 5 (2018): 38–41.</w:t>
      </w:r>
    </w:p>
    <w:p>
      <w:pPr>
        <w:numPr>
          <w:ilvl w:val="0"/>
          <w:numId w:val="1004"/>
        </w:numPr>
        <w:pStyle w:val="Compact"/>
      </w:pPr>
      <w:r>
        <w:t xml:space="preserve">National Institute of Standards and Technology.</w:t>
      </w:r>
      <w:r>
        <w:t xml:space="preserve"> </w:t>
      </w:r>
      <w:r>
        <w:rPr>
          <w:iCs/>
          <w:i/>
        </w:rPr>
        <w:t xml:space="preserve">FIPS 203: Module-Lattice-Based</w:t>
      </w:r>
      <w:r>
        <w:rPr>
          <w:iCs/>
          <w:i/>
        </w:rPr>
        <w:t xml:space="preserve"> </w:t>
      </w:r>
      <w:r>
        <w:rPr>
          <w:iCs/>
          <w:i/>
        </w:rPr>
        <w:t xml:space="preserve">Key-Encapsulation Mechanism (ML-KEM); FIPS 204: Module-Lattice-Based Digital</w:t>
      </w:r>
      <w:r>
        <w:rPr>
          <w:iCs/>
          <w:i/>
        </w:rPr>
        <w:t xml:space="preserve"> </w:t>
      </w:r>
      <w:r>
        <w:rPr>
          <w:iCs/>
          <w:i/>
        </w:rPr>
        <w:t xml:space="preserve">Signature Algorithm (ML-DSA); FIPS 205: Stateless Hash-Based Digital Signature</w:t>
      </w:r>
      <w:r>
        <w:rPr>
          <w:iCs/>
          <w:i/>
        </w:rPr>
        <w:t xml:space="preserve"> </w:t>
      </w:r>
      <w:r>
        <w:rPr>
          <w:iCs/>
          <w:i/>
        </w:rPr>
        <w:t xml:space="preserve">Algorithm (SLH-DSA).</w:t>
      </w:r>
      <w:r>
        <w:t xml:space="preserve"> </w:t>
      </w:r>
      <w:r>
        <w:t xml:space="preserve">Gaithersburg, MD: NIST, 2024.</w:t>
      </w:r>
    </w:p>
    <w:p>
      <w:pPr>
        <w:numPr>
          <w:ilvl w:val="0"/>
          <w:numId w:val="1004"/>
        </w:numPr>
        <w:pStyle w:val="Compact"/>
      </w:pPr>
      <w:r>
        <w:t xml:space="preserve">Bernstein, D. J., and T. Lange.</w:t>
      </w:r>
      <w:r>
        <w:t xml:space="preserve"> </w:t>
      </w:r>
      <w:r>
        <w:t xml:space="preserve">“</w:t>
      </w:r>
      <w:r>
        <w:t xml:space="preserve">Post-Quantum Cryptography.</w:t>
      </w:r>
      <w:r>
        <w:t xml:space="preserve">”</w:t>
      </w:r>
      <w:r>
        <w:t xml:space="preserve"> </w:t>
      </w:r>
      <w:r>
        <w:rPr>
          <w:iCs/>
          <w:i/>
        </w:rPr>
        <w:t xml:space="preserve">Nature</w:t>
      </w:r>
      <w:r>
        <w:t xml:space="preserve"> </w:t>
      </w:r>
      <w:r>
        <w:t xml:space="preserve">549</w:t>
      </w:r>
      <w:r>
        <w:t xml:space="preserve"> </w:t>
      </w:r>
      <w:r>
        <w:t xml:space="preserve">(2017): 188–194.</w:t>
      </w:r>
    </w:p>
    <w:p>
      <w:pPr>
        <w:numPr>
          <w:ilvl w:val="0"/>
          <w:numId w:val="1004"/>
        </w:numPr>
        <w:pStyle w:val="Compact"/>
      </w:pPr>
      <w:r>
        <w:t xml:space="preserve">Aggarwal, D., G. Brennen, T. Lee, M. Santha, and M. Tomamichel.</w:t>
      </w:r>
      <w:r>
        <w:t xml:space="preserve"> </w:t>
      </w:r>
      <w:r>
        <w:t xml:space="preserve">“</w:t>
      </w:r>
      <w:r>
        <w:t xml:space="preserve">Quantum</w:t>
      </w:r>
      <w:r>
        <w:t xml:space="preserve"> </w:t>
      </w:r>
      <w:r>
        <w:t xml:space="preserve">Attacks on Bitcoin, and How to Protect Against Them.</w:t>
      </w:r>
      <w:r>
        <w:t xml:space="preserve">”</w:t>
      </w:r>
      <w:r>
        <w:t xml:space="preserve"> </w:t>
      </w:r>
      <w:r>
        <w:rPr>
          <w:iCs/>
          <w:i/>
        </w:rPr>
        <w:t xml:space="preserve">Ledger</w:t>
      </w:r>
      <w:r>
        <w:t xml:space="preserve"> </w:t>
      </w:r>
      <w:r>
        <w:t xml:space="preserve">3 (2018).</w:t>
      </w:r>
      <w:r>
        <w:t xml:space="preserve"> </w:t>
      </w:r>
      <w:r>
        <w:t xml:space="preserve">The transactional framing whose limits Section 9.1 maps.</w:t>
      </w:r>
    </w:p>
    <w:p>
      <w:pPr>
        <w:numPr>
          <w:ilvl w:val="0"/>
          <w:numId w:val="1004"/>
        </w:numPr>
        <w:pStyle w:val="Compact"/>
      </w:pPr>
      <w:r>
        <w:t xml:space="preserve">Gondrom, T., R. Brandner, and U. Pordesch.</w:t>
      </w:r>
      <w:r>
        <w:t xml:space="preserve"> </w:t>
      </w:r>
      <w:r>
        <w:rPr>
          <w:iCs/>
          <w:i/>
        </w:rPr>
        <w:t xml:space="preserve">Evidence Record Syntax (ERS).</w:t>
      </w:r>
      <w:r>
        <w:t xml:space="preserve"> </w:t>
      </w:r>
      <w:r>
        <w:t xml:space="preserve">RFC 4998, IETF, 2007. The archival re-timestamping standard —</w:t>
      </w:r>
      <w:r>
        <w:t xml:space="preserve"> </w:t>
      </w:r>
      <w:r>
        <w:t xml:space="preserve">Section 9.4’s P1 as long-practiced by the preservation community.</w:t>
      </w:r>
    </w:p>
    <w:p>
      <w:pPr>
        <w:numPr>
          <w:ilvl w:val="0"/>
          <w:numId w:val="1004"/>
        </w:numPr>
        <w:pStyle w:val="Compact"/>
      </w:pPr>
      <w:r>
        <w:t xml:space="preserve">Regulation (EU) No 910/2014 (eIDAS), including its qualified preservation</w:t>
      </w:r>
      <w:r>
        <w:t xml:space="preserve"> </w:t>
      </w:r>
      <w:r>
        <w:t xml:space="preserve">service provisions. The statutory template for time-contextual signature</w:t>
      </w:r>
      <w:r>
        <w:t xml:space="preserve"> </w:t>
      </w:r>
      <w:r>
        <w:t xml:space="preserve">validity behind pattern P2.</w:t>
      </w:r>
    </w:p>
    <w:p>
      <w:pPr>
        <w:numPr>
          <w:ilvl w:val="0"/>
          <w:numId w:val="1004"/>
        </w:numPr>
        <w:pStyle w:val="Compact"/>
      </w:pPr>
      <w:r>
        <w:t xml:space="preserve">Huelsing, A., et al. </w:t>
      </w:r>
      <w:r>
        <w:rPr>
          <w:iCs/>
          <w:i/>
        </w:rPr>
        <w:t xml:space="preserve">XMSS: eXtended Merkle Signature Scheme.</w:t>
      </w:r>
      <w:r>
        <w:t xml:space="preserve"> </w:t>
      </w:r>
      <w:r>
        <w:t xml:space="preserve">RFC 8391,</w:t>
      </w:r>
      <w:r>
        <w:t xml:space="preserve"> </w:t>
      </w:r>
      <w:r>
        <w:t xml:space="preserve">IETF, 2018. The stateful hash-based family Section 9.3 declines for</w:t>
      </w:r>
      <w:r>
        <w:t xml:space="preserve"> </w:t>
      </w:r>
      <w:r>
        <w:t xml:space="preserve">general roles, with its state-management burden documented.</w:t>
      </w:r>
    </w:p>
    <w:p>
      <w:pPr>
        <w:numPr>
          <w:ilvl w:val="0"/>
          <w:numId w:val="1004"/>
        </w:numPr>
        <w:pStyle w:val="Compact"/>
      </w:pPr>
      <w:r>
        <w:t xml:space="preserve">[AUTHOR LAST NAME], [FIRST NAME].</w:t>
      </w:r>
      <w:r>
        <w:t xml:space="preserve"> </w:t>
      </w:r>
      <w:r>
        <w:rPr>
          <w:iCs/>
          <w:i/>
        </w:rPr>
        <w:t xml:space="preserve">[TITLE — AUTHOR’S POST-QUANTUM MIGRATION MONOGRAPH]</w:t>
      </w:r>
      <w:r>
        <w:t xml:space="preserve">. [Publisher — TO BE SUPPLIED], [year — TO BE SUPPLIED]. General treatment cited in Chapter 1, Section 1.6; Chapter 9 is the asset-identity-specific application.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Blockchain-Based Identity and Provenance for Distributed Energy Assets</dc:title>
  <dc:creator>[AUTHOR NAME — TO BE SUPPLIED]</dc:creator>
  <dc:language>en-US</dc:language>
  <cp:keywords/>
  <dcterms:created xsi:type="dcterms:W3CDTF">2026-07-03T09:17:38Z</dcterms:created>
  <dcterms:modified xsi:type="dcterms:W3CDTF">2026-07-03T09:17:38Z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book</vt:lpwstr>
  </property>
  <property fmtid="{D5CDD505-2E9C-101B-9397-08002B2CF9AE}" pid="3" name="fontsize">
    <vt:lpwstr>11pt</vt:lpwstr>
  </property>
  <property fmtid="{D5CDD505-2E9C-101B-9397-08002B2CF9AE}" pid="4" name="geometry">
    <vt:lpwstr>paperwidth=6.85in, paperheight=9.61in, margin=1in</vt:lpwstr>
  </property>
  <property fmtid="{D5CDD505-2E9C-101B-9397-08002B2CF9AE}" pid="5" name="link-citations">
    <vt:lpwstr>True</vt:lpwstr>
  </property>
  <property fmtid="{D5CDD505-2E9C-101B-9397-08002B2CF9AE}" pid="6" name="numbersections">
    <vt:lpwstr>True</vt:lpwstr>
  </property>
  <property fmtid="{D5CDD505-2E9C-101B-9397-08002B2CF9AE}" pid="7" name="publisher">
    <vt:lpwstr>CRC Press / Taylor &amp; Francis</vt:lpwstr>
  </property>
  <property fmtid="{D5CDD505-2E9C-101B-9397-08002B2CF9AE}" pid="8" name="rights">
    <vt:lpwstr>© [YEAR] [AUTHOR NAME]. All rights reserved. Draft manuscript — not for distribution.</vt:lpwstr>
  </property>
  <property fmtid="{D5CDD505-2E9C-101B-9397-08002B2CF9AE}" pid="9" name="subtitle">
    <vt:lpwstr>Immutable Identity, Lifecycle Traceability, and Integrity Verification for Solar and Renewable Infrastructure</vt:lpwstr>
  </property>
  <property fmtid="{D5CDD505-2E9C-101B-9397-08002B2CF9AE}" pid="10" name="toc">
    <vt:lpwstr>True</vt:lpwstr>
  </property>
  <property fmtid="{D5CDD505-2E9C-101B-9397-08002B2CF9AE}" pid="11" name="toc-depth">
    <vt:lpwstr>2</vt:lpwstr>
  </property>
</Properties>
</file>