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39096d9d83be037165106ea15f68953b38f2970"/>
    <w:p>
      <w:pPr>
        <w:pStyle w:val="Heading1"/>
      </w:pPr>
      <w:r>
        <w:t xml:space="preserve">Privacy, Data Governance, and Regulatory Interfaces</w:t>
      </w:r>
    </w:p>
    <w:bookmarkStart w:id="2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An asset ledger sounds like it is about objects, but objects trail people and</w:t>
      </w:r>
      <w:r>
        <w:t xml:space="preserve"> </w:t>
      </w:r>
      <w:r>
        <w:t xml:space="preserve">enterprises: a rooftop module’s history reveals a household’s address and</w:t>
      </w:r>
      <w:r>
        <w:t xml:space="preserve"> </w:t>
      </w:r>
      <w:r>
        <w:t xml:space="preserve">consumption rhythm; a plant’s maintenance stream reveals an operator’s cost</w:t>
      </w:r>
      <w:r>
        <w:t xml:space="preserve"> </w:t>
      </w:r>
      <w:r>
        <w:t xml:space="preserve">structure; a manufacturer’s registration flow reveals production volumes that move</w:t>
      </w:r>
      <w:r>
        <w:t xml:space="preserve"> </w:t>
      </w:r>
      <w:r>
        <w:t xml:space="preserve">markets. This chapter designs the privacy layer the architecture owes those</w:t>
      </w:r>
      <w:r>
        <w:t xml:space="preserve"> </w:t>
      </w:r>
      <w:r>
        <w:t xml:space="preserve">parties — an exposure inventory, the three-zone design with its crossing</w:t>
      </w:r>
      <w:r>
        <w:t xml:space="preserve"> </w:t>
      </w:r>
      <w:r>
        <w:t xml:space="preserve">rules, four operating mechanisms including a worked selective-disclosure</w:t>
      </w:r>
      <w:r>
        <w:t xml:space="preserve"> </w:t>
      </w:r>
      <w:r>
        <w:t xml:space="preserve">bundle, and the honest reasoning behind deferring zero-knowledge machinery;</w:t>
      </w:r>
      <w:r>
        <w:t xml:space="preserve"> </w:t>
      </w:r>
      <w:r>
        <w:t xml:space="preserve">allocates data-governance authority across a record no one owns, with the</w:t>
      </w:r>
      <w:r>
        <w:t xml:space="preserve"> </w:t>
      </w:r>
      <w:r>
        <w:t xml:space="preserve">composition rules, clocks, and sanction ladders a year of pilot governance</w:t>
      </w:r>
      <w:r>
        <w:t xml:space="preserve"> </w:t>
      </w:r>
      <w:r>
        <w:t xml:space="preserve">taught; maps</w:t>
      </w:r>
      <w:r>
        <w:t xml:space="preserve"> </w:t>
      </w:r>
      <w:r>
        <w:t xml:space="preserve">the regulatory interfaces — product passports, supply-chain integrity</w:t>
      </w:r>
      <w:r>
        <w:t xml:space="preserve"> </w:t>
      </w:r>
      <w:r>
        <w:t xml:space="preserve">regimes, certificate schemes, grid codes, and data-protection law — that a</w:t>
      </w:r>
      <w:r>
        <w:t xml:space="preserve"> </w:t>
      </w:r>
      <w:r>
        <w:t xml:space="preserve">deployment must meet in</w:t>
      </w:r>
      <w:r>
        <w:t xml:space="preserve"> </w:t>
      </w:r>
      <w:r>
        <w:t xml:space="preserve">the EU, the US, and India, including the trajectory in which regulators</w:t>
      </w:r>
      <w:r>
        <w:t xml:space="preserve"> </w:t>
      </w:r>
      <w:r>
        <w:t xml:space="preserve">themselves become verifiers; and closes with the consortium agreement,</w:t>
      </w:r>
      <w:r>
        <w:t xml:space="preserve"> </w:t>
      </w:r>
      <w:r>
        <w:t xml:space="preserve">annotated clause by clause against the mechanisms that enforce it. The</w:t>
      </w:r>
      <w:r>
        <w:t xml:space="preserve"> </w:t>
      </w:r>
      <w:r>
        <w:t xml:space="preserve">treatment is an engineer’s: enough law to derive</w:t>
      </w:r>
      <w:r>
        <w:t xml:space="preserve"> </w:t>
      </w:r>
      <w:r>
        <w:t xml:space="preserve">requirements, no more. Nothing here is legal advice, and counsel should review any</w:t>
      </w:r>
      <w:r>
        <w:t xml:space="preserve"> </w:t>
      </w:r>
      <w:r>
        <w:t xml:space="preserve">deployment against the current text of the instruments cited.</w:t>
      </w:r>
    </w:p>
    <w:bookmarkEnd w:id="20"/>
    <w:bookmarkStart w:id="21" w:name="what-the-ledger-knows-and-about-whom"/>
    <w:p>
      <w:pPr>
        <w:pStyle w:val="Heading2"/>
      </w:pPr>
      <w:r>
        <w:t xml:space="preserve">10.1 What the Ledger Knows, and About Whom</w:t>
      </w:r>
    </w:p>
    <w:p>
      <w:pPr>
        <w:pStyle w:val="FirstParagraph"/>
      </w:pPr>
      <w:r>
        <w:t xml:space="preserve">Privacy analysis starts with an inventory, not an ideology — and the</w:t>
      </w:r>
      <w:r>
        <w:t xml:space="preserve"> </w:t>
      </w:r>
      <w:r>
        <w:t xml:space="preserve">inventory must be honest about</w:t>
      </w:r>
      <w:r>
        <w:t xml:space="preserve"> </w:t>
      </w:r>
      <w:r>
        <w:rPr>
          <w:iCs/>
          <w:i/>
        </w:rPr>
        <w:t xml:space="preserve">inference</w:t>
      </w:r>
      <w:r>
        <w:t xml:space="preserve">, not merely storage, because</w:t>
      </w:r>
      <w:r>
        <w:t xml:space="preserve"> </w:t>
      </w:r>
      <w:r>
        <w:t xml:space="preserve">modern privacy failures are mostly derivations from data nobody thought</w:t>
      </w:r>
      <w:r>
        <w:t xml:space="preserve"> </w:t>
      </w:r>
      <w:r>
        <w:t xml:space="preserve">sensitive. Table 10.1 classifies</w:t>
      </w:r>
      <w:r>
        <w:t xml:space="preserve"> </w:t>
      </w:r>
      <w:r>
        <w:t xml:space="preserve">the data classes of Part II by whom they expose and how, with the</w:t>
      </w:r>
      <w:r>
        <w:t xml:space="preserve"> </w:t>
      </w:r>
      <w:r>
        <w:t xml:space="preserve">indirect column doing the work naive audits skip.</w:t>
      </w:r>
    </w:p>
    <w:p>
      <w:pPr>
        <w:pStyle w:val="BodyText"/>
      </w:pPr>
      <w:r>
        <w:rPr>
          <w:bCs/>
          <w:b/>
        </w:rPr>
        <w:t xml:space="preserve">Table 10.1</w:t>
      </w:r>
      <w:r>
        <w:t xml:space="preserve"> </w:t>
      </w:r>
      <w:r>
        <w:t xml:space="preserve">Exposure inventory of the asset record.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reveals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Indirectly reveals (inference)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+ template digests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existence, batch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volumes, yields, line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(commercial)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 / ownership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Counterparties, transfer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composition, deal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Owners, funds (commercial)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/ commissioning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linkage of each 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Household identity for rooftop 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Individuals (GDPR-class)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Degradation, 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quality, insurer loss picture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Operators, insurers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Interventions,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structure, staffing, failure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contractors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 calibration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Anchors (public chains)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(digests)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  <w:r>
              <w:t xml:space="preserve"> </w:t>
            </w:r>
            <w:r>
              <w:rPr>
                <w:iCs/>
                <w:i/>
              </w:rPr>
              <w:t xml:space="preserve">volume</w:t>
            </w:r>
            <w:r>
              <w:t xml:space="preserve"> </w:t>
            </w:r>
            <w:r>
              <w:t xml:space="preserve">via anchor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Consortium (minor)</w:t>
            </w:r>
          </w:p>
        </w:tc>
      </w:tr>
    </w:tbl>
    <w:p>
      <w:pPr>
        <w:pStyle w:val="BodyText"/>
      </w:pPr>
      <w:r>
        <w:t xml:space="preserve">Two rows earn their</w:t>
      </w:r>
      <w:r>
        <w:t xml:space="preserve"> </w:t>
      </w:r>
      <w:r>
        <w:t xml:space="preserve">“</w:t>
      </w:r>
      <w:r>
        <w:t xml:space="preserve">low</w:t>
      </w:r>
      <w:r>
        <w:t xml:space="preserve">”</w:t>
      </w:r>
      <w:r>
        <w:t xml:space="preserve"> </w:t>
      </w:r>
      <w:r>
        <w:t xml:space="preserve">ratings by design rather than by nature and are</w:t>
      </w:r>
      <w:r>
        <w:t xml:space="preserve"> </w:t>
      </w:r>
      <w:r>
        <w:t xml:space="preserve">worth defending once: the calibration chain exposes little because</w:t>
      </w:r>
      <w:r>
        <w:t xml:space="preserve"> </w:t>
      </w:r>
      <w:r>
        <w:t xml:space="preserve">instrument relationships are already public through accreditation</w:t>
      </w:r>
      <w:r>
        <w:t xml:space="preserve"> </w:t>
      </w:r>
      <w:r>
        <w:t xml:space="preserve">registries — the ledger adds timestamps to facts the laboratories</w:t>
      </w:r>
      <w:r>
        <w:t xml:space="preserve"> </w:t>
      </w:r>
      <w:r>
        <w:t xml:space="preserve">advertise; and the anchors expose only cadence because everything beneath</w:t>
      </w:r>
      <w:r>
        <w:t xml:space="preserve"> </w:t>
      </w:r>
      <w:r>
        <w:t xml:space="preserve">them is double-blinded by the salted-commitment structure Section 10.2’s</w:t>
      </w:r>
      <w:r>
        <w:t xml:space="preserve"> </w:t>
      </w:r>
      <w:r>
        <w:t xml:space="preserve">second mechanism specifies. Ratings like these should be re-derived, not</w:t>
      </w:r>
      <w:r>
        <w:t xml:space="preserve"> </w:t>
      </w:r>
      <w:r>
        <w:t xml:space="preserve">inherited, whenever the schema grows a new event class — the inventory is</w:t>
      </w:r>
      <w:r>
        <w:t xml:space="preserve"> </w:t>
      </w:r>
      <w:r>
        <w:t xml:space="preserve">a living document with an owner (the governance table below assigns one),</w:t>
      </w:r>
      <w:r>
        <w:t xml:space="preserve"> </w:t>
      </w:r>
      <w:r>
        <w:t xml:space="preserve">not a design-time appendix.</w:t>
      </w:r>
    </w:p>
    <w:p>
      <w:pPr>
        <w:pStyle w:val="BodyText"/>
      </w:pPr>
      <w:r>
        <w:t xml:space="preserve">Two entries force design decisions. First, the rooftop case: a module DID whose</w:t>
      </w:r>
      <w:r>
        <w:t xml:space="preserve"> </w:t>
      </w:r>
      <w:r>
        <w:t xml:space="preserve">installation event carries a street-level site reference is</w:t>
      </w:r>
      <w:r>
        <w:t xml:space="preserve"> </w:t>
      </w:r>
      <w:r>
        <w:rPr>
          <w:iCs/>
          <w:i/>
        </w:rPr>
        <w:t xml:space="preserve">personal data</w:t>
      </w:r>
      <w:r>
        <w:t xml:space="preserve"> </w:t>
      </w:r>
      <w:r>
        <w:t xml:space="preserve">the</w:t>
      </w:r>
      <w:r>
        <w:t xml:space="preserve"> </w:t>
      </w:r>
      <w:r>
        <w:t xml:space="preserve">moment the site is a dwelling — under the GDPR, plausibly under several US state</w:t>
      </w:r>
      <w:r>
        <w:t xml:space="preserve"> </w:t>
      </w:r>
      <w:r>
        <w:t xml:space="preserve">statutes, and under India’s DPDP Act. Second, the inference column: even with</w:t>
      </w:r>
      <w:r>
        <w:t xml:space="preserve"> </w:t>
      </w:r>
      <w:r>
        <w:t xml:space="preserve">payloads off-chain,</w:t>
      </w:r>
      <w:r>
        <w:t xml:space="preserve"> </w:t>
      </w:r>
      <w:r>
        <w:rPr>
          <w:iCs/>
          <w:i/>
        </w:rPr>
        <w:t xml:space="preserve">event metadata alone</w:t>
      </w:r>
      <w:r>
        <w:t xml:space="preserve"> </w:t>
      </w:r>
      <w:r>
        <w:t xml:space="preserve">— types, timestamps, counterparty</w:t>
      </w:r>
      <w:r>
        <w:t xml:space="preserve"> </w:t>
      </w:r>
      <w:r>
        <w:t xml:space="preserve">patterns — supports commercial inference, and consortium validators see all of it.</w:t>
      </w:r>
      <w:r>
        <w:t xml:space="preserve"> </w:t>
      </w:r>
      <w:r>
        <w:t xml:space="preserve">“</w:t>
      </w:r>
      <w:r>
        <w:t xml:space="preserve">The payloads are off-chain</w:t>
      </w:r>
      <w:r>
        <w:t xml:space="preserve">”</w:t>
      </w:r>
      <w:r>
        <w:t xml:space="preserve"> </w:t>
      </w:r>
      <w:r>
        <w:t xml:space="preserve">is the beginning of a privacy design, not the end of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The rooftop case deserves its full unpacking because it is where this</w:t>
      </w:r>
      <w:r>
        <w:t xml:space="preserve"> </w:t>
      </w:r>
      <w:r>
        <w:t xml:space="preserve">architecture first touches individuals rather than enterprises. A</w:t>
      </w:r>
      <w:r>
        <w:t xml:space="preserve"> </w:t>
      </w:r>
      <w:r>
        <w:t xml:space="preserve">residential system’s event stream — installation date and location,</w:t>
      </w:r>
      <w:r>
        <w:t xml:space="preserve"> </w:t>
      </w:r>
      <w:r>
        <w:t xml:space="preserve">inspection cadence, fault events, an ownership transfer at a house sale —</w:t>
      </w:r>
      <w:r>
        <w:t xml:space="preserve"> </w:t>
      </w:r>
      <w:r>
        <w:t xml:space="preserve">composes into a household dossier of real sensitivity: occupancy patterns</w:t>
      </w:r>
      <w:r>
        <w:t xml:space="preserve"> </w:t>
      </w:r>
      <w:r>
        <w:t xml:space="preserve">inferable from maintenance scheduling, creditworthiness signals from the</w:t>
      </w:r>
      <w:r>
        <w:t xml:space="preserve"> </w:t>
      </w:r>
      <w:r>
        <w:t xml:space="preserve">system’s age and condition, and the address itself. Under the GDPR the</w:t>
      </w:r>
      <w:r>
        <w:t xml:space="preserve"> </w:t>
      </w:r>
      <w:r>
        <w:t xml:space="preserve">analysis is unambiguous once the data relates to an identifiable natural</w:t>
      </w:r>
      <w:r>
        <w:t xml:space="preserve"> </w:t>
      </w:r>
      <w:r>
        <w:t xml:space="preserve">person: lawful basis must be established (legitimate interest for warranty</w:t>
      </w:r>
      <w:r>
        <w:t xml:space="preserve"> </w:t>
      </w:r>
      <w:r>
        <w:t xml:space="preserve">administration will carry much of it; consent is the wrong instrument for</w:t>
      </w:r>
      <w:r>
        <w:t xml:space="preserve"> </w:t>
      </w:r>
      <w:r>
        <w:t xml:space="preserve">data that must outlive the consenting relationship), purpose limitation</w:t>
      </w:r>
      <w:r>
        <w:t xml:space="preserve"> </w:t>
      </w:r>
      <w:r>
        <w:t xml:space="preserve">constrains reuse, and the data-subject rights — access, rectification,</w:t>
      </w:r>
      <w:r>
        <w:t xml:space="preserve"> </w:t>
      </w:r>
      <w:r>
        <w:t xml:space="preserve">erasure — must be</w:t>
      </w:r>
      <w:r>
        <w:t xml:space="preserve"> </w:t>
      </w:r>
      <w:r>
        <w:rPr>
          <w:iCs/>
          <w:i/>
        </w:rPr>
        <w:t xml:space="preserve">operable</w:t>
      </w:r>
      <w:r>
        <w:t xml:space="preserve">. The architecture’s answer, developed in the</w:t>
      </w:r>
      <w:r>
        <w:t xml:space="preserve"> </w:t>
      </w:r>
      <w:r>
        <w:t xml:space="preserve">next section, is to ensure those rights bite on mutable off-chain stores</w:t>
      </w:r>
      <w:r>
        <w:t xml:space="preserve"> </w:t>
      </w:r>
      <w:r>
        <w:t xml:space="preserve">while the immutable layer holds nothing about the person at all. What must</w:t>
      </w:r>
      <w:r>
        <w:t xml:space="preserve"> </w:t>
      </w:r>
      <w:r>
        <w:t xml:space="preserve">not happen is the lazy design in which</w:t>
      </w:r>
      <w:r>
        <w:t xml:space="preserve"> </w:t>
      </w:r>
      <w:r>
        <w:t xml:space="preserve">“</w:t>
      </w:r>
      <w:r>
        <w:t xml:space="preserve">the blockchain made me unable to</w:t>
      </w:r>
      <w:r>
        <w:t xml:space="preserve"> </w:t>
      </w:r>
      <w:r>
        <w:t xml:space="preserve">comply</w:t>
      </w:r>
      <w:r>
        <w:t xml:space="preserve">”</w:t>
      </w:r>
      <w:r>
        <w:t xml:space="preserve"> </w:t>
      </w:r>
      <w:r>
        <w:t xml:space="preserve">is offered as a defense — regulators have already rejected that</w:t>
      </w:r>
      <w:r>
        <w:t xml:space="preserve"> </w:t>
      </w:r>
      <w:r>
        <w:t xml:space="preserve">posture in published guidance, and they are right: the immutability was a</w:t>
      </w:r>
      <w:r>
        <w:t xml:space="preserve"> </w:t>
      </w:r>
      <w:r>
        <w:t xml:space="preserve">design choice, and so was what got immutabilized.</w:t>
      </w:r>
    </w:p>
    <w:p>
      <w:pPr>
        <w:pStyle w:val="BodyText"/>
      </w:pPr>
      <w:r>
        <w:t xml:space="preserve">The household’s experience of all this machinery deserves a design note,</w:t>
      </w:r>
      <w:r>
        <w:t xml:space="preserve"> </w:t>
      </w:r>
      <w:r>
        <w:t xml:space="preserve">because privacy delivered through interfaces nobody can use is privacy on</w:t>
      </w:r>
      <w:r>
        <w:t xml:space="preserve"> </w:t>
      </w:r>
      <w:r>
        <w:t xml:space="preserve">paper. The homeowner’s touchpoints are few and should stay few: at</w:t>
      </w:r>
      <w:r>
        <w:t xml:space="preserve"> </w:t>
      </w:r>
      <w:r>
        <w:t xml:space="preserve">installation, a plain-language notice that the</w:t>
      </w:r>
      <w:r>
        <w:t xml:space="preserve"> </w:t>
      </w:r>
      <w:r>
        <w:rPr>
          <w:iCs/>
          <w:i/>
        </w:rPr>
        <w:t xml:space="preserve">equipment</w:t>
      </w:r>
      <w:r>
        <w:t xml:space="preserve"> </w:t>
      </w:r>
      <w:r>
        <w:t xml:space="preserve">carries a</w:t>
      </w:r>
      <w:r>
        <w:t xml:space="preserve"> </w:t>
      </w:r>
      <w:r>
        <w:t xml:space="preserve">verifiable service record (the analogy to a vehicle’s service book</w:t>
      </w:r>
      <w:r>
        <w:t xml:space="preserve"> </w:t>
      </w:r>
      <w:r>
        <w:t xml:space="preserve">travels well), that the household’s identity lives with the warranty</w:t>
      </w:r>
      <w:r>
        <w:t xml:space="preserve"> </w:t>
      </w:r>
      <w:r>
        <w:t xml:space="preserve">administrator and not in the record, and that the record transfers with</w:t>
      </w:r>
      <w:r>
        <w:t xml:space="preserve"> </w:t>
      </w:r>
      <w:r>
        <w:t xml:space="preserve">the house — a selling point, not a disclosure burden, since a documented</w:t>
      </w:r>
      <w:r>
        <w:t xml:space="preserve"> </w:t>
      </w:r>
      <w:r>
        <w:t xml:space="preserve">system appraises better. Rights requests route through the same</w:t>
      </w:r>
      <w:r>
        <w:t xml:space="preserve"> </w:t>
      </w:r>
      <w:r>
        <w:t xml:space="preserve">administrator with statutory deadlines; no homeowner ever hears the word</w:t>
      </w:r>
      <w:r>
        <w:t xml:space="preserve"> </w:t>
      </w:r>
      <w:r>
        <w:t xml:space="preserve">“</w:t>
      </w:r>
      <w:r>
        <w:t xml:space="preserve">DID.</w:t>
      </w:r>
      <w:r>
        <w:t xml:space="preserve">”</w:t>
      </w:r>
      <w:r>
        <w:t xml:space="preserve"> </w:t>
      </w:r>
      <w:r>
        <w:t xml:space="preserve">The residential segment is where this architecture could most</w:t>
      </w:r>
      <w:r>
        <w:t xml:space="preserve"> </w:t>
      </w:r>
      <w:r>
        <w:t xml:space="preserve">easily acquire a surveillance reputation it does not deserve, and the</w:t>
      </w:r>
      <w:r>
        <w:t xml:space="preserve"> </w:t>
      </w:r>
      <w:r>
        <w:t xml:space="preserve">defense is interface austerity: the household sees a better warranty and</w:t>
      </w:r>
      <w:r>
        <w:t xml:space="preserve"> </w:t>
      </w:r>
      <w:r>
        <w:t xml:space="preserve">a cleaner resale, and the machinery stays in the walls where machinery</w:t>
      </w:r>
      <w:r>
        <w:t xml:space="preserve"> </w:t>
      </w:r>
      <w:r>
        <w:t xml:space="preserve">belongs.</w:t>
      </w:r>
    </w:p>
    <w:p>
      <w:pPr>
        <w:pStyle w:val="BodyText"/>
      </w:pPr>
      <w:r>
        <w:t xml:space="preserve">The inference threat deserves equal concreteness on the commercial side.</w:t>
      </w:r>
      <w:r>
        <w:t xml:space="preserve"> </w:t>
      </w:r>
      <w:r>
        <w:t xml:space="preserve">A validator — or any party with envelope visibility — observing that</w:t>
      </w:r>
      <w:r>
        <w:t xml:space="preserve"> </w:t>
      </w:r>
      <w:r>
        <w:t xml:space="preserve">registrar M’s batch cadence dropped 40% quarter-over-quarter has learned</w:t>
      </w:r>
      <w:r>
        <w:t xml:space="preserve"> </w:t>
      </w:r>
      <w:r>
        <w:t xml:space="preserve">M’s production volumes ahead of any market disclosure; watching transfer</w:t>
      </w:r>
      <w:r>
        <w:t xml:space="preserve"> </w:t>
      </w:r>
      <w:r>
        <w:t xml:space="preserve">events cluster around role DID R-4471 reveals a fund’s acquisition spree</w:t>
      </w:r>
      <w:r>
        <w:t xml:space="preserve"> </w:t>
      </w:r>
      <w:r>
        <w:t xml:space="preserve">during its quiet period; correlating inspection-event bursts with</w:t>
      </w:r>
      <w:r>
        <w:t xml:space="preserve"> </w:t>
      </w:r>
      <w:r>
        <w:t xml:space="preserve">catastrophe footprints prices an insurer’s book exposure. None of this</w:t>
      </w:r>
      <w:r>
        <w:t xml:space="preserve"> </w:t>
      </w:r>
      <w:r>
        <w:t xml:space="preserve">requires payload access, and all of it has market value — which is why</w:t>
      </w:r>
      <w:r>
        <w:t xml:space="preserve"> </w:t>
      </w:r>
      <w:r>
        <w:t xml:space="preserve">metadata protection is a design requirement with named mechanisms</w:t>
      </w:r>
      <w:r>
        <w:t xml:space="preserve"> </w:t>
      </w:r>
      <w:r>
        <w:t xml:space="preserve">(Section 10.2’s third instrument) rather than a nice-to-have, and why the</w:t>
      </w:r>
      <w:r>
        <w:t xml:space="preserve"> </w:t>
      </w:r>
      <w:r>
        <w:t xml:space="preserve">data-use covenants that validators sign are contracts with audit rights</w:t>
      </w:r>
      <w:r>
        <w:t xml:space="preserve"> </w:t>
      </w:r>
      <w:r>
        <w:t xml:space="preserve">and teeth, not codes of conduct.</w:t>
      </w:r>
    </w:p>
    <w:p>
      <w:pPr>
        <w:pStyle w:val="BodyText"/>
      </w:pPr>
      <w:r>
        <w:t xml:space="preserve">Reading Table 10.1 as a whole, before the mechanisms: the exposures divide</w:t>
      </w:r>
      <w:r>
        <w:t xml:space="preserve"> </w:t>
      </w:r>
      <w:r>
        <w:t xml:space="preserve">into a</w:t>
      </w:r>
      <w:r>
        <w:t xml:space="preserve"> </w:t>
      </w:r>
      <w:r>
        <w:rPr>
          <w:iCs/>
          <w:i/>
        </w:rPr>
        <w:t xml:space="preserve">personal</w:t>
      </w:r>
      <w:r>
        <w:t xml:space="preserve"> </w:t>
      </w:r>
      <w:r>
        <w:t xml:space="preserve">cluster (one row, the rooftop case, small in data volume</w:t>
      </w:r>
      <w:r>
        <w:t xml:space="preserve"> </w:t>
      </w:r>
      <w:r>
        <w:t xml:space="preserve">and strictest in law) and a</w:t>
      </w:r>
      <w:r>
        <w:t xml:space="preserve"> </w:t>
      </w:r>
      <w:r>
        <w:rPr>
          <w:iCs/>
          <w:i/>
        </w:rPr>
        <w:t xml:space="preserve">commercial</w:t>
      </w:r>
      <w:r>
        <w:t xml:space="preserve"> </w:t>
      </w:r>
      <w:r>
        <w:t xml:space="preserve">cluster (every other row, vast in</w:t>
      </w:r>
      <w:r>
        <w:t xml:space="preserve"> </w:t>
      </w:r>
      <w:r>
        <w:t xml:space="preserve">volume and governed by contract more than statute) — and the two clusters</w:t>
      </w:r>
      <w:r>
        <w:t xml:space="preserve"> </w:t>
      </w:r>
      <w:r>
        <w:t xml:space="preserve">want opposite defaults. Personal data wants minimization, deletion paths,</w:t>
      </w:r>
      <w:r>
        <w:t xml:space="preserve"> </w:t>
      </w:r>
      <w:r>
        <w:t xml:space="preserve">and rights machinery; commercial data wants controlled sharing, because</w:t>
      </w:r>
      <w:r>
        <w:t xml:space="preserve"> </w:t>
      </w:r>
      <w:r>
        <w:t xml:space="preserve">its value to the system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its availability to counterparties under</w:t>
      </w:r>
      <w:r>
        <w:t xml:space="preserve"> </w:t>
      </w:r>
      <w:r>
        <w:t xml:space="preserve">terms. A single</w:t>
      </w:r>
      <w:r>
        <w:t xml:space="preserve"> </w:t>
      </w:r>
      <w:r>
        <w:t xml:space="preserve">“</w:t>
      </w:r>
      <w:r>
        <w:t xml:space="preserve">privacy</w:t>
      </w:r>
      <w:r>
        <w:t xml:space="preserve">”</w:t>
      </w:r>
      <w:r>
        <w:t xml:space="preserve"> </w:t>
      </w:r>
      <w:r>
        <w:t xml:space="preserve">posture would serve one cluster and betray the</w:t>
      </w:r>
      <w:r>
        <w:t xml:space="preserve"> </w:t>
      </w:r>
      <w:r>
        <w:t xml:space="preserve">other; the three-zone design below is, at bottom, the machinery for</w:t>
      </w:r>
      <w:r>
        <w:t xml:space="preserve"> </w:t>
      </w:r>
      <w:r>
        <w:t xml:space="preserve">running both postures simultaneously without either leaking into the</w:t>
      </w:r>
      <w:r>
        <w:t xml:space="preserve"> </w:t>
      </w:r>
      <w:r>
        <w:t xml:space="preserve">other’s territory.</w:t>
      </w:r>
    </w:p>
    <w:bookmarkEnd w:id="21"/>
    <w:bookmarkStart w:id="24" w:name="X7d0376e6d4a1f4b8e0a5bba05040a8edbb60882"/>
    <w:p>
      <w:pPr>
        <w:pStyle w:val="Heading2"/>
      </w:pPr>
      <w:r>
        <w:t xml:space="preserve">10.2 The Structural Conflict, and the Design That Resolves It</w:t>
      </w:r>
    </w:p>
    <w:p>
      <w:pPr>
        <w:pStyle w:val="FirstParagraph"/>
      </w:pPr>
      <w:r>
        <w:t xml:space="preserve">The conflict is genuine: Chapter 5 argued that evidential value grows with</w:t>
      </w:r>
      <w:r>
        <w:t xml:space="preserve"> </w:t>
      </w:r>
      <w:r>
        <w:t xml:space="preserve">completeness and permanence; privacy law and commercial confidentiality demand</w:t>
      </w:r>
      <w:r>
        <w:t xml:space="preserve"> </w:t>
      </w:r>
      <w:r>
        <w:t xml:space="preserve">minimization and, in the GDPR’s Articles 16–17, rectification and erasure. An</w:t>
      </w:r>
      <w:r>
        <w:t xml:space="preserve"> </w:t>
      </w:r>
      <w:r>
        <w:t xml:space="preserve">immutable ledger of personal data is a compliance contradiction. It is worth</w:t>
      </w:r>
      <w:r>
        <w:t xml:space="preserve"> </w:t>
      </w:r>
      <w:r>
        <w:t xml:space="preserve">pausing on why the contradiction cannot be argued away, because the</w:t>
      </w:r>
      <w:r>
        <w:t xml:space="preserve"> </w:t>
      </w:r>
      <w:r>
        <w:t xml:space="preserve">first-generation literature tried every escape.</w:t>
      </w:r>
      <w:r>
        <w:t xml:space="preserve"> </w:t>
      </w:r>
      <w:r>
        <w:t xml:space="preserve">“</w:t>
      </w:r>
      <w:r>
        <w:t xml:space="preserve">Hashes aren’t personal</w:t>
      </w:r>
      <w:r>
        <w:t xml:space="preserve"> </w:t>
      </w:r>
      <w:r>
        <w:t xml:space="preserve">data</w:t>
      </w:r>
      <w:r>
        <w:t xml:space="preserve">”</w:t>
      </w:r>
      <w:r>
        <w:t xml:space="preserve"> </w:t>
      </w:r>
      <w:r>
        <w:t xml:space="preserve">fails where the hashed value is guessable or the hash is linkable to</w:t>
      </w:r>
      <w:r>
        <w:t xml:space="preserve"> </w:t>
      </w:r>
      <w:r>
        <w:t xml:space="preserve">other data — and an asset’s event stream is nothing but linkable.</w:t>
      </w:r>
      <w:r>
        <w:t xml:space="preserve"> </w:t>
      </w:r>
      <w:r>
        <w:t xml:space="preserve">“</w:t>
      </w:r>
      <w:r>
        <w:t xml:space="preserve">Pseudonymous isn’t personal</w:t>
      </w:r>
      <w:r>
        <w:t xml:space="preserve">”</w:t>
      </w:r>
      <w:r>
        <w:t xml:space="preserve"> </w:t>
      </w:r>
      <w:r>
        <w:t xml:space="preserve">fails on the GDPR’s own definition, which</w:t>
      </w:r>
      <w:r>
        <w:t xml:space="preserve"> </w:t>
      </w:r>
      <w:r>
        <w:t xml:space="preserve">counts data as personal wherever re-identification is reasonably likely by</w:t>
      </w:r>
      <w:r>
        <w:t xml:space="preserve"> </w:t>
      </w:r>
      <w:r>
        <w:t xml:space="preserve">anyone holding the keys — and someone must hold the party registry.</w:t>
      </w:r>
      <w:r>
        <w:t xml:space="preserve"> </w:t>
      </w:r>
      <w:r>
        <w:t xml:space="preserve">“</w:t>
      </w:r>
      <w:r>
        <w:t xml:space="preserve">Consent covers it</w:t>
      </w:r>
      <w:r>
        <w:t xml:space="preserve">”</w:t>
      </w:r>
      <w:r>
        <w:t xml:space="preserve"> </w:t>
      </w:r>
      <w:r>
        <w:t xml:space="preserve">fails temporally: consent is withdrawable, and a</w:t>
      </w:r>
      <w:r>
        <w:t xml:space="preserve"> </w:t>
      </w:r>
      <w:r>
        <w:t xml:space="preserve">withdrawable basis cannot support an unerasable record. The only honest</w:t>
      </w:r>
      <w:r>
        <w:t xml:space="preserve"> </w:t>
      </w:r>
      <w:r>
        <w:t xml:space="preserve">resolution is architectural — put nothing on the immutable layer whose</w:t>
      </w:r>
      <w:r>
        <w:t xml:space="preserve"> </w:t>
      </w:r>
      <w:r>
        <w:t xml:space="preserve">erasure a person could ever lawfully demand — and that is</w:t>
      </w:r>
      <w:r>
        <w:t xml:space="preserve"> </w:t>
      </w:r>
      <w:r>
        <w:t xml:space="preserve">an architecture rule stated once and enforced everywhere:</w:t>
      </w:r>
    </w:p>
    <w:p>
      <w:pPr>
        <w:pStyle w:val="BodyText"/>
      </w:pPr>
      <w:r>
        <w:rPr>
          <w:bCs/>
          <w:b/>
        </w:rPr>
        <w:t xml:space="preserve">Identify assets on-chain; identify parties and places off-chain, by reference,</w:t>
      </w:r>
      <w:r>
        <w:rPr>
          <w:bCs/>
          <w:b/>
        </w:rPr>
        <w:t xml:space="preserve"> </w:t>
      </w:r>
      <w:r>
        <w:rPr>
          <w:bCs/>
          <w:b/>
        </w:rPr>
        <w:t xml:space="preserve">under access control.</w:t>
      </w:r>
    </w:p>
    <w:p>
      <w:pPr>
        <w:pStyle w:val="BodyText"/>
      </w:pPr>
      <w:r>
        <w:t xml:space="preserve">The rule also settles, in passing, the public-permissionless question that</w:t>
      </w:r>
      <w:r>
        <w:t xml:space="preserve"> </w:t>
      </w:r>
      <w:r>
        <w:t xml:space="preserve">haunts this chapter’s first-generation predecessors. Deployments that wrote</w:t>
      </w:r>
      <w:r>
        <w:t xml:space="preserve"> </w:t>
      </w:r>
      <w:r>
        <w:t xml:space="preserve">events to open public chains — even pseudonymized ones — created records</w:t>
      </w:r>
      <w:r>
        <w:t xml:space="preserve"> </w:t>
      </w:r>
      <w:r>
        <w:t xml:space="preserve">that are globally replicated, jurisdictionally everywhere, and erasable</w:t>
      </w:r>
      <w:r>
        <w:t xml:space="preserve"> </w:t>
      </w:r>
      <w:r>
        <w:t xml:space="preserve">nowhere: a compliance posture with no repair path, since no data-protection</w:t>
      </w:r>
      <w:r>
        <w:t xml:space="preserve"> </w:t>
      </w:r>
      <w:r>
        <w:t xml:space="preserve">authority accepts</w:t>
      </w:r>
      <w:r>
        <w:t xml:space="preserve"> </w:t>
      </w:r>
      <w:r>
        <w:t xml:space="preserve">“</w:t>
      </w:r>
      <w:r>
        <w:t xml:space="preserve">the network won’t let us</w:t>
      </w:r>
      <w:r>
        <w:t xml:space="preserve">”</w:t>
      </w:r>
      <w:r>
        <w:t xml:space="preserve"> </w:t>
      </w:r>
      <w:r>
        <w:t xml:space="preserve">from the party that chose the</w:t>
      </w:r>
      <w:r>
        <w:t xml:space="preserve"> </w:t>
      </w:r>
      <w:r>
        <w:t xml:space="preserve">network. This book’s public layer carries digests and aggregates only —</w:t>
      </w:r>
      <w:r>
        <w:t xml:space="preserve"> </w:t>
      </w:r>
      <w:r>
        <w:t xml:space="preserve">objects with no personal-data character under any current guidance — while</w:t>
      </w:r>
      <w:r>
        <w:t xml:space="preserve"> </w:t>
      </w:r>
      <w:r>
        <w:t xml:space="preserve">everything with a data subject stays in layers where the law’s remedies</w:t>
      </w:r>
      <w:r>
        <w:t xml:space="preserve"> </w:t>
      </w:r>
      <w:r>
        <w:t xml:space="preserve">physically work. The design was chosen for evidential reasons in Part II;</w:t>
      </w:r>
      <w:r>
        <w:t xml:space="preserve"> </w:t>
      </w:r>
      <w:r>
        <w:t xml:space="preserve">that it is also the only defensible privacy posture is the kind of</w:t>
      </w:r>
      <w:r>
        <w:t xml:space="preserve"> </w:t>
      </w:r>
      <w:r>
        <w:t xml:space="preserve">convergence that suggests the layering is correct.</w:t>
      </w:r>
    </w:p>
    <w:p>
      <w:pPr>
        <w:pStyle w:val="BodyText"/>
      </w:pPr>
      <w:r>
        <w:t xml:space="preserve">Concretely, four mechanisms: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Pseudonymous role DIDs.</w:t>
      </w:r>
      <w:r>
        <w:t xml:space="preserve"> </w:t>
      </w:r>
      <w:r>
        <w:t xml:space="preserve">Events name</w:t>
      </w:r>
      <w:r>
        <w:t xml:space="preserve"> </w:t>
      </w:r>
      <w:r>
        <w:rPr>
          <w:iCs/>
          <w:i/>
        </w:rPr>
        <w:t xml:space="preserve">role identities</w:t>
      </w:r>
      <w:r>
        <w:t xml:space="preserve"> </w:t>
      </w:r>
      <w:r>
        <w:t xml:space="preserve">(owner-of-record</w:t>
      </w:r>
      <w:r>
        <w:t xml:space="preserve"> </w:t>
      </w:r>
      <w:r>
        <w:t xml:space="preserve">R-4471, site S-2209), not legal persons or street addresses. The mapping from</w:t>
      </w:r>
      <w:r>
        <w:t xml:space="preserve"> </w:t>
      </w:r>
      <w:r>
        <w:t xml:space="preserve">role DIDs to legal identities lives in an off-chain</w:t>
      </w:r>
      <w:r>
        <w:t xml:space="preserve"> </w:t>
      </w:r>
      <w:r>
        <w:rPr>
          <w:iCs/>
          <w:i/>
        </w:rPr>
        <w:t xml:space="preserve">party registry</w:t>
      </w:r>
      <w:r>
        <w:t xml:space="preserve"> </w:t>
      </w:r>
      <w:r>
        <w:t xml:space="preserve">operated</w:t>
      </w:r>
      <w:r>
        <w:t xml:space="preserve"> </w:t>
      </w:r>
      <w:r>
        <w:t xml:space="preserve">under conventional data-protection controls, disclosable under defined triggers</w:t>
      </w:r>
      <w:r>
        <w:t xml:space="preserve"> </w:t>
      </w:r>
      <w:r>
        <w:t xml:space="preserve">(dispute, audit, regulatory demand). The ledger’s evidential statement —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then-owner co-signed</w:t>
      </w:r>
      <w:r>
        <w:t xml:space="preserve">”</w:t>
      </w:r>
      <w:r>
        <w:t xml:space="preserve"> </w:t>
      </w:r>
      <w:r>
        <w:t xml:space="preserve">— survives; the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is resolvable only with</w:t>
      </w:r>
      <w:r>
        <w:t xml:space="preserve"> </w:t>
      </w:r>
      <w:r>
        <w:t xml:space="preserve">authorization. Erasure requests then bite where the personal data lives: the</w:t>
      </w:r>
      <w:r>
        <w:t xml:space="preserve"> </w:t>
      </w:r>
      <w:r>
        <w:t xml:space="preserve">registry unlinks, the chain retains only a pseudonym that no longer resolves.</w:t>
      </w:r>
      <w:r>
        <w:t xml:space="preserve"> </w:t>
      </w:r>
      <w:r>
        <w:t xml:space="preserve">This is the standard, defensible reading of GDPR applied to DLT — with the</w:t>
      </w:r>
      <w:r>
        <w:t xml:space="preserve"> </w:t>
      </w:r>
      <w:r>
        <w:t xml:space="preserve">honest caveat that European guidance has treated on-chain</w:t>
      </w:r>
      <w:r>
        <w:t xml:space="preserve"> </w:t>
      </w:r>
      <w:r>
        <w:rPr>
          <w:iCs/>
          <w:i/>
        </w:rPr>
        <w:t xml:space="preserve">anything</w:t>
      </w:r>
      <w:r>
        <w:t xml:space="preserve"> </w:t>
      </w:r>
      <w:r>
        <w:t xml:space="preserve">linkable</w:t>
      </w:r>
      <w:r>
        <w:t xml:space="preserve"> </w:t>
      </w:r>
      <w:r>
        <w:t xml:space="preserve">as in-scope, which is why mechanism 2 exists. Two engineering details make</w:t>
      </w:r>
      <w:r>
        <w:t xml:space="preserve"> </w:t>
      </w:r>
      <w:r>
        <w:t xml:space="preserve">the pseudonymization real rather than nominal. Role DIDs are</w:t>
      </w:r>
      <w:r>
        <w:t xml:space="preserve"> </w:t>
      </w:r>
      <w:r>
        <w:rPr>
          <w:iCs/>
          <w:i/>
        </w:rPr>
        <w:t xml:space="preserve">scoped</w:t>
      </w:r>
      <w:r>
        <w:t xml:space="preserve">:</w:t>
      </w:r>
      <w:r>
        <w:t xml:space="preserve"> </w:t>
      </w:r>
      <w:r>
        <w:t xml:space="preserve">a household’s site identity is distinct per relationship (the warranty</w:t>
      </w:r>
      <w:r>
        <w:t xml:space="preserve"> </w:t>
      </w:r>
      <w:r>
        <w:t xml:space="preserve">registrar’s S-2209 is not the insurer’s S-8841), so no single external</w:t>
      </w:r>
      <w:r>
        <w:t xml:space="preserve"> </w:t>
      </w:r>
      <w:r>
        <w:t xml:space="preserve">party’s compromise unlinks the person across contexts. And the registry</w:t>
      </w:r>
      <w:r>
        <w:t xml:space="preserve"> </w:t>
      </w:r>
      <w:r>
        <w:t xml:space="preserve">itself follows Chapter 4’s custody disciplines — replicated under</w:t>
      </w:r>
      <w:r>
        <w:t xml:space="preserve"> </w:t>
      </w:r>
      <w:r>
        <w:t xml:space="preserve">divergent interests, access-logged as events, threshold-escrowed against</w:t>
      </w:r>
      <w:r>
        <w:t xml:space="preserve"> </w:t>
      </w:r>
      <w:r>
        <w:t xml:space="preserve">both loss and strategic</w:t>
      </w:r>
      <w:r>
        <w:t xml:space="preserve"> </w:t>
      </w:r>
      <w:r>
        <w:t xml:space="preserve">“</w:t>
      </w:r>
      <w:r>
        <w:t xml:space="preserve">loss</w:t>
      </w:r>
      <w:r>
        <w:t xml:space="preserve">”</w:t>
      </w:r>
      <w:r>
        <w:t xml:space="preserve"> </w:t>
      </w:r>
      <w:r>
        <w:t xml:space="preserve">— because a party registry that is</w:t>
      </w:r>
      <w:r>
        <w:t xml:space="preserve"> </w:t>
      </w:r>
      <w:r>
        <w:t xml:space="preserve">merely one company’s database re-creates the central-registry risk for</w:t>
      </w:r>
      <w:r>
        <w:t xml:space="preserve"> </w:t>
      </w:r>
      <w:r>
        <w:t xml:space="preserve">exactly the most sensitive data in the system.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Commit-and-disclose payloads.</w:t>
      </w:r>
      <w:r>
        <w:t xml:space="preserve"> </w:t>
      </w:r>
      <w:r>
        <w:t xml:space="preserve">Already built (Section 4.2): on-chain digests,</w:t>
      </w:r>
      <w:r>
        <w:t xml:space="preserve"> </w:t>
      </w:r>
      <w:r>
        <w:t xml:space="preserve">off-chain content. Privacy inherits the structure — condition images, site</w:t>
      </w:r>
      <w:r>
        <w:t xml:space="preserve"> </w:t>
      </w:r>
      <w:r>
        <w:t xml:space="preserve">coordinates, price terms all live in access-controlled custody, provable when</w:t>
      </w:r>
      <w:r>
        <w:t xml:space="preserve"> </w:t>
      </w:r>
      <w:r>
        <w:t xml:space="preserve">disclosed, invisible until then. Selective disclosure at</w:t>
      </w:r>
      <w:r>
        <w:t xml:space="preserve"> </w:t>
      </w:r>
      <w:r>
        <w:rPr>
          <w:iCs/>
          <w:i/>
        </w:rPr>
        <w:t xml:space="preserve">field</w:t>
      </w:r>
      <w:r>
        <w:t xml:space="preserve"> </w:t>
      </w:r>
      <w:r>
        <w:t xml:space="preserve">granularity</w:t>
      </w:r>
      <w:r>
        <w:t xml:space="preserve"> </w:t>
      </w:r>
      <w:r>
        <w:t xml:space="preserve">uses the verifiable-credential machinery of Section 3.5: a seller proves</w:t>
      </w:r>
      <w:r>
        <w:t xml:space="preserve"> </w:t>
      </w:r>
      <w:r>
        <w:t xml:space="preserve">“</w:t>
      </w:r>
      <w:r>
        <w:t xml:space="preserve">commissioned in 2027 by an accredited EPC</w:t>
      </w:r>
      <w:r>
        <w:t xml:space="preserve">”</w:t>
      </w:r>
      <w:r>
        <w:t xml:space="preserve"> </w:t>
      </w:r>
      <w:r>
        <w:t xml:space="preserve">without revealing which EPC, until</w:t>
      </w:r>
      <w:r>
        <w:t xml:space="preserve"> </w:t>
      </w:r>
      <w:r>
        <w:t xml:space="preserve">diligence escalates. One implementation caution keeps the commitments</w:t>
      </w:r>
      <w:r>
        <w:t xml:space="preserve"> </w:t>
      </w:r>
      <w:r>
        <w:t xml:space="preserve">honest as privacy objects: digests over low-entropy payloads are</w:t>
      </w:r>
      <w:r>
        <w:t xml:space="preserve"> </w:t>
      </w:r>
      <w:r>
        <w:t xml:space="preserve">guessable — an adversary who suspects the commissioning date can hash</w:t>
      </w:r>
      <w:r>
        <w:t xml:space="preserve"> </w:t>
      </w:r>
      <w:r>
        <w:t xml:space="preserve">candidate payloads until one matches — so payload serializations include</w:t>
      </w:r>
      <w:r>
        <w:t xml:space="preserve"> </w:t>
      </w:r>
      <w:r>
        <w:t xml:space="preserve">per-payload random salts as a schema rule, converting every commitment</w:t>
      </w:r>
      <w:r>
        <w:t xml:space="preserve"> </w:t>
      </w:r>
      <w:r>
        <w:t xml:space="preserve">into a hiding one. The salt travels with the payload in custody, costs</w:t>
      </w:r>
      <w:r>
        <w:t xml:space="preserve"> </w:t>
      </w:r>
      <w:r>
        <w:t xml:space="preserve">thirty-two bytes, and closes the entire guessing-attack class; its</w:t>
      </w:r>
      <w:r>
        <w:t xml:space="preserve"> </w:t>
      </w:r>
      <w:r>
        <w:t xml:space="preserve">absence is the kind of quiet defect that audits of commit-and-disclose</w:t>
      </w:r>
      <w:r>
        <w:t xml:space="preserve"> </w:t>
      </w:r>
      <w:r>
        <w:t xml:space="preserve">systems should check first.</w:t>
      </w:r>
    </w:p>
    <w:p>
      <w:pPr>
        <w:numPr>
          <w:ilvl w:val="0"/>
          <w:numId w:val="1000"/>
        </w:numPr>
      </w:pPr>
      <w:r>
        <w:t xml:space="preserve">The anchor’s own privacy analysis, promised in Chapter 4, takes one</w:t>
      </w:r>
      <w:r>
        <w:t xml:space="preserve"> </w:t>
      </w:r>
      <w:r>
        <w:t xml:space="preserve">sentence here: an anchor is a salted-digest chain head over envelope</w:t>
      </w:r>
      <w:r>
        <w:t xml:space="preserve"> </w:t>
      </w:r>
      <w:r>
        <w:t xml:space="preserve">data that is itself digest-only — two hiding layers deep — and the only</w:t>
      </w:r>
      <w:r>
        <w:t xml:space="preserve"> </w:t>
      </w:r>
      <w:r>
        <w:t xml:space="preserve">information a public observer extracts is anchor cadence and the</w:t>
      </w:r>
      <w:r>
        <w:t xml:space="preserve"> </w:t>
      </w:r>
      <w:r>
        <w:t xml:space="preserve">governance-state digest’s change frequency, both of which the</w:t>
      </w:r>
      <w:r>
        <w:t xml:space="preserve"> </w:t>
      </w:r>
      <w:r>
        <w:t xml:space="preserve">consortium publishes deliberately in its transparency reporting anyway.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Metadata damping.</w:t>
      </w:r>
      <w:r>
        <w:t xml:space="preserve"> </w:t>
      </w:r>
      <w:r>
        <w:t xml:space="preserve">Against the inference column: batch submission</w:t>
      </w:r>
      <w:r>
        <w:t xml:space="preserve"> </w:t>
      </w:r>
      <w:r>
        <w:t xml:space="preserve">(Section 7.2) already blurs event timing; role-DID rotation per transaction</w:t>
      </w:r>
      <w:r>
        <w:t xml:space="preserve"> </w:t>
      </w:r>
      <w:r>
        <w:t xml:space="preserve">class limits linkability across a portfolio; and consortium node operators sign</w:t>
      </w:r>
      <w:r>
        <w:t xml:space="preserve"> </w:t>
      </w:r>
      <w:r>
        <w:t xml:space="preserve">data-use covenants — a contractual control, acknowledged as such, because</w:t>
      </w:r>
      <w:r>
        <w:t xml:space="preserve"> </w:t>
      </w:r>
      <w:r>
        <w:t xml:space="preserve">validators must see envelopes to validate. Deployments whose threat model</w:t>
      </w:r>
      <w:r>
        <w:t xml:space="preserve"> </w:t>
      </w:r>
      <w:r>
        <w:t xml:space="preserve">cannot tolerate even that (e.g., a manufacturer consortium of direct</w:t>
      </w:r>
      <w:r>
        <w:t xml:space="preserve"> </w:t>
      </w:r>
      <w:r>
        <w:t xml:space="preserve">competitors) can add zero-knowledge envelope proofs — proving schema and</w:t>
      </w:r>
      <w:r>
        <w:t xml:space="preserve"> </w:t>
      </w:r>
      <w:r>
        <w:t xml:space="preserve">corroboration compliance without revealing event type — at real cost in</w:t>
      </w:r>
      <w:r>
        <w:t xml:space="preserve"> </w:t>
      </w:r>
      <w:r>
        <w:t xml:space="preserve">complexity and PQ-fragility (Table 9.1); the pilot of Chapter 11 judged the</w:t>
      </w:r>
      <w:r>
        <w:t xml:space="preserve"> </w:t>
      </w:r>
      <w:r>
        <w:t xml:space="preserve">covenant sufficient and says why. The judgment’s reasoning transfers:</w:t>
      </w:r>
      <w:r>
        <w:t xml:space="preserve"> </w:t>
      </w:r>
      <w:r>
        <w:t xml:space="preserve">the ZK option protects against</w:t>
      </w:r>
      <w:r>
        <w:t xml:space="preserve"> </w:t>
      </w:r>
      <w:r>
        <w:rPr>
          <w:iCs/>
          <w:i/>
        </w:rPr>
        <w:t xml:space="preserve">validator</w:t>
      </w:r>
      <w:r>
        <w:t xml:space="preserve"> </w:t>
      </w:r>
      <w:r>
        <w:t xml:space="preserve">inference, but validators</w:t>
      </w:r>
      <w:r>
        <w:t xml:space="preserve"> </w:t>
      </w:r>
      <w:r>
        <w:t xml:space="preserve">are contracted, audited, adverse-interest institutions — the covenant</w:t>
      </w:r>
      <w:r>
        <w:t xml:space="preserve"> </w:t>
      </w:r>
      <w:r>
        <w:t xml:space="preserve">plus audit plus the reputational stake of Chapter 8’s D5 already prices</w:t>
      </w:r>
      <w:r>
        <w:t xml:space="preserve"> </w:t>
      </w:r>
      <w:r>
        <w:t xml:space="preserve">their misuse — while the ZK machinery would add a young cryptographic</w:t>
      </w:r>
      <w:r>
        <w:t xml:space="preserve"> </w:t>
      </w:r>
      <w:r>
        <w:t xml:space="preserve">dependency (research item C1/C2’s territory) to defend against the</w:t>
      </w:r>
      <w:r>
        <w:t xml:space="preserve"> </w:t>
      </w:r>
      <w:r>
        <w:t xml:space="preserve">system’s</w:t>
      </w:r>
      <w:r>
        <w:t xml:space="preserve"> </w:t>
      </w:r>
      <w:r>
        <w:rPr>
          <w:iCs/>
          <w:i/>
        </w:rPr>
        <w:t xml:space="preserve">most</w:t>
      </w:r>
      <w:r>
        <w:t xml:space="preserve"> </w:t>
      </w:r>
      <w:r>
        <w:t xml:space="preserve">accountable parties. Engineering effort against</w:t>
      </w:r>
      <w:r>
        <w:t xml:space="preserve"> </w:t>
      </w:r>
      <w:r>
        <w:t xml:space="preserve">metadata inference is better spent where the accountability is weakest:</w:t>
      </w:r>
      <w:r>
        <w:t xml:space="preserve"> </w:t>
      </w:r>
      <w:r>
        <w:t xml:space="preserve">the public layer (kept to digests and thresholds) and the read-replica</w:t>
      </w:r>
      <w:r>
        <w:t xml:space="preserve"> </w:t>
      </w:r>
      <w:r>
        <w:t xml:space="preserve">ecosystem (whose operators sign the same covenants, and whose serving</w:t>
      </w:r>
      <w:r>
        <w:t xml:space="preserve"> </w:t>
      </w:r>
      <w:r>
        <w:t xml:space="preserve">logs are themselves auditable). The calculus can flip — a federation</w:t>
      </w:r>
      <w:r>
        <w:t xml:space="preserve"> </w:t>
      </w:r>
      <w:r>
        <w:t xml:space="preserve">whose validators include direct competitors with thin trust, or a</w:t>
      </w:r>
      <w:r>
        <w:t xml:space="preserve"> </w:t>
      </w:r>
      <w:r>
        <w:t xml:space="preserve">jurisdiction whose law compels stronger technical guarantees — and the</w:t>
      </w:r>
      <w:r>
        <w:t xml:space="preserve"> </w:t>
      </w:r>
      <w:r>
        <w:t xml:space="preserve">schema’s envelope discipline keeps the ZK upgrade path open without</w:t>
      </w:r>
      <w:r>
        <w:t xml:space="preserve"> </w:t>
      </w:r>
      <w:r>
        <w:t xml:space="preserve">requiring it.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Aggregate before publishing.</w:t>
      </w:r>
      <w:r>
        <w:t xml:space="preserve"> </w:t>
      </w:r>
      <w:r>
        <w:t xml:space="preserve">Everything the public needs — fleet</w:t>
      </w:r>
      <w:r>
        <w:t xml:space="preserve"> </w:t>
      </w:r>
      <w:r>
        <w:t xml:space="preserve">statistics, recycling mass balances, certificate registries — is publishable as</w:t>
      </w:r>
      <w:r>
        <w:t xml:space="preserve"> </w:t>
      </w:r>
      <w:r>
        <w:t xml:space="preserve">attested aggregates with inclusion proofs, never as per-asset streams.</w:t>
      </w:r>
      <w:r>
        <w:t xml:space="preserve"> </w:t>
      </w:r>
      <w:r>
        <w:t xml:space="preserve">Aggregation thresholds follow the disclosure-control practice statistics</w:t>
      </w:r>
      <w:r>
        <w:t xml:space="preserve"> </w:t>
      </w:r>
      <w:r>
        <w:t xml:space="preserve">offices have refined for decades: no published cell small enough to</w:t>
      </w:r>
      <w:r>
        <w:t xml:space="preserve"> </w:t>
      </w:r>
      <w:r>
        <w:t xml:space="preserve">re-identify a contributor, complementary-disclosure checks across</w:t>
      </w:r>
      <w:r>
        <w:t xml:space="preserve"> </w:t>
      </w:r>
      <w:r>
        <w:t xml:space="preserve">releases, and — where the passport regulations demand</w:t>
      </w:r>
      <w:r>
        <w:t xml:space="preserve"> </w:t>
      </w:r>
      <w:r>
        <w:rPr>
          <w:iCs/>
          <w:i/>
        </w:rPr>
        <w:t xml:space="preserve">per-unit</w:t>
      </w:r>
      <w:r>
        <w:t xml:space="preserve"> </w:t>
      </w:r>
      <w:r>
        <w:t xml:space="preserve">public</w:t>
      </w:r>
      <w:r>
        <w:t xml:space="preserve"> </w:t>
      </w:r>
      <w:r>
        <w:t xml:space="preserve">fields — a review of exactly which fields, because</w:t>
      </w:r>
      <w:r>
        <w:t xml:space="preserve"> </w:t>
      </w:r>
      <w:r>
        <w:t xml:space="preserve">“</w:t>
      </w:r>
      <w:r>
        <w:t xml:space="preserve">public</w:t>
      </w:r>
      <w:r>
        <w:t xml:space="preserve">”</w:t>
      </w:r>
      <w:r>
        <w:t xml:space="preserve"> </w:t>
      </w:r>
      <w:r>
        <w:t xml:space="preserve">in a</w:t>
      </w:r>
      <w:r>
        <w:t xml:space="preserve"> </w:t>
      </w:r>
      <w:r>
        <w:t xml:space="preserve">regulation drafted for consumer transparency should not be implemented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bulk-downloadable by data brokers</w:t>
      </w:r>
      <w:r>
        <w:t xml:space="preserve">”</w:t>
      </w:r>
      <w:r>
        <w:t xml:space="preserve"> </w:t>
      </w:r>
      <w:r>
        <w:t xml:space="preserve">when a rate-limited, purpose-</w:t>
      </w:r>
      <w:r>
        <w:t xml:space="preserve"> </w:t>
      </w:r>
      <w:r>
        <w:t xml:space="preserve">logged query interface satisfies the same legal text.</w:t>
      </w:r>
    </w:p>
    <w:bookmarkStart w:id="22" w:name="rights-operations-walked-through"/>
    <w:p>
      <w:pPr>
        <w:pStyle w:val="Heading3"/>
      </w:pPr>
      <w:r>
        <w:t xml:space="preserve">10.2.1 Rights Operations, Walked Through</w:t>
      </w:r>
    </w:p>
    <w:p>
      <w:pPr>
        <w:pStyle w:val="FirstParagraph"/>
      </w:pPr>
      <w:r>
        <w:t xml:space="preserve">The data-subject rights are compliance’s sharp end, and each has a concrete</w:t>
      </w:r>
      <w:r>
        <w:t xml:space="preserve"> </w:t>
      </w:r>
      <w:r>
        <w:t xml:space="preserve">implementation worth one sentence more than a compliance matrix gives it.</w:t>
      </w:r>
      <w:r>
        <w:t xml:space="preserve"> </w:t>
      </w:r>
      <w:r>
        <w:rPr>
          <w:iCs/>
          <w:i/>
        </w:rPr>
        <w:t xml:space="preserve">Access</w:t>
      </w:r>
      <w:r>
        <w:t xml:space="preserve"> </w:t>
      </w:r>
      <w:r>
        <w:t xml:space="preserve">(what do you hold about me?): the party registry resolves the</w:t>
      </w:r>
      <w:r>
        <w:t xml:space="preserve"> </w:t>
      </w:r>
      <w:r>
        <w:t xml:space="preserve">person’s role and site DIDs; a scoped query assembles their events and</w:t>
      </w:r>
      <w:r>
        <w:t xml:space="preserve"> </w:t>
      </w:r>
      <w:r>
        <w:t xml:space="preserve">authorized payload inventory; the response includes — a nicety the</w:t>
      </w:r>
      <w:r>
        <w:t xml:space="preserve"> </w:t>
      </w:r>
      <w:r>
        <w:t xml:space="preserve">architecture makes cheap — proofs, so the individual can verify the answer</w:t>
      </w:r>
      <w:r>
        <w:t xml:space="preserve"> </w:t>
      </w:r>
      <w:r>
        <w:t xml:space="preserve">is complete against the public layer rather than taking the operator’s</w:t>
      </w:r>
      <w:r>
        <w:t xml:space="preserve"> </w:t>
      </w:r>
      <w:r>
        <w:t xml:space="preserve">word.</w:t>
      </w:r>
      <w:r>
        <w:t xml:space="preserve"> </w:t>
      </w:r>
      <w:r>
        <w:rPr>
          <w:iCs/>
          <w:i/>
        </w:rPr>
        <w:t xml:space="preserve">Rectification</w:t>
      </w:r>
      <w:r>
        <w:t xml:space="preserve">: factual corrections enter as superseding events</w:t>
      </w:r>
      <w:r>
        <w:t xml:space="preserve"> </w:t>
      </w:r>
      <w:r>
        <w:t xml:space="preserve">(the error remains, corrected, attributed — which the law permits and</w:t>
      </w:r>
      <w:r>
        <w:t xml:space="preserve"> </w:t>
      </w:r>
      <w:r>
        <w:t xml:space="preserve">evidence requires) while registry attributes (a name, an address) are</w:t>
      </w:r>
      <w:r>
        <w:t xml:space="preserve"> </w:t>
      </w:r>
      <w:r>
        <w:t xml:space="preserve">simply amended in place, off-chain.</w:t>
      </w:r>
      <w:r>
        <w:t xml:space="preserve"> </w:t>
      </w:r>
      <w:r>
        <w:rPr>
          <w:iCs/>
          <w:i/>
        </w:rPr>
        <w:t xml:space="preserve">Erasure</w:t>
      </w:r>
      <w:r>
        <w:t xml:space="preserve">: the registry unlinks the</w:t>
      </w:r>
      <w:r>
        <w:t xml:space="preserve"> </w:t>
      </w:r>
      <w:r>
        <w:t xml:space="preserve">person from role DIDs where no overriding basis survives (warranty</w:t>
      </w:r>
      <w:r>
        <w:t xml:space="preserve"> </w:t>
      </w:r>
      <w:r>
        <w:t xml:space="preserve">administration typically survives; marketing enrichment does not), and</w:t>
      </w:r>
      <w:r>
        <w:t xml:space="preserve"> </w:t>
      </w:r>
      <w:r>
        <w:t xml:space="preserve">controlled-zone payloads containing personal data are deleted or redacted</w:t>
      </w:r>
      <w:r>
        <w:t xml:space="preserve"> </w:t>
      </w:r>
      <w:r>
        <w:t xml:space="preserve">per class policy — with the deletion itself logged as an event whose</w:t>
      </w:r>
      <w:r>
        <w:t xml:space="preserve"> </w:t>
      </w:r>
      <w:r>
        <w:t xml:space="preserve">payload digest proves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was deleted without retaining it, a trick</w:t>
      </w:r>
      <w:r>
        <w:t xml:space="preserve"> </w:t>
      </w:r>
      <w:r>
        <w:t xml:space="preserve">the commitment structure makes possible and auditors appreciate.</w:t>
      </w:r>
      <w:r>
        <w:t xml:space="preserve"> </w:t>
      </w:r>
      <w:r>
        <w:rPr>
          <w:iCs/>
          <w:i/>
        </w:rPr>
        <w:t xml:space="preserve">Portability</w:t>
      </w:r>
      <w:r>
        <w:t xml:space="preserve">: the record bundle of Section 3.5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portable format —</w:t>
      </w:r>
      <w:r>
        <w:t xml:space="preserve"> </w:t>
      </w:r>
      <w:r>
        <w:t xml:space="preserve">events, payloads the subject is entitled to, proofs — and it outlives the</w:t>
      </w:r>
      <w:r>
        <w:t xml:space="preserve"> </w:t>
      </w:r>
      <w:r>
        <w:t xml:space="preserve">operator, which exceeds the regulation’s ambitions.</w:t>
      </w:r>
      <w:r>
        <w:t xml:space="preserve"> </w:t>
      </w:r>
      <w:r>
        <w:rPr>
          <w:iCs/>
          <w:i/>
        </w:rPr>
        <w:t xml:space="preserve">Objection and</w:t>
      </w:r>
      <w:r>
        <w:rPr>
          <w:iCs/>
          <w:i/>
        </w:rPr>
        <w:t xml:space="preserve"> </w:t>
      </w:r>
      <w:r>
        <w:rPr>
          <w:iCs/>
          <w:i/>
        </w:rPr>
        <w:t xml:space="preserve">automated decision-making</w:t>
      </w:r>
      <w:r>
        <w:t xml:space="preserve">, the rights the sector will meet later than it</w:t>
      </w:r>
      <w:r>
        <w:t xml:space="preserve"> </w:t>
      </w:r>
      <w:r>
        <w:t xml:space="preserve">thinks: when insurers price on cohort analytics and monitors flag</w:t>
      </w:r>
      <w:r>
        <w:t xml:space="preserve"> </w:t>
      </w:r>
      <w:r>
        <w:t xml:space="preserve">households’ systems automatically, the safeguards those provisions demand</w:t>
      </w:r>
      <w:r>
        <w:t xml:space="preserve"> </w:t>
      </w:r>
      <w:r>
        <w:t xml:space="preserve">— meaningful human review, explanation of the logic — should be designed</w:t>
      </w:r>
      <w:r>
        <w:t xml:space="preserve"> </w:t>
      </w:r>
      <w:r>
        <w:t xml:space="preserve">into the analytics consumers now, while the analytics are young. None of</w:t>
      </w:r>
      <w:r>
        <w:t xml:space="preserve"> </w:t>
      </w:r>
      <w:r>
        <w:t xml:space="preserve">these operations is exotic; all must be built as workflows with deadlines,</w:t>
      </w:r>
      <w:r>
        <w:t xml:space="preserve"> </w:t>
      </w:r>
      <w:r>
        <w:t xml:space="preserve">because rights that require engineering tickets are rights denied.</w:t>
      </w:r>
    </w:p>
    <w:p>
      <w:pPr>
        <w:pStyle w:val="BodyText"/>
      </w:pPr>
      <w:r>
        <w:t xml:space="preserve">Breach handling completes the compliance machinery. The zones partition</w:t>
      </w:r>
      <w:r>
        <w:t xml:space="preserve"> </w:t>
      </w:r>
      <w:r>
        <w:t xml:space="preserve">the analysis: a public-layer</w:t>
      </w:r>
      <w:r>
        <w:t xml:space="preserve"> </w:t>
      </w:r>
      <w:r>
        <w:t xml:space="preserve">“</w:t>
      </w:r>
      <w:r>
        <w:t xml:space="preserve">breach</w:t>
      </w:r>
      <w:r>
        <w:t xml:space="preserve">”</w:t>
      </w:r>
      <w:r>
        <w:t xml:space="preserve"> </w:t>
      </w:r>
      <w:r>
        <w:t xml:space="preserve">is definitionally impossible (its</w:t>
      </w:r>
      <w:r>
        <w:t xml:space="preserve"> </w:t>
      </w:r>
      <w:r>
        <w:t xml:space="preserve">contents are designed for publication); a consortium-zone breach exposes</w:t>
      </w:r>
      <w:r>
        <w:t xml:space="preserve"> </w:t>
      </w:r>
      <w:r>
        <w:t xml:space="preserve">envelopes — commercially sensitive metadata, rarely personal data, so the</w:t>
      </w:r>
      <w:r>
        <w:t xml:space="preserve"> </w:t>
      </w:r>
      <w:r>
        <w:t xml:space="preserve">response is contractual notification and the D5 attribution hunt; a</w:t>
      </w:r>
      <w:r>
        <w:t xml:space="preserve"> </w:t>
      </w:r>
      <w:r>
        <w:t xml:space="preserve">controlled-zone breach is the serious case (payloads, party registry) and</w:t>
      </w:r>
      <w:r>
        <w:t xml:space="preserve"> </w:t>
      </w:r>
      <w:r>
        <w:t xml:space="preserve">triggers statutory notification clocks. The architecture’s contributions</w:t>
      </w:r>
      <w:r>
        <w:t xml:space="preserve"> </w:t>
      </w:r>
      <w:r>
        <w:t xml:space="preserve">to the bad day: encryption at rest with escrowed keys bounds what a</w:t>
      </w:r>
      <w:r>
        <w:t xml:space="preserve"> </w:t>
      </w:r>
      <w:r>
        <w:t xml:space="preserve">storage compromise yields (Section 4.2.1); access logging as events gives</w:t>
      </w:r>
      <w:r>
        <w:t xml:space="preserve"> </w:t>
      </w:r>
      <w:r>
        <w:t xml:space="preserve">the forensic timeline the notification must contain; and the custody</w:t>
      </w:r>
      <w:r>
        <w:t xml:space="preserve"> </w:t>
      </w:r>
      <w:r>
        <w:t xml:space="preserve">replication means remediation never has to choose between investigating</w:t>
      </w:r>
      <w:r>
        <w:t xml:space="preserve"> </w:t>
      </w:r>
      <w:r>
        <w:t xml:space="preserve">a compromised store and keeping the evidence available.</w:t>
      </w:r>
    </w:p>
    <w:bookmarkEnd w:id="22"/>
    <w:bookmarkStart w:id="23" w:name="selective-disclosure-worked"/>
    <w:p>
      <w:pPr>
        <w:pStyle w:val="Heading3"/>
      </w:pPr>
      <w:r>
        <w:t xml:space="preserve">10.2.2 Selective Disclosure, Worked</w:t>
      </w:r>
    </w:p>
    <w:p>
      <w:pPr>
        <w:pStyle w:val="FirstParagraph"/>
      </w:pPr>
      <w:r>
        <w:t xml:space="preserve">Because selective disclosure carries so much of the reconciliation between</w:t>
      </w:r>
      <w:r>
        <w:t xml:space="preserve"> </w:t>
      </w:r>
      <w:r>
        <w:t xml:space="preserve">evidence and confidentiality, one worked instance fixes the mechanics. A</w:t>
      </w:r>
      <w:r>
        <w:t xml:space="preserve"> </w:t>
      </w:r>
      <w:r>
        <w:t xml:space="preserve">seller lists a 2,000-module lot; a prospective buyer wants proof of factory</w:t>
      </w:r>
      <w:r>
        <w:t xml:space="preserve"> </w:t>
      </w:r>
      <w:r>
        <w:t xml:space="preserve">enrollment, commissioning date, and clean condition history; the seller</w:t>
      </w:r>
      <w:r>
        <w:t xml:space="preserve"> </w:t>
      </w:r>
      <w:r>
        <w:t xml:space="preserve">wants to reveal nothing else — not the plant, not the price history, not</w:t>
      </w:r>
      <w:r>
        <w:t xml:space="preserve"> </w:t>
      </w:r>
      <w:r>
        <w:t xml:space="preserve">the O&amp;M contractor whose identity would locate the site. The seller’s</w:t>
      </w:r>
      <w:r>
        <w:t xml:space="preserve"> </w:t>
      </w:r>
      <w:r>
        <w:t xml:space="preserve">broker assembles a</w:t>
      </w:r>
      <w:r>
        <w:t xml:space="preserve"> </w:t>
      </w:r>
      <w:r>
        <w:rPr>
          <w:iCs/>
          <w:i/>
        </w:rPr>
        <w:t xml:space="preserve">disclosure bundle</w:t>
      </w:r>
      <w:r>
        <w:t xml:space="preserve">: for each unit, the registration and</w:t>
      </w:r>
      <w:r>
        <w:t xml:space="preserve"> </w:t>
      </w:r>
      <w:r>
        <w:t xml:space="preserve">commissioning envelopes with their inclusion proofs (public-layer</w:t>
      </w:r>
      <w:r>
        <w:t xml:space="preserve"> </w:t>
      </w:r>
      <w:r>
        <w:t xml:space="preserve">verifiable), the relevant VC fields disclosed selectively (issuer class</w:t>
      </w:r>
      <w:r>
        <w:t xml:space="preserve"> </w:t>
      </w:r>
      <w:r>
        <w:t xml:space="preserve">and date revealed; issuer identity blinded per the VC data model’s</w:t>
      </w:r>
      <w:r>
        <w:t xml:space="preserve"> </w:t>
      </w:r>
      <w:r>
        <w:t xml:space="preserve">selective-disclosure mechanisms), condition-record</w:t>
      </w:r>
      <w:r>
        <w:t xml:space="preserve"> </w:t>
      </w:r>
      <w:r>
        <w:rPr>
          <w:iCs/>
          <w:i/>
        </w:rPr>
        <w:t xml:space="preserve">digests</w:t>
      </w:r>
      <w:r>
        <w:t xml:space="preserve"> </w:t>
      </w:r>
      <w:r>
        <w:t xml:space="preserve">with a signed</w:t>
      </w:r>
      <w:r>
        <w:t xml:space="preserve"> </w:t>
      </w:r>
      <w:r>
        <w:t xml:space="preserve">attestation from an accredited verifier that the payloads behind them</w:t>
      </w:r>
      <w:r>
        <w:t xml:space="preserve"> </w:t>
      </w:r>
      <w:r>
        <w:t xml:space="preserve">satisfy the buyer’s stated policy (the verifier saw everything; the buyer</w:t>
      </w:r>
      <w:r>
        <w:t xml:space="preserve"> </w:t>
      </w:r>
      <w:r>
        <w:t xml:space="preserve">sees the verdict), and the site reference replaced by its climate-zone</w:t>
      </w:r>
      <w:r>
        <w:t xml:space="preserve"> </w:t>
      </w:r>
      <w:r>
        <w:t xml:space="preserve">class — sufficient for degradation modeling, insufficient for location.</w:t>
      </w:r>
      <w:r>
        <w:t xml:space="preserve"> </w:t>
      </w:r>
      <w:r>
        <w:t xml:space="preserve">The buyer’s client checks every proof against public anchors and the</w:t>
      </w:r>
      <w:r>
        <w:t xml:space="preserve"> </w:t>
      </w:r>
      <w:r>
        <w:t xml:space="preserve">verifier’s accreditation against the register; diligence escalation (a</w:t>
      </w:r>
      <w:r>
        <w:t xml:space="preserve"> </w:t>
      </w:r>
      <w:r>
        <w:t xml:space="preserve">real purchase) then unlocks fuller access under NDA through the</w:t>
      </w:r>
      <w:r>
        <w:t xml:space="preserve"> </w:t>
      </w:r>
      <w:r>
        <w:t xml:space="preserve">authorization machinery, with every access logged as an event. Note who</w:t>
      </w:r>
      <w:r>
        <w:t xml:space="preserve"> </w:t>
      </w:r>
      <w:r>
        <w:t xml:space="preserve">never appears in the exchange: the consortium, whose infrastructure</w:t>
      </w:r>
      <w:r>
        <w:t xml:space="preserve"> </w:t>
      </w:r>
      <w:r>
        <w:t xml:space="preserve">carried every proof without learning that a transaction was</w:t>
      </w:r>
      <w:r>
        <w:t xml:space="preserve"> </w:t>
      </w:r>
      <w:r>
        <w:t xml:space="preserve">contemplated — market activity leaves no wake in the shared layer, which</w:t>
      </w:r>
      <w:r>
        <w:t xml:space="preserve"> </w:t>
      </w:r>
      <w:r>
        <w:t xml:space="preserve">is a competitive-neutrality property the members will insist on the day</w:t>
      </w:r>
      <w:r>
        <w:t xml:space="preserve"> </w:t>
      </w:r>
      <w:r>
        <w:t xml:space="preserve">they realize it could be otherwise. The</w:t>
      </w:r>
      <w:r>
        <w:t xml:space="preserve"> </w:t>
      </w:r>
      <w:r>
        <w:t xml:space="preserve">pattern’s general shape —</w:t>
      </w:r>
      <w:r>
        <w:t xml:space="preserve"> </w:t>
      </w:r>
      <w:r>
        <w:rPr>
          <w:iCs/>
          <w:i/>
        </w:rPr>
        <w:t xml:space="preserve">prove properties, not payloads; escalate</w:t>
      </w:r>
      <w:r>
        <w:rPr>
          <w:iCs/>
          <w:i/>
        </w:rPr>
        <w:t xml:space="preserve"> </w:t>
      </w:r>
      <w:r>
        <w:rPr>
          <w:iCs/>
          <w:i/>
        </w:rPr>
        <w:t xml:space="preserve">disclosure with commitment</w:t>
      </w:r>
      <w:r>
        <w:t xml:space="preserve"> </w:t>
      </w:r>
      <w:r>
        <w:t xml:space="preserve">— reappears in every market interface</w:t>
      </w:r>
      <w:r>
        <w:t xml:space="preserve"> </w:t>
      </w:r>
      <w:r>
        <w:t xml:space="preserve">Chapter 13 discusses, and it is the practical answer to the objection</w:t>
      </w:r>
      <w:r>
        <w:t xml:space="preserve"> </w:t>
      </w:r>
      <w:r>
        <w:t xml:space="preserve">that transparency architectures are incompatible with commercial</w:t>
      </w:r>
      <w:r>
        <w:t xml:space="preserve"> </w:t>
      </w:r>
      <w:r>
        <w:t xml:space="preserve">confidentiality. They are incompatible only when disclosure is designed</w:t>
      </w:r>
      <w:r>
        <w:t xml:space="preserve"> </w:t>
      </w:r>
      <w:r>
        <w:t xml:space="preserve">as all-or-nothing, and nothing in this stack requires that.</w:t>
      </w:r>
    </w:p>
    <w:p>
      <w:pPr>
        <w:pStyle w:val="BodyText"/>
      </w:pPr>
      <w:r>
        <w:rPr>
          <w:bCs/>
          <w:b/>
        </w:rPr>
        <w:t xml:space="preserve">Figure 10.1</w:t>
      </w:r>
      <w:r>
        <w:t xml:space="preserve"> </w:t>
      </w:r>
      <w:r>
        <w:t xml:space="preserve">The privacy architecture: three zones with one-way evidential</w:t>
      </w:r>
      <w:r>
        <w:t xml:space="preserve"> </w:t>
      </w:r>
      <w:r>
        <w:t xml:space="preserve">references. Public verifiability flows left; identity resolution requires</w:t>
      </w:r>
      <w:r>
        <w:t xml:space="preserve"> </w:t>
      </w:r>
      <w:r>
        <w:t xml:space="preserve">authorization flowing right.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PUB [Public zone]</w:t>
      </w:r>
      <w:r>
        <w:br/>
      </w:r>
      <w:r>
        <w:rPr>
          <w:rStyle w:val="VerbatimChar"/>
        </w:rPr>
        <w:t xml:space="preserve">        AN[Anchors on public chains]</w:t>
      </w:r>
      <w:r>
        <w:br/>
      </w:r>
      <w:r>
        <w:rPr>
          <w:rStyle w:val="VerbatimChar"/>
        </w:rPr>
        <w:t xml:space="preserve">        AG[Attested aggregates:&lt;br&gt;fleet stats, recovery&lt;br&gt;mass balances]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CONS [Consortium zone]</w:t>
      </w:r>
      <w:r>
        <w:br/>
      </w:r>
      <w:r>
        <w:rPr>
          <w:rStyle w:val="VerbatimChar"/>
        </w:rPr>
        <w:t xml:space="preserve">        LED[Ledger: asset DIDs,&lt;br&gt;role DIDs, event envelopes,&lt;br&gt;digests only]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PRIV [Controlled zone]</w:t>
      </w:r>
      <w:r>
        <w:br/>
      </w:r>
      <w:r>
        <w:rPr>
          <w:rStyle w:val="VerbatimChar"/>
        </w:rPr>
        <w:t xml:space="preserve">        PAY[(Payload custody:&lt;br&gt;images, maps, terms)]</w:t>
      </w:r>
      <w:r>
        <w:br/>
      </w:r>
      <w:r>
        <w:rPr>
          <w:rStyle w:val="VerbatimChar"/>
        </w:rPr>
        <w:t xml:space="preserve">        REG[(Party registry:&lt;br&gt;role DID → legal person,&lt;br&gt;site → address)]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LED --&gt; AN</w:t>
      </w:r>
      <w:r>
        <w:br/>
      </w:r>
      <w:r>
        <w:rPr>
          <w:rStyle w:val="VerbatimChar"/>
        </w:rPr>
        <w:t xml:space="preserve">    LED --&gt; AG</w:t>
      </w:r>
      <w:r>
        <w:br/>
      </w:r>
      <w:r>
        <w:rPr>
          <w:rStyle w:val="VerbatimChar"/>
        </w:rPr>
        <w:t xml:space="preserve">    PAY -. digests .-&gt; LED</w:t>
      </w:r>
      <w:r>
        <w:br/>
      </w:r>
      <w:r>
        <w:rPr>
          <w:rStyle w:val="VerbatimChar"/>
        </w:rPr>
        <w:t xml:space="preserve">    REG -. role DIDs .-&gt; LED</w:t>
      </w:r>
      <w:r>
        <w:br/>
      </w:r>
      <w:r>
        <w:rPr>
          <w:rStyle w:val="VerbatimChar"/>
        </w:rPr>
        <w:t xml:space="preserve">    AUTH[Authorized verifier&lt;br&gt;dispute / audit / diligence] --&gt; REG</w:t>
      </w:r>
      <w:r>
        <w:br/>
      </w:r>
      <w:r>
        <w:rPr>
          <w:rStyle w:val="VerbatimChar"/>
        </w:rPr>
        <w:t xml:space="preserve">    AUTH --&gt; PAY</w:t>
      </w:r>
    </w:p>
    <w:p>
      <w:pPr>
        <w:pStyle w:val="FirstParagraph"/>
      </w:pPr>
      <w:r>
        <w:t xml:space="preserve">Figure 10.1’s zones deserve their crossing rules stated as law, since every</w:t>
      </w:r>
      <w:r>
        <w:t xml:space="preserve"> </w:t>
      </w:r>
      <w:r>
        <w:t xml:space="preserve">privacy failure is a crossing violation. Left-to-right (public toward</w:t>
      </w:r>
      <w:r>
        <w:t xml:space="preserve"> </w:t>
      </w:r>
      <w:r>
        <w:t xml:space="preserve">controlled) there are no restrictions — anyone may verify against anchors</w:t>
      </w:r>
      <w:r>
        <w:t xml:space="preserve"> </w:t>
      </w:r>
      <w:r>
        <w:t xml:space="preserve">and aggregates. Right-to-left, three rules: nothing crosses from the</w:t>
      </w:r>
      <w:r>
        <w:t xml:space="preserve"> </w:t>
      </w:r>
      <w:r>
        <w:t xml:space="preserve">controlled zone outward except digests, aggregates above threshold, and</w:t>
      </w:r>
      <w:r>
        <w:t xml:space="preserve"> </w:t>
      </w:r>
      <w:r>
        <w:t xml:space="preserve">authorized disclosures logged as events; nothing in the consortium zone</w:t>
      </w:r>
      <w:r>
        <w:t xml:space="preserve"> </w:t>
      </w:r>
      <w:r>
        <w:t xml:space="preserve">names a natural person or a street-level location, enforced at write time</w:t>
      </w:r>
      <w:r>
        <w:t xml:space="preserve"> </w:t>
      </w:r>
      <w:r>
        <w:t xml:space="preserve">by envelope validation (a submitter cannot accidentally put an address in</w:t>
      </w:r>
      <w:r>
        <w:t xml:space="preserve"> </w:t>
      </w:r>
      <w:r>
        <w:t xml:space="preserve">an envelope — there is no field for one); and every authorization that</w:t>
      </w:r>
      <w:r>
        <w:t xml:space="preserve"> </w:t>
      </w:r>
      <w:r>
        <w:t xml:space="preserve">opens controlled-zone access is time-bounded, purpose-stated, and itself</w:t>
      </w:r>
      <w:r>
        <w:t xml:space="preserve"> </w:t>
      </w:r>
      <w:r>
        <w:t xml:space="preserve">an auditable event, so the access log is part of the record the next</w:t>
      </w:r>
      <w:r>
        <w:t xml:space="preserve"> </w:t>
      </w:r>
      <w:r>
        <w:t xml:space="preserve">dispute can consult. The architecture’s privacy guarantee is exactly the</w:t>
      </w:r>
      <w:r>
        <w:t xml:space="preserve"> </w:t>
      </w:r>
      <w:r>
        <w:t xml:space="preserve">conjunction of these rules with the custody disciplines beneath them — no</w:t>
      </w:r>
      <w:r>
        <w:t xml:space="preserve"> </w:t>
      </w:r>
      <w:r>
        <w:t xml:space="preserve">more, and, if the rules hold, no less.</w:t>
      </w:r>
    </w:p>
    <w:bookmarkEnd w:id="23"/>
    <w:bookmarkEnd w:id="24"/>
    <w:bookmarkStart w:id="25" w:name="X75b2d93a4c5a7411074e9a3722951bdfcb4fb82"/>
    <w:p>
      <w:pPr>
        <w:pStyle w:val="Heading2"/>
      </w:pPr>
      <w:r>
        <w:t xml:space="preserve">10.3 Data Governance: Authority over a Record Nobody Owns</w:t>
      </w:r>
    </w:p>
    <w:p>
      <w:pPr>
        <w:pStyle w:val="FirstParagraph"/>
      </w:pPr>
      <w:r>
        <w:t xml:space="preserve">Governance questions arrive in a fixed set, and a consortium that has not answered</w:t>
      </w:r>
      <w:r>
        <w:t xml:space="preserve"> </w:t>
      </w:r>
      <w:r>
        <w:t xml:space="preserve">them in writing before go-live will answer them in litigation after — at</w:t>
      </w:r>
      <w:r>
        <w:t xml:space="preserve"> </w:t>
      </w:r>
      <w:r>
        <w:t xml:space="preserve">discovery prices, before an adjudicator with no reason to be generous. The set</w:t>
      </w:r>
      <w:r>
        <w:t xml:space="preserve"> </w:t>
      </w:r>
      <w:r>
        <w:t xml:space="preserve">is knowable in advance because it is generated by the architecture itself:</w:t>
      </w:r>
      <w:r>
        <w:t xml:space="preserve"> </w:t>
      </w:r>
      <w:r>
        <w:t xml:space="preserve">every mechanism Part II built has a dial, and every dial needs a hand —</w:t>
      </w:r>
      <w:r>
        <w:t xml:space="preserve"> </w:t>
      </w:r>
      <w:r>
        <w:t xml:space="preserve">who accredits, who versions, who upgrades, who discloses, who sanctions,</w:t>
      </w:r>
      <w:r>
        <w:t xml:space="preserve"> </w:t>
      </w:r>
      <w:r>
        <w:t xml:space="preserve">who pays. What follows is the complete dial inventory, the allocation</w:t>
      </w:r>
      <w:r>
        <w:t xml:space="preserve"> </w:t>
      </w:r>
      <w:r>
        <w:t xml:space="preserve">principles the pilot’s operating year validated, and the treatment of the</w:t>
      </w:r>
      <w:r>
        <w:t xml:space="preserve"> </w:t>
      </w:r>
      <w:r>
        <w:t xml:space="preserve">one governance act (dispute resolution) where the system meets the courts.</w:t>
      </w:r>
      <w:r>
        <w:t xml:space="preserve"> </w:t>
      </w:r>
      <w:r>
        <w:t xml:space="preserve">The consortium agreement — the legal instrument behind the validator set —</w:t>
      </w:r>
      <w:r>
        <w:t xml:space="preserve"> </w:t>
      </w:r>
      <w:r>
        <w:t xml:space="preserve">must allocate, at minimum:</w:t>
      </w:r>
    </w:p>
    <w:p>
      <w:pPr>
        <w:pStyle w:val="BodyText"/>
      </w:pPr>
      <w:r>
        <w:t xml:space="preserve">Who sits where is as consequential as who decides what, and three</w:t>
      </w:r>
      <w:r>
        <w:t xml:space="preserve"> </w:t>
      </w:r>
      <w:r>
        <w:t xml:space="preserve">composition rules travel with the table. Committees whose decisions</w:t>
      </w:r>
      <w:r>
        <w:t xml:space="preserve"> </w:t>
      </w:r>
      <w:r>
        <w:t xml:space="preserve">allocate</w:t>
      </w:r>
      <w:r>
        <w:t xml:space="preserve"> </w:t>
      </w:r>
      <w:r>
        <w:rPr>
          <w:iCs/>
          <w:i/>
        </w:rPr>
        <w:t xml:space="preserve">blame</w:t>
      </w:r>
      <w:r>
        <w:t xml:space="preserve"> </w:t>
      </w:r>
      <w:r>
        <w:t xml:space="preserve">(accreditation, audit findings, disclosure adjudication)</w:t>
      </w:r>
      <w:r>
        <w:t xml:space="preserve"> </w:t>
      </w:r>
      <w:r>
        <w:t xml:space="preserve">exclude parties in the affected supply chain — the pilot’s accreditation</w:t>
      </w:r>
      <w:r>
        <w:t xml:space="preserve"> </w:t>
      </w:r>
      <w:r>
        <w:t xml:space="preserve">committee seats certifier, insurer, and university precisely because none</w:t>
      </w:r>
      <w:r>
        <w:t xml:space="preserve"> </w:t>
      </w:r>
      <w:r>
        <w:t xml:space="preserve">of them makes, installs, or operates modules. Committees whose decisions</w:t>
      </w:r>
      <w:r>
        <w:t xml:space="preserve"> </w:t>
      </w:r>
      <w:r>
        <w:t xml:space="preserve">allocate</w:t>
      </w:r>
      <w:r>
        <w:t xml:space="preserve"> </w:t>
      </w:r>
      <w:r>
        <w:rPr>
          <w:iCs/>
          <w:i/>
        </w:rPr>
        <w:t xml:space="preserve">cost</w:t>
      </w:r>
      <w:r>
        <w:t xml:space="preserve"> </w:t>
      </w:r>
      <w:r>
        <w:t xml:space="preserve">(fees, custody policy, schema-driven integration burdens)</w:t>
      </w:r>
      <w:r>
        <w:t xml:space="preserve"> </w:t>
      </w:r>
      <w:r>
        <w:t xml:space="preserve">require representation from the payers, including the smaller member</w:t>
      </w:r>
      <w:r>
        <w:t xml:space="preserve"> </w:t>
      </w:r>
      <w:r>
        <w:t xml:space="preserve">classes whose voices consortium politics otherwise discounts — an O&amp;M seat</w:t>
      </w:r>
      <w:r>
        <w:t xml:space="preserve"> </w:t>
      </w:r>
      <w:r>
        <w:t xml:space="preserve">on the technical committee bought more field-realistic schema decisions</w:t>
      </w:r>
      <w:r>
        <w:t xml:space="preserve"> </w:t>
      </w:r>
      <w:r>
        <w:t xml:space="preserve">than any requirements workshop. And every committee publishes its</w:t>
      </w:r>
      <w:r>
        <w:t xml:space="preserve"> </w:t>
      </w:r>
      <w:r>
        <w:t xml:space="preserve">composition, calendar, and decision log to the membership — with the</w:t>
      </w:r>
      <w:r>
        <w:t xml:space="preserve"> </w:t>
      </w:r>
      <w:r>
        <w:t xml:space="preserve">decision log’s digest riding the governance-state commitment into the</w:t>
      </w:r>
      <w:r>
        <w:t xml:space="preserve"> </w:t>
      </w:r>
      <w:r>
        <w:t xml:space="preserve">public anchors (Section 4.4), so even the</w:t>
      </w:r>
      <w:r>
        <w:t xml:space="preserve"> </w:t>
      </w:r>
      <w:r>
        <w:rPr>
          <w:iCs/>
          <w:i/>
        </w:rPr>
        <w:t xml:space="preserve">pace</w:t>
      </w:r>
      <w:r>
        <w:t xml:space="preserve"> </w:t>
      </w:r>
      <w:r>
        <w:t xml:space="preserve">of governance is</w:t>
      </w:r>
      <w:r>
        <w:t xml:space="preserve"> </w:t>
      </w:r>
      <w:r>
        <w:t xml:space="preserve">externally attestable. Boring rules, deliberately: governance drama is a</w:t>
      </w:r>
      <w:r>
        <w:t xml:space="preserve"> </w:t>
      </w:r>
      <w:r>
        <w:t xml:space="preserve">system failure, and the design goal is a committee calendar that would</w:t>
      </w:r>
      <w:r>
        <w:t xml:space="preserve"> </w:t>
      </w:r>
      <w:r>
        <w:t xml:space="preserve">put a journalist to sleep.</w:t>
      </w:r>
    </w:p>
    <w:p>
      <w:pPr>
        <w:pStyle w:val="BodyText"/>
      </w:pPr>
      <w:r>
        <w:t xml:space="preserve">The transparency report, mentioned across three chapters, gets its</w:t>
      </w:r>
      <w:r>
        <w:t xml:space="preserve"> </w:t>
      </w:r>
      <w:r>
        <w:t xml:space="preserve">contents fixed here since governance owns it: quarterly, machine-readable</w:t>
      </w:r>
      <w:r>
        <w:t xml:space="preserve"> </w:t>
      </w:r>
      <w:r>
        <w:t xml:space="preserve">alongside the prose, containing validator liveness and SLA statistics,</w:t>
      </w:r>
      <w:r>
        <w:t xml:space="preserve"> </w:t>
      </w:r>
      <w:r>
        <w:t xml:space="preserve">anchoring cadence conformance, custody-challenge outcomes by store,</w:t>
      </w:r>
      <w:r>
        <w:t xml:space="preserve"> </w:t>
      </w:r>
      <w:r>
        <w:t xml:space="preserve">accreditation actions taken (grants, restrictions, revocations — parties</w:t>
      </w:r>
      <w:r>
        <w:t xml:space="preserve"> </w:t>
      </w:r>
      <w:r>
        <w:t xml:space="preserve">named, since accreditation is public by design), schema and algorithm</w:t>
      </w:r>
      <w:r>
        <w:t xml:space="preserve"> </w:t>
      </w:r>
      <w:r>
        <w:t xml:space="preserve">register changes, migration-coverage metrics (Section 9.7), aggregate</w:t>
      </w:r>
      <w:r>
        <w:t xml:space="preserve"> </w:t>
      </w:r>
      <w:r>
        <w:t xml:space="preserve">verification volumes and anomaly rates, and incident-class disclosures</w:t>
      </w:r>
      <w:r>
        <w:t xml:space="preserve"> </w:t>
      </w:r>
      <w:r>
        <w:t xml:space="preserve">per Section 8.7’s norms. Nothing in the list is optional, because each</w:t>
      </w:r>
      <w:r>
        <w:t xml:space="preserve"> </w:t>
      </w:r>
      <w:r>
        <w:t xml:space="preserve">item is some relying party’s due-diligence input — and the report’s own</w:t>
      </w:r>
      <w:r>
        <w:t xml:space="preserve"> </w:t>
      </w:r>
      <w:r>
        <w:t xml:space="preserve">digest rides the governance state into the anchors, making the</w:t>
      </w:r>
      <w:r>
        <w:t xml:space="preserve"> </w:t>
      </w:r>
      <w:r>
        <w:t xml:space="preserve">consortium’s self-description as tamper-evident as the records it keeps.</w:t>
      </w:r>
    </w:p>
    <w:p>
      <w:pPr>
        <w:pStyle w:val="BodyText"/>
      </w:pPr>
      <w:r>
        <w:rPr>
          <w:bCs/>
          <w:b/>
        </w:rPr>
        <w:t xml:space="preserve">Table 10.2</w:t>
      </w:r>
      <w:r>
        <w:t xml:space="preserve"> </w:t>
      </w:r>
      <w:r>
        <w:t xml:space="preserve">The governance decision table (the pilot’s concrete allocations are</w:t>
      </w:r>
      <w:r>
        <w:t xml:space="preserve"> </w:t>
      </w:r>
      <w:r>
        <w:t xml:space="preserve">in Section 11.6).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from the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accreditation /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Accreditation committee, adverse-interest 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Revocations are ledger events (D5, §8.6)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and payload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versions verifiable forever (§5.1, §9.4)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upgrades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Supermajority + timelock, on-ledger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§2.5’s trusted-administrator caveat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 policy &amp; re-anchor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authority 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§9.7’s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Party-registry disclosure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 agreement; adjudicator for contested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§10.2’s mechanism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 policy &amp; retrievability SLAs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§4.2’s proof-of-retrievability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 admission / expulsion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Supermajority, on-ledger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sizing of §7.5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EVT_DISPUTE</w:t>
            </w:r>
            <w:r>
              <w:t xml:space="preserve"> </w:t>
            </w:r>
            <w:r>
              <w:t xml:space="preserve">→ named arbitral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§5.3’s event pair</w:t>
            </w:r>
          </w:p>
        </w:tc>
      </w:tr>
    </w:tbl>
    <w:p>
      <w:pPr>
        <w:pStyle w:val="BodyText"/>
      </w:pPr>
      <w:r>
        <w:t xml:space="preserve">One governance principle deserves prose because it is the chapter’s counterpart to</w:t>
      </w:r>
      <w:r>
        <w:t xml:space="preserve"> </w:t>
      </w:r>
      <w:r>
        <w:t xml:space="preserve">Chapter 8’s</w:t>
      </w:r>
      <w:r>
        <w:t xml:space="preserve"> </w:t>
      </w:r>
      <w:r>
        <w:t xml:space="preserve">“</w:t>
      </w:r>
      <w:r>
        <w:t xml:space="preserve">attacks migrate downward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authority migrates toward whoever holds</w:t>
      </w:r>
      <w:r>
        <w:rPr>
          <w:bCs/>
          <w:b/>
        </w:rPr>
        <w:t xml:space="preserve"> </w:t>
      </w:r>
      <w:r>
        <w:rPr>
          <w:bCs/>
          <w:b/>
        </w:rPr>
        <w:t xml:space="preserve">the keys people actually use.</w:t>
      </w:r>
      <w:r>
        <w:t xml:space="preserve"> </w:t>
      </w:r>
      <w:r>
        <w:t xml:space="preserve">If the party registry, the custody layer, or the</w:t>
      </w:r>
      <w:r>
        <w:t xml:space="preserve"> </w:t>
      </w:r>
      <w:r>
        <w:t xml:space="preserve">analytics platform is operated by a single commercial vendor for convenience, that</w:t>
      </w:r>
      <w:r>
        <w:t xml:space="preserve"> </w:t>
      </w:r>
      <w:r>
        <w:t xml:space="preserve">vendor becomes the de facto governor of the system regardless of what the</w:t>
      </w:r>
      <w:r>
        <w:t xml:space="preserve"> </w:t>
      </w:r>
      <w:r>
        <w:t xml:space="preserve">consortium agreement says. The architecture’s decentralization is only as real as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operational</w:t>
      </w:r>
      <w:r>
        <w:t xml:space="preserve"> </w:t>
      </w:r>
      <w:r>
        <w:t xml:space="preserve">decentralization of its off-chain components — a lesson several</w:t>
      </w:r>
      <w:r>
        <w:t xml:space="preserve"> </w:t>
      </w:r>
      <w:r>
        <w:t xml:space="preserve">first-generation industry consortia learned by becoming, in effect, one database</w:t>
      </w:r>
      <w:r>
        <w:t xml:space="preserve"> </w:t>
      </w:r>
      <w:r>
        <w:t xml:space="preserve">vendor with a ceremonial committee.</w:t>
      </w:r>
    </w:p>
    <w:p>
      <w:pPr>
        <w:pStyle w:val="BodyText"/>
      </w:pPr>
      <w:r>
        <w:t xml:space="preserve">Three further principles earn their place from the pilot’s year of governed</w:t>
      </w:r>
      <w:r>
        <w:t xml:space="preserve"> </w:t>
      </w:r>
      <w:r>
        <w:t xml:space="preserve">operation (Section 11.6).</w:t>
      </w:r>
      <w:r>
        <w:t xml:space="preserve"> </w:t>
      </w:r>
      <w:r>
        <w:rPr>
          <w:bCs/>
          <w:b/>
        </w:rPr>
        <w:t xml:space="preserve">Sanctions need a ladder</w:t>
      </w:r>
      <w:r>
        <w:t xml:space="preserve"> </w:t>
      </w:r>
      <w:r>
        <w:t xml:space="preserve">— the point made for</w:t>
      </w:r>
      <w:r>
        <w:t xml:space="preserve"> </w:t>
      </w:r>
      <w:r>
        <w:t xml:space="preserve">registrars in Section 4.3.2 generalizes: every governed obligation</w:t>
      </w:r>
      <w:r>
        <w:t xml:space="preserve"> </w:t>
      </w:r>
      <w:r>
        <w:t xml:space="preserve">(custody SLAs, validator liveness, data-use covenants) needs intermediate</w:t>
      </w:r>
      <w:r>
        <w:t xml:space="preserve"> </w:t>
      </w:r>
      <w:r>
        <w:t xml:space="preserve">consequences between a reminder and expulsion, because committees do not</w:t>
      </w:r>
      <w:r>
        <w:t xml:space="preserve"> </w:t>
      </w:r>
      <w:r>
        <w:t xml:space="preserve">impose corporate death sentences and unenforceable rules teach contempt.</w:t>
      </w:r>
      <w:r>
        <w:t xml:space="preserve"> </w:t>
      </w:r>
      <w:r>
        <w:rPr>
          <w:bCs/>
          <w:b/>
        </w:rPr>
        <w:t xml:space="preserve">Every authority needs a clock</w:t>
      </w:r>
      <w:r>
        <w:t xml:space="preserve">: each decision row in Table 10.2</w:t>
      </w:r>
      <w:r>
        <w:t xml:space="preserve"> </w:t>
      </w:r>
      <w:r>
        <w:t xml:space="preserve">carries a response deadline (accreditation decisions in 60 days, emergency</w:t>
      </w:r>
      <w:r>
        <w:t xml:space="preserve"> </w:t>
      </w:r>
      <w:r>
        <w:t xml:space="preserve">revocations in 24 hours, schema proposals resolved within a quarter),</w:t>
      </w:r>
      <w:r>
        <w:t xml:space="preserve"> </w:t>
      </w:r>
      <w:r>
        <w:t xml:space="preserve">because the silent failure mode of consortium governance is not bad</w:t>
      </w:r>
      <w:r>
        <w:t xml:space="preserve"> </w:t>
      </w:r>
      <w:r>
        <w:t xml:space="preserve">decisions but unmade ones, and a deadline with a default outcome converts</w:t>
      </w:r>
      <w:r>
        <w:t xml:space="preserve"> </w:t>
      </w:r>
      <w:r>
        <w:t xml:space="preserve">stalling from a veto into a choice.</w:t>
      </w:r>
      <w:r>
        <w:t xml:space="preserve"> </w:t>
      </w:r>
      <w:r>
        <w:rPr>
          <w:bCs/>
          <w:b/>
        </w:rPr>
        <w:t xml:space="preserve">Observers before members</w:t>
      </w:r>
      <w:r>
        <w:t xml:space="preserve">: seats</w:t>
      </w:r>
      <w:r>
        <w:t xml:space="preserve"> </w:t>
      </w:r>
      <w:r>
        <w:t xml:space="preserve">without votes — for regulators, for the certification bodies of adjacent</w:t>
      </w:r>
      <w:r>
        <w:t xml:space="preserve"> </w:t>
      </w:r>
      <w:r>
        <w:t xml:space="preserve">jurisdictions, for the standardization committees of Chapter 14 — cost the</w:t>
      </w:r>
      <w:r>
        <w:t xml:space="preserve"> </w:t>
      </w:r>
      <w:r>
        <w:t xml:space="preserve">consortium nothing, build the institutional familiarity that later</w:t>
      </w:r>
      <w:r>
        <w:t xml:space="preserve"> </w:t>
      </w:r>
      <w:r>
        <w:t xml:space="preserve">interfaces (Section 10.4) will need, and quietly discipline the members’</w:t>
      </w:r>
      <w:r>
        <w:t xml:space="preserve"> </w:t>
      </w:r>
      <w:r>
        <w:t xml:space="preserve">conduct in the way observed committees are always disciplined.</w:t>
      </w:r>
    </w:p>
    <w:p>
      <w:pPr>
        <w:pStyle w:val="BodyText"/>
      </w:pPr>
      <w:r>
        <w:t xml:space="preserve">One legal question spans every row and should be settled in the agreement</w:t>
      </w:r>
      <w:r>
        <w:t xml:space="preserve"> </w:t>
      </w:r>
      <w:r>
        <w:t xml:space="preserve">rather than discovered in enforcement:</w:t>
      </w:r>
      <w:r>
        <w:t xml:space="preserve"> </w:t>
      </w:r>
      <w:r>
        <w:rPr>
          <w:iCs/>
          <w:i/>
        </w:rPr>
        <w:t xml:space="preserve">who is the controller of the</w:t>
      </w:r>
      <w:r>
        <w:rPr>
          <w:iCs/>
          <w:i/>
        </w:rPr>
        <w:t xml:space="preserve"> </w:t>
      </w:r>
      <w:r>
        <w:rPr>
          <w:iCs/>
          <w:i/>
        </w:rPr>
        <w:t xml:space="preserve">envelope layer?</w:t>
      </w:r>
      <w:r>
        <w:t xml:space="preserve"> </w:t>
      </w:r>
      <w:r>
        <w:t xml:space="preserve">The defensible analysis treats the consortium members as</w:t>
      </w:r>
      <w:r>
        <w:t xml:space="preserve"> </w:t>
      </w:r>
      <w:r>
        <w:t xml:space="preserve">joint controllers of the shared envelope data — each having determined</w:t>
      </w:r>
      <w:r>
        <w:t xml:space="preserve"> </w:t>
      </w:r>
      <w:r>
        <w:t xml:space="preserve">jointly the purposes and means — with an Article-26-style arrangement in</w:t>
      </w:r>
      <w:r>
        <w:t xml:space="preserve"> </w:t>
      </w:r>
      <w:r>
        <w:t xml:space="preserve">the agreement allocating the compliance duties (a designated contact</w:t>
      </w:r>
      <w:r>
        <w:t xml:space="preserve"> </w:t>
      </w:r>
      <w:r>
        <w:t xml:space="preserve">point for data subjects, the pilot used the certifier; response</w:t>
      </w:r>
      <w:r>
        <w:t xml:space="preserve"> </w:t>
      </w:r>
      <w:r>
        <w:t xml:space="preserve">obligations flowing to whichever member’s role DIDs are implicated),</w:t>
      </w:r>
      <w:r>
        <w:t xml:space="preserve"> </w:t>
      </w:r>
      <w:r>
        <w:t xml:space="preserve">while each member remains sole controller of its own controlled-zone</w:t>
      </w:r>
      <w:r>
        <w:t xml:space="preserve"> </w:t>
      </w:r>
      <w:r>
        <w:t xml:space="preserve">holdings and custody stores act as processors under standard terms. The</w:t>
      </w:r>
      <w:r>
        <w:t xml:space="preserve"> </w:t>
      </w:r>
      <w:r>
        <w:t xml:space="preserve">allocation is not the only legally available one, but</w:t>
      </w:r>
      <w:r>
        <w:t xml:space="preserve"> </w:t>
      </w:r>
      <w:r>
        <w:rPr>
          <w:iCs/>
          <w:i/>
        </w:rPr>
        <w:t xml:space="preserve">an</w:t>
      </w:r>
      <w:r>
        <w:t xml:space="preserve"> </w:t>
      </w:r>
      <w:r>
        <w:t xml:space="preserve">allocation</w:t>
      </w:r>
      <w:r>
        <w:t xml:space="preserve"> </w:t>
      </w:r>
      <w:r>
        <w:t xml:space="preserve">made in writing beats the alternative — five regulators constructing five</w:t>
      </w:r>
      <w:r>
        <w:t xml:space="preserve"> </w:t>
      </w:r>
      <w:r>
        <w:t xml:space="preserve">different ones after a complaint — by every measure that matters.</w:t>
      </w:r>
    </w:p>
    <w:p>
      <w:pPr>
        <w:pStyle w:val="BodyText"/>
      </w:pPr>
      <w:r>
        <w:t xml:space="preserve">The dispute-resolution row deserves its own paragraph because it is where</w:t>
      </w:r>
      <w:r>
        <w:t xml:space="preserve"> </w:t>
      </w:r>
      <w:r>
        <w:t xml:space="preserve">the ledger meets the law most directly. The</w:t>
      </w:r>
      <w:r>
        <w:t xml:space="preserve"> </w:t>
      </w:r>
      <w:r>
        <w:rPr>
          <w:rStyle w:val="VerbatimChar"/>
        </w:rPr>
        <w:t xml:space="preserve">EVT_DISPUTE</w:t>
      </w:r>
      <w:r>
        <w:t xml:space="preserve">/</w:t>
      </w:r>
      <w:r>
        <w:rPr>
          <w:rStyle w:val="VerbatimChar"/>
        </w:rPr>
        <w:t xml:space="preserve">EVT_RESOLVE</w:t>
      </w:r>
      <w:r>
        <w:t xml:space="preserve"> </w:t>
      </w:r>
      <w:r>
        <w:t xml:space="preserve">pair (Section 5.3) gives disputes structure; the consortium agreement gives</w:t>
      </w:r>
      <w:r>
        <w:t xml:space="preserve"> </w:t>
      </w:r>
      <w:r>
        <w:t xml:space="preserve">them a forum — institutional arbitration for member-to-member disputes,</w:t>
      </w:r>
      <w:r>
        <w:t xml:space="preserve"> </w:t>
      </w:r>
      <w:r>
        <w:t xml:space="preserve">with the critical clause being</w:t>
      </w:r>
      <w:r>
        <w:t xml:space="preserve"> </w:t>
      </w:r>
      <w:r>
        <w:rPr>
          <w:iCs/>
          <w:i/>
        </w:rPr>
        <w:t xml:space="preserve">evidence stipulation</w:t>
      </w:r>
      <w:r>
        <w:t xml:space="preserve">: parties agree in</w:t>
      </w:r>
      <w:r>
        <w:t xml:space="preserve"> </w:t>
      </w:r>
      <w:r>
        <w:t xml:space="preserve">advance that anchored ledger extracts, verified per the Chapter 6 workflow,</w:t>
      </w:r>
      <w:r>
        <w:t xml:space="preserve"> </w:t>
      </w:r>
      <w:r>
        <w:t xml:space="preserve">are admissible and presumptively authentic, subject to challenge only on</w:t>
      </w:r>
      <w:r>
        <w:t xml:space="preserve"> </w:t>
      </w:r>
      <w:r>
        <w:t xml:space="preserve">enumerated grounds (enrollment fraud, instrument compromise — the Table 8.3</w:t>
      </w:r>
      <w:r>
        <w:t xml:space="preserve"> </w:t>
      </w:r>
      <w:r>
        <w:t xml:space="preserve">residuals, in effect). The S4 rehearsal validated the clause’s value: the</w:t>
      </w:r>
      <w:r>
        <w:t xml:space="preserve"> </w:t>
      </w:r>
      <w:r>
        <w:t xml:space="preserve">eleven-day resolution was possible because neither side spent weeks</w:t>
      </w:r>
      <w:r>
        <w:t xml:space="preserve"> </w:t>
      </w:r>
      <w:r>
        <w:t xml:space="preserve">contesting document authenticity. Non-member disputes — a homeowner’s</w:t>
      </w:r>
      <w:r>
        <w:t xml:space="preserve"> </w:t>
      </w:r>
      <w:r>
        <w:t xml:space="preserve">warranty claim, a buyer outside the consortium — cannot be bound by the</w:t>
      </w:r>
      <w:r>
        <w:t xml:space="preserve"> </w:t>
      </w:r>
      <w:r>
        <w:t xml:space="preserve">agreement, so the architecture’s contribution there is humbler and still</w:t>
      </w:r>
      <w:r>
        <w:t xml:space="preserve"> </w:t>
      </w:r>
      <w:r>
        <w:t xml:space="preserve">real: evidence that survives hostile scrutiny in whatever forum the</w:t>
      </w:r>
      <w:r>
        <w:t xml:space="preserve"> </w:t>
      </w:r>
      <w:r>
        <w:t xml:space="preserve">dispute lands.</w:t>
      </w:r>
    </w:p>
    <w:bookmarkEnd w:id="25"/>
    <w:bookmarkStart w:id="27" w:name="regulatory-interfaces"/>
    <w:p>
      <w:pPr>
        <w:pStyle w:val="Heading2"/>
      </w:pPr>
      <w:r>
        <w:t xml:space="preserve">10.4 Regulatory Interfaces</w:t>
      </w:r>
    </w:p>
    <w:p>
      <w:pPr>
        <w:pStyle w:val="FirstParagraph"/>
      </w:pPr>
      <w:r>
        <w:t xml:space="preserve">The system does not exist beside regulation; increasingly, regulation is the</w:t>
      </w:r>
      <w:r>
        <w:t xml:space="preserve"> </w:t>
      </w:r>
      <w:r>
        <w:t xml:space="preserve">demand curve for exactly the records this book builds. The section’s method,</w:t>
      </w:r>
      <w:r>
        <w:t xml:space="preserve"> </w:t>
      </w:r>
      <w:r>
        <w:t xml:space="preserve">stated once: for each regulatory family, identify the</w:t>
      </w:r>
      <w:r>
        <w:t xml:space="preserve"> </w:t>
      </w:r>
      <w:r>
        <w:rPr>
          <w:iCs/>
          <w:i/>
        </w:rPr>
        <w:t xml:space="preserve">record</w:t>
      </w:r>
      <w:r>
        <w:t xml:space="preserve"> </w:t>
      </w:r>
      <w:r>
        <w:t xml:space="preserve">the law</w:t>
      </w:r>
      <w:r>
        <w:t xml:space="preserve"> </w:t>
      </w:r>
      <w:r>
        <w:t xml:space="preserve">requires, the</w:t>
      </w:r>
      <w:r>
        <w:t xml:space="preserve"> </w:t>
      </w:r>
      <w:r>
        <w:rPr>
          <w:iCs/>
          <w:i/>
        </w:rPr>
        <w:t xml:space="preserve">trust gap</w:t>
      </w:r>
      <w:r>
        <w:t xml:space="preserve"> </w:t>
      </w:r>
      <w:r>
        <w:t xml:space="preserve">between what the law demands and what</w:t>
      </w:r>
      <w:r>
        <w:t xml:space="preserve"> </w:t>
      </w:r>
      <w:r>
        <w:t xml:space="preserve">self-declaration delivers, and the</w:t>
      </w:r>
      <w:r>
        <w:t xml:space="preserve"> </w:t>
      </w:r>
      <w:r>
        <w:rPr>
          <w:iCs/>
          <w:i/>
        </w:rPr>
        <w:t xml:space="preserve">interface</w:t>
      </w:r>
      <w:r>
        <w:t xml:space="preserve"> </w:t>
      </w:r>
      <w:r>
        <w:t xml:space="preserve">— always read-side, never a</w:t>
      </w:r>
      <w:r>
        <w:t xml:space="preserve"> </w:t>
      </w:r>
      <w:r>
        <w:t xml:space="preserve">schema redesign — through which this architecture supplies the difference.</w:t>
      </w:r>
      <w:r>
        <w:t xml:space="preserve"> </w:t>
      </w:r>
      <w:r>
        <w:t xml:space="preserve">The method matters more than the instances, because the instances will</w:t>
      </w:r>
      <w:r>
        <w:t xml:space="preserve"> </w:t>
      </w:r>
      <w:r>
        <w:t xml:space="preserve">churn: delegated acts will land, thresholds will move, new jurisdictions</w:t>
      </w:r>
      <w:r>
        <w:t xml:space="preserve"> </w:t>
      </w:r>
      <w:r>
        <w:t xml:space="preserve">will legislate, and a deployment built to the method absorbs the churn as</w:t>
      </w:r>
      <w:r>
        <w:t xml:space="preserve"> </w:t>
      </w:r>
      <w:r>
        <w:t xml:space="preserve">mapping-layer maintenance. Five interface families, with the engineering</w:t>
      </w:r>
      <w:r>
        <w:t xml:space="preserve"> </w:t>
      </w:r>
      <w:r>
        <w:t xml:space="preserve">requirement each imposes.</w:t>
      </w:r>
    </w:p>
    <w:p>
      <w:pPr>
        <w:pStyle w:val="BodyText"/>
      </w:pPr>
      <w:r>
        <w:rPr>
          <w:bCs/>
          <w:b/>
        </w:rPr>
        <w:t xml:space="preserve">Product-passport and traceability regulation.</w:t>
      </w:r>
      <w:r>
        <w:t xml:space="preserve"> </w:t>
      </w:r>
      <w:r>
        <w:t xml:space="preserve">The EU Battery Regulation</w:t>
      </w:r>
      <w:r>
        <w:t xml:space="preserve"> </w:t>
      </w:r>
      <w:r>
        <w:t xml:space="preserve">(2023/1542) requires, from 2027, a per-battery digital passport carrying identity,</w:t>
      </w:r>
      <w:r>
        <w:t xml:space="preserve"> </w:t>
      </w:r>
      <w:r>
        <w:t xml:space="preserve">composition, carbon footprint, and lifecycle data for EV and industrial batteries</w:t>
      </w:r>
      <w:r>
        <w:t xml:space="preserve"> </w:t>
      </w:r>
      <w:r>
        <w:t xml:space="preserve">above 2 kWh — mandatory, per-unit, lifecycle-long records with defined access</w:t>
      </w:r>
      <w:r>
        <w:t xml:space="preserve"> </w:t>
      </w:r>
      <w:r>
        <w:t xml:space="preserve">tiers: structurally, a subset of Chapter 5. The Ecodesign for Sustainable Products</w:t>
      </w:r>
      <w:r>
        <w:t xml:space="preserve"> </w:t>
      </w:r>
      <w:r>
        <w:t xml:space="preserve">Regulation (2024/1781) extends digital product passports across product categories</w:t>
      </w:r>
      <w:r>
        <w:t xml:space="preserve"> </w:t>
      </w:r>
      <w:r>
        <w:t xml:space="preserve">by delegated acts, with PV modules repeatedly named among the priority candidates.</w:t>
      </w:r>
      <w:r>
        <w:t xml:space="preserve"> </w:t>
      </w:r>
      <w:r>
        <w:t xml:space="preserve">The engineering requirement: the event schema must</w:t>
      </w:r>
      <w:r>
        <w:t xml:space="preserve"> </w:t>
      </w:r>
      <w:r>
        <w:rPr>
          <w:iCs/>
          <w:i/>
        </w:rPr>
        <w:t xml:space="preserve">project</w:t>
      </w:r>
      <w:r>
        <w:t xml:space="preserve"> </w:t>
      </w:r>
      <w:r>
        <w:t xml:space="preserve">onto passport data</w:t>
      </w:r>
      <w:r>
        <w:t xml:space="preserve"> </w:t>
      </w:r>
      <w:r>
        <w:t xml:space="preserve">models — a read-side mapping layer, not a redesign — and the access-tier</w:t>
      </w:r>
      <w:r>
        <w:t xml:space="preserve"> </w:t>
      </w:r>
      <w:r>
        <w:t xml:space="preserve">definitions (public / authorities / actors-with-legitimate-interest) map cleanly</w:t>
      </w:r>
      <w:r>
        <w:t xml:space="preserve"> </w:t>
      </w:r>
      <w:r>
        <w:t xml:space="preserve">onto Figure 10.1’s three zones. Chapter 12 returns to passports as the</w:t>
      </w:r>
      <w:r>
        <w:t xml:space="preserve"> </w:t>
      </w:r>
      <w:r>
        <w:t xml:space="preserve">interoperability driver; Chapter 14 flags the standardization gap that a book can</w:t>
      </w:r>
      <w:r>
        <w:t xml:space="preserve"> </w:t>
      </w:r>
      <w:r>
        <w:t xml:space="preserve">name but not close.</w:t>
      </w:r>
    </w:p>
    <w:p>
      <w:pPr>
        <w:pStyle w:val="BodyText"/>
      </w:pPr>
      <w:r>
        <w:t xml:space="preserve">What the passport texts do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specify is where this architecture’s</w:t>
      </w:r>
      <w:r>
        <w:t xml:space="preserve"> </w:t>
      </w:r>
      <w:r>
        <w:t xml:space="preserve">opportunity and its warning both live. The Battery Regulation mandates data</w:t>
      </w:r>
      <w:r>
        <w:t xml:space="preserve"> </w:t>
      </w:r>
      <w:r>
        <w:t xml:space="preserve">content, unique identifiers, and access tiers; it does not mandate binding</w:t>
      </w:r>
      <w:r>
        <w:t xml:space="preserve"> </w:t>
      </w:r>
      <w:r>
        <w:t xml:space="preserve">(nothing prevents a passport describing a battery it has never met),</w:t>
      </w:r>
      <w:r>
        <w:t xml:space="preserve"> </w:t>
      </w:r>
      <w:r>
        <w:t xml:space="preserve">independent attestation (self-declared fields satisfy the letter), or</w:t>
      </w:r>
      <w:r>
        <w:t xml:space="preserve"> </w:t>
      </w:r>
      <w:r>
        <w:t xml:space="preserve">institutional survivability (the</w:t>
      </w:r>
      <w:r>
        <w:t xml:space="preserve"> </w:t>
      </w:r>
      <w:r>
        <w:t xml:space="preserve">“</w:t>
      </w:r>
      <w:r>
        <w:t xml:space="preserve">economic operator placing the product on</w:t>
      </w:r>
      <w:r>
        <w:t xml:space="preserve"> </w:t>
      </w:r>
      <w:r>
        <w:t xml:space="preserve">the market</w:t>
      </w:r>
      <w:r>
        <w:t xml:space="preserve">”</w:t>
      </w:r>
      <w:r>
        <w:t xml:space="preserve"> </w:t>
      </w:r>
      <w:r>
        <w:t xml:space="preserve">hosts the passport — a vendor-cloud pattern Chapter 1 already</w:t>
      </w:r>
      <w:r>
        <w:t xml:space="preserve"> </w:t>
      </w:r>
      <w:r>
        <w:t xml:space="preserve">autopsied, softened only by data-continuity obligations on insolvency).</w:t>
      </w:r>
      <w:r>
        <w:t xml:space="preserve"> </w:t>
      </w:r>
      <w:r>
        <w:t xml:space="preserve">A compliance industry is currently being built to those minimal</w:t>
      </w:r>
      <w:r>
        <w:t xml:space="preserve"> </w:t>
      </w:r>
      <w:r>
        <w:t xml:space="preserve">specifications, and its products will be Chapter 1’s documentary problem</w:t>
      </w:r>
      <w:r>
        <w:t xml:space="preserve"> </w:t>
      </w:r>
      <w:r>
        <w:t xml:space="preserve">wearing a QR code. The engineering posture this book recommends to any</w:t>
      </w:r>
      <w:r>
        <w:t xml:space="preserve"> </w:t>
      </w:r>
      <w:r>
        <w:t xml:space="preserve">manufacturer or consortium implementing passports: satisfy the regulation</w:t>
      </w:r>
      <w:r>
        <w:t xml:space="preserve"> </w:t>
      </w:r>
      <w:r>
        <w:t xml:space="preserve">with the projection layer, and build the projection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verifiable</w:t>
      </w:r>
      <w:r>
        <w:t xml:space="preserve"> </w:t>
      </w:r>
      <w:r>
        <w:t xml:space="preserve">events rather than</w:t>
      </w:r>
      <w:r>
        <w:t xml:space="preserve"> </w:t>
      </w:r>
      <w:r>
        <w:rPr>
          <w:iCs/>
          <w:i/>
        </w:rPr>
        <w:t xml:space="preserve">instead of</w:t>
      </w:r>
      <w:r>
        <w:t xml:space="preserve"> </w:t>
      </w:r>
      <w:r>
        <w:t xml:space="preserve">them — the marginal cost is small</w:t>
      </w:r>
      <w:r>
        <w:t xml:space="preserve"> </w:t>
      </w:r>
      <w:r>
        <w:t xml:space="preserve">(Section 13.5), and the passport becomes a window onto evidence rather</w:t>
      </w:r>
      <w:r>
        <w:t xml:space="preserve"> </w:t>
      </w:r>
      <w:r>
        <w:t xml:space="preserve">than a PDF with better packaging. The regulatory trajectory only</w:t>
      </w:r>
      <w:r>
        <w:t xml:space="preserve"> </w:t>
      </w:r>
      <w:r>
        <w:t xml:space="preserve">strengthens the case: supplementing acts continue to specify formats and</w:t>
      </w:r>
      <w:r>
        <w:t xml:space="preserve"> </w:t>
      </w:r>
      <w:r>
        <w:t xml:space="preserve">registries, member-state market-surveillance authorities will need audit</w:t>
      </w:r>
      <w:r>
        <w:t xml:space="preserve"> </w:t>
      </w:r>
      <w:r>
        <w:t xml:space="preserve">tools, and the first passport-fraud scandal — which the incentive</w:t>
      </w:r>
      <w:r>
        <w:t xml:space="preserve"> </w:t>
      </w:r>
      <w:r>
        <w:t xml:space="preserve">structure makes a matter of when — will move the political demand from</w:t>
      </w:r>
      <w:r>
        <w:t xml:space="preserve"> </w:t>
      </w:r>
      <w:r>
        <w:t xml:space="preserve">“</w:t>
      </w:r>
      <w:r>
        <w:t xml:space="preserve">records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verifiable records</w:t>
      </w:r>
      <w:r>
        <w:t xml:space="preserve">”</w:t>
      </w:r>
      <w:r>
        <w:t xml:space="preserve"> </w:t>
      </w:r>
      <w:r>
        <w:t xml:space="preserve">faster than any white paper.</w:t>
      </w:r>
    </w:p>
    <w:p>
      <w:pPr>
        <w:pStyle w:val="BodyText"/>
      </w:pPr>
      <w:r>
        <w:rPr>
          <w:bCs/>
          <w:b/>
        </w:rPr>
        <w:t xml:space="preserve">Supply-chain integrity regimes</w:t>
      </w:r>
      <w:r>
        <w:t xml:space="preserve"> </w:t>
      </w:r>
      <w:r>
        <w:t xml:space="preserve">deserve their own entry beside the</w:t>
      </w:r>
      <w:r>
        <w:t xml:space="preserve"> </w:t>
      </w:r>
      <w:r>
        <w:t xml:space="preserve">passports, because their evidentiary demands arrive</w:t>
      </w:r>
      <w:r>
        <w:t xml:space="preserve"> </w:t>
      </w:r>
      <w:r>
        <w:rPr>
          <w:iCs/>
          <w:i/>
        </w:rPr>
        <w:t xml:space="preserve">now</w:t>
      </w:r>
      <w:r>
        <w:t xml:space="preserve"> </w:t>
      </w:r>
      <w:r>
        <w:t xml:space="preserve">and their pain</w:t>
      </w:r>
      <w:r>
        <w:t xml:space="preserve"> </w:t>
      </w:r>
      <w:r>
        <w:t xml:space="preserve">is Section 1.4.5’s. The UFLPA’s rebuttable presumption obliges importers</w:t>
      </w:r>
      <w:r>
        <w:t xml:space="preserve"> </w:t>
      </w:r>
      <w:r>
        <w:t xml:space="preserve">to trace polysilicon provenance through several tiers of suppliers; the</w:t>
      </w:r>
      <w:r>
        <w:t xml:space="preserve"> </w:t>
      </w:r>
      <w:r>
        <w:t xml:space="preserve">EU’s forced-labour regulation and corporate due-diligence directives</w:t>
      </w:r>
      <w:r>
        <w:t xml:space="preserve"> </w:t>
      </w:r>
      <w:r>
        <w:t xml:space="preserve">generalize the pattern. The current evidence format — document packages</w:t>
      </w:r>
      <w:r>
        <w:t xml:space="preserve"> </w:t>
      </w:r>
      <w:r>
        <w:t xml:space="preserve">assembled per shipment, reviewed manually — maps directly onto this</w:t>
      </w:r>
      <w:r>
        <w:t xml:space="preserve"> </w:t>
      </w:r>
      <w:r>
        <w:t xml:space="preserve">architecture’s composition references (Section 4.3): a module’s</w:t>
      </w:r>
      <w:r>
        <w:t xml:space="preserve"> </w:t>
      </w:r>
      <w:r>
        <w:t xml:space="preserve">registration already references its cell batches, wafer lots, and material</w:t>
      </w:r>
      <w:r>
        <w:t xml:space="preserve"> </w:t>
      </w:r>
      <w:r>
        <w:t xml:space="preserve">certificates as digests, so an importer’s evidence package becomes a</w:t>
      </w:r>
      <w:r>
        <w:t xml:space="preserve"> </w:t>
      </w:r>
      <w:r>
        <w:t xml:space="preserve">disclosure bundle (Section 10.2.2) — upstream VCs, composition chains, and</w:t>
      </w:r>
      <w:r>
        <w:t xml:space="preserve"> </w:t>
      </w:r>
      <w:r>
        <w:t xml:space="preserve">attestations, verifiable against anchors rather than against letterhead.</w:t>
      </w:r>
      <w:r>
        <w:t xml:space="preserve"> </w:t>
      </w:r>
      <w:r>
        <w:t xml:space="preserve">The honest caveat: the ledger proves the</w:t>
      </w:r>
      <w:r>
        <w:t xml:space="preserve"> </w:t>
      </w:r>
      <w:r>
        <w:rPr>
          <w:iCs/>
          <w:i/>
        </w:rPr>
        <w:t xml:space="preserve">documentary chain’s</w:t>
      </w:r>
      <w:r>
        <w:t xml:space="preserve"> </w:t>
      </w:r>
      <w:r>
        <w:t xml:space="preserve">integrity,</w:t>
      </w:r>
      <w:r>
        <w:t xml:space="preserve"> </w:t>
      </w:r>
      <w:r>
        <w:t xml:space="preserve">not the upstream facts’ truth — a supplier’s false origin declaration</w:t>
      </w:r>
      <w:r>
        <w:t xml:space="preserve"> </w:t>
      </w:r>
      <w:r>
        <w:t xml:space="preserve">enters as a signed lie (garbage-in permanence, Section 1.5) — so the</w:t>
      </w:r>
      <w:r>
        <w:t xml:space="preserve"> </w:t>
      </w:r>
      <w:r>
        <w:t xml:space="preserve">architecture’s contribution is to make the declarations attributable,</w:t>
      </w:r>
      <w:r>
        <w:t xml:space="preserve"> </w:t>
      </w:r>
      <w:r>
        <w:t xml:space="preserve">non-repudiable, and cross-checkable against volume reconciliation (D4),</w:t>
      </w:r>
      <w:r>
        <w:t xml:space="preserve"> </w:t>
      </w:r>
      <w:r>
        <w:t xml:space="preserve">which is precisely the standard the enforcement agencies’ own guidance</w:t>
      </w:r>
      <w:r>
        <w:t xml:space="preserve"> </w:t>
      </w:r>
      <w:r>
        <w:t xml:space="preserve">gestures toward.</w:t>
      </w:r>
    </w:p>
    <w:p>
      <w:pPr>
        <w:pStyle w:val="BodyText"/>
      </w:pPr>
      <w:r>
        <w:rPr>
          <w:bCs/>
          <w:b/>
        </w:rPr>
        <w:t xml:space="preserve">ESG and financial-disclosure reporting</w:t>
      </w:r>
      <w:r>
        <w:t xml:space="preserve"> </w:t>
      </w:r>
      <w:r>
        <w:t xml:space="preserve">rides the passport family’s</w:t>
      </w:r>
      <w:r>
        <w:t xml:space="preserve"> </w:t>
      </w:r>
      <w:r>
        <w:t xml:space="preserve">machinery and deserves its sentence of separation: the corporate</w:t>
      </w:r>
      <w:r>
        <w:t xml:space="preserve"> </w:t>
      </w:r>
      <w:r>
        <w:t xml:space="preserve">sustainability regimes (the EU’s CSRD and its supply-chain cousins,</w:t>
      </w:r>
      <w:r>
        <w:t xml:space="preserve"> </w:t>
      </w:r>
      <w:r>
        <w:t xml:space="preserve">investor-driven frameworks elsewhere) increasingly require asset-level</w:t>
      </w:r>
      <w:r>
        <w:t xml:space="preserve"> </w:t>
      </w:r>
      <w:r>
        <w:t xml:space="preserve">substantiation of climate and circularity claims — installed capacity,</w:t>
      </w:r>
      <w:r>
        <w:t xml:space="preserve"> </w:t>
      </w:r>
      <w:r>
        <w:t xml:space="preserve">equipment provenance, end-of-life mass balances — that currently flows</w:t>
      </w:r>
      <w:r>
        <w:t xml:space="preserve"> </w:t>
      </w:r>
      <w:r>
        <w:t xml:space="preserve">through the same self-declared spreadsheets as everything else in</w:t>
      </w:r>
      <w:r>
        <w:t xml:space="preserve"> </w:t>
      </w:r>
      <w:r>
        <w:t xml:space="preserve">Chapter 1. The interface is the aggregation layer of Section 10.2: attested</w:t>
      </w:r>
      <w:r>
        <w:t xml:space="preserve"> </w:t>
      </w:r>
      <w:r>
        <w:t xml:space="preserve">fleet statistics with inclusion proofs, generated from the same events the</w:t>
      </w:r>
      <w:r>
        <w:t xml:space="preserve"> </w:t>
      </w:r>
      <w:r>
        <w:t xml:space="preserve">passports project from, giving auditors of sustainability reports the same</w:t>
      </w:r>
      <w:r>
        <w:t xml:space="preserve"> </w:t>
      </w:r>
      <w:r>
        <w:t xml:space="preserve">verifiability upgrade the market interfaces get. No new mechanism, one new</w:t>
      </w:r>
      <w:r>
        <w:t xml:space="preserve"> </w:t>
      </w:r>
      <w:r>
        <w:t xml:space="preserve">consumer — the pattern this section’s method predicts.</w:t>
      </w:r>
    </w:p>
    <w:p>
      <w:pPr>
        <w:pStyle w:val="BodyText"/>
      </w:pPr>
      <w:r>
        <w:rPr>
          <w:bCs/>
          <w:b/>
        </w:rPr>
        <w:t xml:space="preserve">Certificate and attribute schemes.</w:t>
      </w:r>
      <w:r>
        <w:t xml:space="preserve"> </w:t>
      </w:r>
      <w:r>
        <w:t xml:space="preserve">Renewable energy certificates (RECs, EU</w:t>
      </w:r>
      <w:r>
        <w:t xml:space="preserve"> </w:t>
      </w:r>
      <w:r>
        <w:t xml:space="preserve">guarantees of origin, India’s REC mechanism) certify</w:t>
      </w:r>
      <w:r>
        <w:t xml:space="preserve"> </w:t>
      </w:r>
      <w:r>
        <w:rPr>
          <w:iCs/>
          <w:i/>
        </w:rPr>
        <w:t xml:space="preserve">energy</w:t>
      </w:r>
      <w:r>
        <w:t xml:space="preserve">, not equipment — but</w:t>
      </w:r>
      <w:r>
        <w:t xml:space="preserve"> </w:t>
      </w:r>
      <w:r>
        <w:t xml:space="preserve">certificate fraud frequently launders through equipment ambiguity (double-counted</w:t>
      </w:r>
      <w:r>
        <w:t xml:space="preserve"> </w:t>
      </w:r>
      <w:r>
        <w:t xml:space="preserve">or misdescribed generation assets). An asset ledger interfaces as the</w:t>
      </w:r>
      <w:r>
        <w:t xml:space="preserve"> </w:t>
      </w:r>
      <w:r>
        <w:rPr>
          <w:iCs/>
          <w:i/>
        </w:rPr>
        <w:t xml:space="preserve">equipment</w:t>
      </w:r>
      <w:r>
        <w:rPr>
          <w:iCs/>
          <w:i/>
        </w:rPr>
        <w:t xml:space="preserve"> </w:t>
      </w:r>
      <w:r>
        <w:rPr>
          <w:iCs/>
          <w:i/>
        </w:rPr>
        <w:t xml:space="preserve">truth layer</w:t>
      </w:r>
      <w:r>
        <w:t xml:space="preserve"> </w:t>
      </w:r>
      <w:r>
        <w:t xml:space="preserve">under certificate registries: the generation device’s identity,</w:t>
      </w:r>
      <w:r>
        <w:t xml:space="preserve"> </w:t>
      </w:r>
      <w:r>
        <w:t xml:space="preserve">capacity, and commissioning date become verifiable inputs rather than</w:t>
      </w:r>
      <w:r>
        <w:t xml:space="preserve"> </w:t>
      </w:r>
      <w:r>
        <w:t xml:space="preserve">self-declarations. The requirement: read-side attestation APIs for certificate</w:t>
      </w:r>
      <w:r>
        <w:t xml:space="preserve"> </w:t>
      </w:r>
      <w:r>
        <w:t xml:space="preserve">registries, not new event types. The fraud patterns the truth layer closes</w:t>
      </w:r>
      <w:r>
        <w:t xml:space="preserve"> </w:t>
      </w:r>
      <w:r>
        <w:t xml:space="preserve">are worth naming, because certificate markets price integrity risk</w:t>
      </w:r>
      <w:r>
        <w:t xml:space="preserve"> </w:t>
      </w:r>
      <w:r>
        <w:t xml:space="preserve">explicitly: capacity overstatement (certificates issued against nameplate</w:t>
      </w:r>
      <w:r>
        <w:t xml:space="preserve"> </w:t>
      </w:r>
      <w:r>
        <w:t xml:space="preserve">that was never installed — closed by registration-and-commissioning</w:t>
      </w:r>
      <w:r>
        <w:t xml:space="preserve"> </w:t>
      </w:r>
      <w:r>
        <w:t xml:space="preserve">verification), zombie assets (issuance continuing after decommissioning —</w:t>
      </w:r>
      <w:r>
        <w:t xml:space="preserve"> </w:t>
      </w:r>
      <w:r>
        <w:t xml:space="preserve">closed by lifecycle state), double registration across schemes (one plant,</w:t>
      </w:r>
      <w:r>
        <w:t xml:space="preserve"> </w:t>
      </w:r>
      <w:r>
        <w:t xml:space="preserve">two registries — closed by the DID’s uniqueness and cross-registry</w:t>
      </w:r>
      <w:r>
        <w:t xml:space="preserve"> </w:t>
      </w:r>
      <w:r>
        <w:t xml:space="preserve">attestation), and vintage misdescription (commissioning dates shaded to</w:t>
      </w:r>
      <w:r>
        <w:t xml:space="preserve"> </w:t>
      </w:r>
      <w:r>
        <w:t xml:space="preserve">qualify for support regimes — closed by anchored Class C commissioning).</w:t>
      </w:r>
      <w:r>
        <w:t xml:space="preserve"> </w:t>
      </w:r>
      <w:r>
        <w:t xml:space="preserve">As carbon-credit markets absorb their own integrity crises and reach for</w:t>
      </w:r>
      <w:r>
        <w:t xml:space="preserve"> </w:t>
      </w:r>
      <w:r>
        <w:t xml:space="preserve">the same remedies, the equipment truth layer generalizes: any instrument</w:t>
      </w:r>
      <w:r>
        <w:t xml:space="preserve"> </w:t>
      </w:r>
      <w:r>
        <w:t xml:space="preserve">whose value derives from a claim about a physical generator inherits the</w:t>
      </w:r>
      <w:r>
        <w:t xml:space="preserve"> </w:t>
      </w:r>
      <w:r>
        <w:t xml:space="preserve">verification interface.</w:t>
      </w:r>
    </w:p>
    <w:p>
      <w:pPr>
        <w:pStyle w:val="BodyText"/>
      </w:pPr>
      <w:r>
        <w:rPr>
          <w:bCs/>
          <w:b/>
        </w:rPr>
        <w:t xml:space="preserve">Grid codes and interconnection.</w:t>
      </w:r>
      <w:r>
        <w:t xml:space="preserve"> </w:t>
      </w:r>
      <w:r>
        <w:t xml:space="preserve">DER interconnection regimes (IEEE 1547 in the</w:t>
      </w:r>
      <w:r>
        <w:t xml:space="preserve"> </w:t>
      </w:r>
      <w:r>
        <w:t xml:space="preserve">US and its state implementations; EU network codes under regulation 2016/631;</w:t>
      </w:r>
      <w:r>
        <w:t xml:space="preserve"> </w:t>
      </w:r>
      <w:r>
        <w:t xml:space="preserve">India’s CEA technical standards) require certified equipment characteristics at</w:t>
      </w:r>
      <w:r>
        <w:t xml:space="preserve"> </w:t>
      </w:r>
      <w:r>
        <w:t xml:space="preserve">the point of connection. Today this is paperwork; a DSO consuming Chapter 6 Step-1</w:t>
      </w:r>
      <w:r>
        <w:t xml:space="preserve"> </w:t>
      </w:r>
      <w:r>
        <w:t xml:space="preserve">verification instead of PDF certificates is the near-term institutional adopter —</w:t>
      </w:r>
      <w:r>
        <w:t xml:space="preserve"> </w:t>
      </w:r>
      <w:r>
        <w:t xml:space="preserve">and, symmetrically, the schema must carry the certification VCs (type approvals,</w:t>
      </w:r>
      <w:r>
        <w:t xml:space="preserve"> </w:t>
      </w:r>
      <w:r>
        <w:t xml:space="preserve">inverter grid-support settings) those codes reference. The deeper interface</w:t>
      </w:r>
      <w:r>
        <w:t xml:space="preserve"> </w:t>
      </w:r>
      <w:r>
        <w:t xml:space="preserve">is temporal: interconnection compliance is not a commissioning-day fact but</w:t>
      </w:r>
      <w:r>
        <w:t xml:space="preserve"> </w:t>
      </w:r>
      <w:r>
        <w:t xml:space="preserve">a service-life obligation — settings drift, firmware updates change</w:t>
      </w:r>
      <w:r>
        <w:t xml:space="preserve"> </w:t>
      </w:r>
      <w:r>
        <w:t xml:space="preserve">grid-support behavior, and today’s DSO has essentially no visibility into</w:t>
      </w:r>
      <w:r>
        <w:t xml:space="preserve"> </w:t>
      </w:r>
      <w:r>
        <w:t xml:space="preserve">the fleet’s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certified state. The config-change event class of</w:t>
      </w:r>
      <w:r>
        <w:t xml:space="preserve"> </w:t>
      </w:r>
      <w:r>
        <w:t xml:space="preserve">Section 12.4 is the answer waiting on the shelf: a DSO subscription to</w:t>
      </w:r>
      <w:r>
        <w:t xml:space="preserve"> </w:t>
      </w:r>
      <w:r>
        <w:t xml:space="preserve">attested configuration events for its service territory converts</w:t>
      </w:r>
      <w:r>
        <w:t xml:space="preserve"> </w:t>
      </w:r>
      <w:r>
        <w:t xml:space="preserve">compliance from a paperwork snapshot into a live, verifiable property —</w:t>
      </w:r>
      <w:r>
        <w:t xml:space="preserve"> </w:t>
      </w:r>
      <w:r>
        <w:t xml:space="preserve">and the privacy design matters exactly here, because the DSO needs</w:t>
      </w:r>
      <w:r>
        <w:t xml:space="preserve"> </w:t>
      </w:r>
      <w:r>
        <w:t xml:space="preserve">settings and certification status, not ownership histories or commercial</w:t>
      </w:r>
      <w:r>
        <w:t xml:space="preserve"> </w:t>
      </w:r>
      <w:r>
        <w:t xml:space="preserve">terms, and the three-zone architecture can give it precisely that slice</w:t>
      </w:r>
      <w:r>
        <w:t xml:space="preserve"> </w:t>
      </w:r>
      <w:r>
        <w:t xml:space="preserve">and nothing more.</w:t>
      </w:r>
    </w:p>
    <w:p>
      <w:pPr>
        <w:pStyle w:val="BodyText"/>
      </w:pPr>
      <w:r>
        <w:rPr>
          <w:bCs/>
          <w:b/>
        </w:rPr>
        <w:t xml:space="preserve">Data-protection law across the three jurisdictions.</w:t>
      </w:r>
      <w:r>
        <w:t xml:space="preserve"> </w:t>
      </w:r>
      <w:r>
        <w:t xml:space="preserve">The GDPR analysis is</w:t>
      </w:r>
      <w:r>
        <w:t xml:space="preserve"> </w:t>
      </w:r>
      <w:r>
        <w:t xml:space="preserve">Section 10.2’s; the US adds a state patchwork (California’s CCPA/CPRA the leading</w:t>
      </w:r>
      <w:r>
        <w:t xml:space="preserve"> </w:t>
      </w:r>
      <w:r>
        <w:t xml:space="preserve">edge) generally less demanding for this system because commercial B2B data</w:t>
      </w:r>
      <w:r>
        <w:t xml:space="preserve"> </w:t>
      </w:r>
      <w:r>
        <w:t xml:space="preserve">dominates; India’s DPDP Act 2023 brings GDPR-family obligations with its own</w:t>
      </w:r>
      <w:r>
        <w:t xml:space="preserve"> </w:t>
      </w:r>
      <w:r>
        <w:t xml:space="preserve">consent and cross-border rules. The single engineering consequence worth stating</w:t>
      </w:r>
      <w:r>
        <w:t xml:space="preserve"> </w:t>
      </w:r>
      <w:r>
        <w:t xml:space="preserve">here:</w:t>
      </w:r>
      <w:r>
        <w:t xml:space="preserve"> </w:t>
      </w:r>
      <w:r>
        <w:rPr>
          <w:bCs/>
          <w:b/>
        </w:rPr>
        <w:t xml:space="preserve">jurisdictional data residency argues for the federated ledger topology of</w:t>
      </w:r>
      <w:r>
        <w:rPr>
          <w:bCs/>
          <w:b/>
        </w:rPr>
        <w:t xml:space="preserve"> </w:t>
      </w:r>
      <w:r>
        <w:rPr>
          <w:bCs/>
          <w:b/>
        </w:rPr>
        <w:t xml:space="preserve">Section 7.4</w:t>
      </w:r>
      <w:r>
        <w:t xml:space="preserve"> </w:t>
      </w:r>
      <w:r>
        <w:t xml:space="preserve">— a national consortium ledger anchors globally, but personal-data-</w:t>
      </w:r>
      <w:r>
        <w:t xml:space="preserve"> </w:t>
      </w:r>
      <w:r>
        <w:t xml:space="preserve">adjacent payloads and party registries never leave the jurisdiction; mutual</w:t>
      </w:r>
      <w:r>
        <w:t xml:space="preserve"> </w:t>
      </w:r>
      <w:r>
        <w:t xml:space="preserve">anchoring gives cross-border verifiability without cross-border data flow. This is</w:t>
      </w:r>
      <w:r>
        <w:t xml:space="preserve"> </w:t>
      </w:r>
      <w:r>
        <w:t xml:space="preserve">the second time federation has fallen out of a non-scalability requirement, which</w:t>
      </w:r>
      <w:r>
        <w:t xml:space="preserve"> </w:t>
      </w:r>
      <w:r>
        <w:t xml:space="preserve">is usually what it looks like when an architecture decision is right.</w:t>
      </w:r>
    </w:p>
    <w:p>
      <w:pPr>
        <w:pStyle w:val="BodyText"/>
      </w:pPr>
      <w:r>
        <w:t xml:space="preserve">A cross-border verification keeps the abstractions honest: a German</w:t>
      </w:r>
      <w:r>
        <w:t xml:space="preserve"> </w:t>
      </w:r>
      <w:r>
        <w:t xml:space="preserve">insurer underwrites modules manufactured in India and installed in</w:t>
      </w:r>
      <w:r>
        <w:t xml:space="preserve"> </w:t>
      </w:r>
      <w:r>
        <w:t xml:space="preserve">Arizona. The Indian federation’s ledger carries the factory enrollment;</w:t>
      </w:r>
      <w:r>
        <w:t xml:space="preserve"> </w:t>
      </w:r>
      <w:r>
        <w:t xml:space="preserve">the US federation’s carries installation and operation; the insurer’s</w:t>
      </w:r>
      <w:r>
        <w:t xml:space="preserve"> </w:t>
      </w:r>
      <w:r>
        <w:t xml:space="preserve">client walks both via the mutual-anchor traversal of Section 7.4 — and at</w:t>
      </w:r>
      <w:r>
        <w:t xml:space="preserve"> </w:t>
      </w:r>
      <w:r>
        <w:t xml:space="preserve">no point did personal or commercial payload data cross a border, because</w:t>
      </w:r>
      <w:r>
        <w:t xml:space="preserve"> </w:t>
      </w:r>
      <w:r>
        <w:t xml:space="preserve">the insurer consumed proofs and authorized disclosures scoped to its</w:t>
      </w:r>
      <w:r>
        <w:t xml:space="preserve"> </w:t>
      </w:r>
      <w:r>
        <w:t xml:space="preserve">legitimate interest, each from the jurisdiction where the data lawfully</w:t>
      </w:r>
      <w:r>
        <w:t xml:space="preserve"> </w:t>
      </w:r>
      <w:r>
        <w:t xml:space="preserve">lives. That is the entire cross-border story, and its brevity is the</w:t>
      </w:r>
      <w:r>
        <w:t xml:space="preserve"> </w:t>
      </w:r>
      <w:r>
        <w:t xml:space="preserve">design’s achievement. The three regimes differ in ways the deployment</w:t>
      </w:r>
      <w:r>
        <w:t xml:space="preserve"> </w:t>
      </w:r>
      <w:r>
        <w:t xml:space="preserve">playbook should respect rather than average. The GDPR analysis is the strictest and therefore the</w:t>
      </w:r>
      <w:r>
        <w:t xml:space="preserve"> </w:t>
      </w:r>
      <w:r>
        <w:t xml:space="preserve">design driver: build to it and the others largely follow, with the</w:t>
      </w:r>
      <w:r>
        <w:t xml:space="preserve"> </w:t>
      </w:r>
      <w:r>
        <w:t xml:space="preserve">specific GDPR artifacts — records of processing, a data-protection impact</w:t>
      </w:r>
      <w:r>
        <w:t xml:space="preserve"> </w:t>
      </w:r>
      <w:r>
        <w:t xml:space="preserve">assessment for the rooftop segment, controller/processor allocations</w:t>
      </w:r>
      <w:r>
        <w:t xml:space="preserve"> </w:t>
      </w:r>
      <w:r>
        <w:t xml:space="preserve">across consortium members (the consortium itself is likely a joint</w:t>
      </w:r>
      <w:r>
        <w:t xml:space="preserve"> </w:t>
      </w:r>
      <w:r>
        <w:t xml:space="preserve">controllership for the envelope layer, an analysis counsel must own) —</w:t>
      </w:r>
      <w:r>
        <w:t xml:space="preserve"> </w:t>
      </w:r>
      <w:r>
        <w:t xml:space="preserve">prepared as templates the federation can localize. The US patchwork’s</w:t>
      </w:r>
      <w:r>
        <w:t xml:space="preserve"> </w:t>
      </w:r>
      <w:r>
        <w:t xml:space="preserve">distinctive demand is not substantive but procedural: state-by-state</w:t>
      </w:r>
      <w:r>
        <w:t xml:space="preserve"> </w:t>
      </w:r>
      <w:r>
        <w:t xml:space="preserve">variation in breach notification and consumer-rights mechanics argues for</w:t>
      </w:r>
      <w:r>
        <w:t xml:space="preserve"> </w:t>
      </w:r>
      <w:r>
        <w:t xml:space="preserve">building the rights-response machinery (access, deletion, correction</w:t>
      </w:r>
      <w:r>
        <w:t xml:space="preserve"> </w:t>
      </w:r>
      <w:r>
        <w:t xml:space="preserve">workflows against the registry and custody layers) as configurable</w:t>
      </w:r>
      <w:r>
        <w:t xml:space="preserve"> </w:t>
      </w:r>
      <w:r>
        <w:t xml:space="preserve">plumbing rather than per-statute projects. India’s DPDP adds two specifics</w:t>
      </w:r>
      <w:r>
        <w:t xml:space="preserve"> </w:t>
      </w:r>
      <w:r>
        <w:t xml:space="preserve">with architectural bite: consent-manager interfaces that the residential</w:t>
      </w:r>
      <w:r>
        <w:t xml:space="preserve"> </w:t>
      </w:r>
      <w:r>
        <w:t xml:space="preserve">segment’s onboarding must accommodate, and cross-border transfer rules</w:t>
      </w:r>
      <w:r>
        <w:t xml:space="preserve"> </w:t>
      </w:r>
      <w:r>
        <w:t xml:space="preserve">whose whitelist mechanics remain in motion — one more argument for the</w:t>
      </w:r>
      <w:r>
        <w:t xml:space="preserve"> </w:t>
      </w:r>
      <w:r>
        <w:t xml:space="preserve">already-chosen posture of keeping personal-data-adjacent stores in-country</w:t>
      </w:r>
      <w:r>
        <w:t xml:space="preserve"> </w:t>
      </w:r>
      <w:r>
        <w:t xml:space="preserve">and letting only digests travel.</w:t>
      </w:r>
    </w:p>
    <w:bookmarkStart w:id="26" w:name="when-the-regulator-becomes-a-verifier"/>
    <w:p>
      <w:pPr>
        <w:pStyle w:val="Heading3"/>
      </w:pPr>
      <w:r>
        <w:t xml:space="preserve">10.4.1 When the Regulator Becomes a Verifier</w:t>
      </w:r>
    </w:p>
    <w:p>
      <w:pPr>
        <w:pStyle w:val="FirstParagraph"/>
      </w:pPr>
      <w:r>
        <w:t xml:space="preserve">The interfaces above treat regulators as consumers of reports; the more</w:t>
      </w:r>
      <w:r>
        <w:t xml:space="preserve"> </w:t>
      </w:r>
      <w:r>
        <w:t xml:space="preserve">interesting trajectory, already visible at the edges, is regulators as</w:t>
      </w:r>
      <w:r>
        <w:t xml:space="preserve"> </w:t>
      </w:r>
      <w:r>
        <w:rPr>
          <w:iCs/>
          <w:i/>
        </w:rPr>
        <w:t xml:space="preserve">verifiers</w:t>
      </w:r>
      <w:r>
        <w:t xml:space="preserve"> </w:t>
      </w:r>
      <w:r>
        <w:t xml:space="preserve">— running the Chapter 6 workflow themselves. The mechanics</w:t>
      </w:r>
      <w:r>
        <w:t xml:space="preserve"> </w:t>
      </w:r>
      <w:r>
        <w:t xml:space="preserve">require nothing new: a market-surveillance authority holding a suspect</w:t>
      </w:r>
      <w:r>
        <w:t xml:space="preserve"> </w:t>
      </w:r>
      <w:r>
        <w:t xml:space="preserve">shipment resolves DIDs, checks records against public anchors, and</w:t>
      </w:r>
      <w:r>
        <w:t xml:space="preserve"> </w:t>
      </w:r>
      <w:r>
        <w:t xml:space="preserve">escalates to sampled physical verification exactly as an insurer would;</w:t>
      </w:r>
      <w:r>
        <w:t xml:space="preserve"> </w:t>
      </w:r>
      <w:r>
        <w:t xml:space="preserve">a certificate registry auditing its generation fleet runs Step-1/2</w:t>
      </w:r>
      <w:r>
        <w:t xml:space="preserve"> </w:t>
      </w:r>
      <w:r>
        <w:t xml:space="preserve">continuously as a matter of course; a grid operator’s interconnection</w:t>
      </w:r>
      <w:r>
        <w:t xml:space="preserve"> </w:t>
      </w:r>
      <w:r>
        <w:t xml:space="preserve">office consumes attested configuration state. What changes is</w:t>
      </w:r>
      <w:r>
        <w:t xml:space="preserve"> </w:t>
      </w:r>
      <w:r>
        <w:t xml:space="preserve">institutional, and the governance design anticipates it in three ways.</w:t>
      </w:r>
      <w:r>
        <w:t xml:space="preserve"> </w:t>
      </w:r>
      <w:r>
        <w:rPr>
          <w:iCs/>
          <w:i/>
        </w:rPr>
        <w:t xml:space="preserve">Observer seats</w:t>
      </w:r>
      <w:r>
        <w:t xml:space="preserve"> </w:t>
      </w:r>
      <w:r>
        <w:t xml:space="preserve">(Section 10.3) build the familiarity that precedes</w:t>
      </w:r>
      <w:r>
        <w:t xml:space="preserve"> </w:t>
      </w:r>
      <w:r>
        <w:t xml:space="preserve">reliance — a regulator that has watched the governance calendar for two</w:t>
      </w:r>
      <w:r>
        <w:t xml:space="preserve"> </w:t>
      </w:r>
      <w:r>
        <w:t xml:space="preserve">years trusts the register it then cites.</w:t>
      </w:r>
      <w:r>
        <w:t xml:space="preserve"> </w:t>
      </w:r>
      <w:r>
        <w:rPr>
          <w:iCs/>
          <w:i/>
        </w:rPr>
        <w:t xml:space="preserve">Verification without</w:t>
      </w:r>
      <w:r>
        <w:rPr>
          <w:iCs/>
          <w:i/>
        </w:rPr>
        <w:t xml:space="preserve"> </w:t>
      </w:r>
      <w:r>
        <w:rPr>
          <w:iCs/>
          <w:i/>
        </w:rPr>
        <w:t xml:space="preserve">membership</w:t>
      </w:r>
      <w:r>
        <w:t xml:space="preserve"> </w:t>
      </w:r>
      <w:r>
        <w:t xml:space="preserve">(Chapter 2’s read-permission design) means reliance never</w:t>
      </w:r>
      <w:r>
        <w:t xml:space="preserve"> </w:t>
      </w:r>
      <w:r>
        <w:t xml:space="preserve">requires the regulator to join, fund, or endorse the consortium — the</w:t>
      </w:r>
      <w:r>
        <w:t xml:space="preserve"> </w:t>
      </w:r>
      <w:r>
        <w:t xml:space="preserve">independence that public bodies rightly protect is preserved by the same</w:t>
      </w:r>
      <w:r>
        <w:t xml:space="preserve"> </w:t>
      </w:r>
      <w:r>
        <w:t xml:space="preserve">proof machinery that protects everyone else. And</w:t>
      </w:r>
      <w:r>
        <w:t xml:space="preserve"> </w:t>
      </w:r>
      <w:r>
        <w:rPr>
          <w:iCs/>
          <w:i/>
        </w:rPr>
        <w:t xml:space="preserve">evidence-grade</w:t>
      </w:r>
      <w:r>
        <w:rPr>
          <w:iCs/>
          <w:i/>
        </w:rPr>
        <w:t xml:space="preserve"> </w:t>
      </w:r>
      <w:r>
        <w:rPr>
          <w:iCs/>
          <w:i/>
        </w:rPr>
        <w:t xml:space="preserve">transparency reports</w:t>
      </w:r>
      <w:r>
        <w:t xml:space="preserve"> </w:t>
      </w:r>
      <w:r>
        <w:t xml:space="preserve">give legislators and courts the aggregate integrity</w:t>
      </w:r>
      <w:r>
        <w:t xml:space="preserve"> </w:t>
      </w:r>
      <w:r>
        <w:t xml:space="preserve">statistics (verification volumes, anomaly rates, migration coverage) on</w:t>
      </w:r>
      <w:r>
        <w:t xml:space="preserve"> </w:t>
      </w:r>
      <w:r>
        <w:t xml:space="preserve">which regulatory reliance can be publicly justified. The endgame — visible</w:t>
      </w:r>
      <w:r>
        <w:t xml:space="preserve"> </w:t>
      </w:r>
      <w:r>
        <w:t xml:space="preserve">in how e-invoicing regimes, customs single-windows, and financial trade</w:t>
      </w:r>
      <w:r>
        <w:t xml:space="preserve"> </w:t>
      </w:r>
      <w:r>
        <w:t xml:space="preserve">repositories evolved — is regulation that</w:t>
      </w:r>
      <w:r>
        <w:t xml:space="preserve"> </w:t>
      </w:r>
      <w:r>
        <w:rPr>
          <w:iCs/>
          <w:i/>
        </w:rPr>
        <w:t xml:space="preserve">cites</w:t>
      </w:r>
      <w:r>
        <w:t xml:space="preserve"> </w:t>
      </w:r>
      <w:r>
        <w:t xml:space="preserve">the verification</w:t>
      </w:r>
      <w:r>
        <w:t xml:space="preserve"> </w:t>
      </w:r>
      <w:r>
        <w:t xml:space="preserve">standard rather than operating parallel bureaucracy:</w:t>
      </w:r>
      <w:r>
        <w:t xml:space="preserve"> </w:t>
      </w:r>
      <w:r>
        <w:t xml:space="preserve">“</w:t>
      </w:r>
      <w:r>
        <w:t xml:space="preserve">records verifiable</w:t>
      </w:r>
      <w:r>
        <w:t xml:space="preserve"> </w:t>
      </w:r>
      <w:r>
        <w:t xml:space="preserve">per [the standard of Chapter 14’s S5]</w:t>
      </w:r>
      <w:r>
        <w:t xml:space="preserve">”</w:t>
      </w:r>
      <w:r>
        <w:t xml:space="preserve"> </w:t>
      </w:r>
      <w:r>
        <w:t xml:space="preserve">in a delegated act is the four-word</w:t>
      </w:r>
      <w:r>
        <w:t xml:space="preserve"> </w:t>
      </w:r>
      <w:r>
        <w:t xml:space="preserve">sentence toward which this entire chapter’s diplomacy points.</w:t>
      </w:r>
    </w:p>
    <w:p>
      <w:pPr>
        <w:pStyle w:val="BodyText"/>
      </w:pPr>
      <w:r>
        <w:rPr>
          <w:bCs/>
          <w:b/>
        </w:rPr>
        <w:t xml:space="preserve">Table 10.3</w:t>
      </w:r>
      <w:r>
        <w:t xml:space="preserve"> </w:t>
      </w:r>
      <w:r>
        <w:t xml:space="preserve">Regulatory interface summary across the three focus jurisdictions.</w:t>
      </w:r>
      <w:r>
        <w:t xml:space="preserve"> </w:t>
      </w:r>
      <w:r>
        <w:t xml:space="preserve">Entries are engineering postures, not legal conclusions.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Reg. 2023/1542 (2027); ESPR delegated acts — PV a named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federal analog; procurement traceability rules (e.g., UFLPA supply-chain evidence) create adjacent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E-waste rules (2022) EPR registration; passport regime plausible via BIS/MoEFCC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Guarantees of origin (Dir. 2018/2001)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RECs / tracking systems (WREGIS, PJM-GATS…)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 mechanism under CERC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code RfG 2016/631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1547 + state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CEA standards; CEA/state DISCOM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(registry + payload zone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patchwork; B2B-dominant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 2023; data-residency posture</w:t>
            </w:r>
          </w:p>
        </w:tc>
      </w:tr>
    </w:tbl>
    <w:p>
      <w:pPr>
        <w:pStyle w:val="BodyText"/>
      </w:pPr>
      <w:r>
        <w:t xml:space="preserve">Reading the table by column rather than row yields the deployment</w:t>
      </w:r>
      <w:r>
        <w:t xml:space="preserve"> </w:t>
      </w:r>
      <w:r>
        <w:t xml:space="preserve">sequencing insight: the EU column is the densest because the EU legislates</w:t>
      </w:r>
      <w:r>
        <w:t xml:space="preserve"> </w:t>
      </w:r>
      <w:r>
        <w:t xml:space="preserve">records; a European federation therefore leads with the passport and GO</w:t>
      </w:r>
      <w:r>
        <w:t xml:space="preserve"> </w:t>
      </w:r>
      <w:r>
        <w:t xml:space="preserve">interfaces and inherits data-protection discipline as table stakes. The US</w:t>
      </w:r>
      <w:r>
        <w:t xml:space="preserve"> </w:t>
      </w:r>
      <w:r>
        <w:t xml:space="preserve">column’s demand arrives through procurement and customs (UFLPA evidence,</w:t>
      </w:r>
      <w:r>
        <w:t xml:space="preserve"> </w:t>
      </w:r>
      <w:r>
        <w:t xml:space="preserve">utility interconnection paperwork) rather than through product law, so an</w:t>
      </w:r>
      <w:r>
        <w:t xml:space="preserve"> </w:t>
      </w:r>
      <w:r>
        <w:t xml:space="preserve">American deployment leads with the supply-chain bundle and the DSO</w:t>
      </w:r>
      <w:r>
        <w:t xml:space="preserve"> </w:t>
      </w:r>
      <w:r>
        <w:t xml:space="preserve">interface, and treats passports as an export requirement for</w:t>
      </w:r>
      <w:r>
        <w:t xml:space="preserve"> </w:t>
      </w:r>
      <w:r>
        <w:t xml:space="preserve">Europe-bound product. India’s column is the youngest and, for that</w:t>
      </w:r>
      <w:r>
        <w:t xml:space="preserve"> </w:t>
      </w:r>
      <w:r>
        <w:t xml:space="preserve">reason, the most shapeable: the EPR and REC interfaces exist, the</w:t>
      </w:r>
      <w:r>
        <w:t xml:space="preserve"> </w:t>
      </w:r>
      <w:r>
        <w:t xml:space="preserve">passport analog is a policy window rather than a statute, and the</w:t>
      </w:r>
      <w:r>
        <w:t xml:space="preserve"> </w:t>
      </w:r>
      <w:r>
        <w:t xml:space="preserve">practical play is ensuring Indian manufacturing’s enrollment</w:t>
      </w:r>
      <w:r>
        <w:t xml:space="preserve"> </w:t>
      </w:r>
      <w:r>
        <w:t xml:space="preserve">infrastructure is passport-ready for its export markets while the</w:t>
      </w:r>
      <w:r>
        <w:t xml:space="preserve"> </w:t>
      </w:r>
      <w:r>
        <w:t xml:space="preserve">domestic regime matures. One architecture, three go-to-market sequences —</w:t>
      </w:r>
      <w:r>
        <w:t xml:space="preserve"> </w:t>
      </w:r>
      <w:r>
        <w:t xml:space="preserve">which is the federated topology earning its keep a third time.</w:t>
      </w:r>
    </w:p>
    <w:bookmarkEnd w:id="26"/>
    <w:bookmarkEnd w:id="27"/>
    <w:bookmarkStart w:id="28" w:name="the-consortium-agreement-annotated"/>
    <w:p>
      <w:pPr>
        <w:pStyle w:val="Heading2"/>
      </w:pPr>
      <w:r>
        <w:t xml:space="preserve">10.5 The Consortium Agreement, Annotated</w:t>
      </w:r>
    </w:p>
    <w:p>
      <w:pPr>
        <w:pStyle w:val="FirstParagraph"/>
      </w:pPr>
      <w:r>
        <w:t xml:space="preserve">The chapter’s threads — privacy zones, governance authorities, regulatory</w:t>
      </w:r>
      <w:r>
        <w:t xml:space="preserve"> </w:t>
      </w:r>
      <w:r>
        <w:t xml:space="preserve">interfaces — all terminate in one legal instrument, and a book that has</w:t>
      </w:r>
      <w:r>
        <w:t xml:space="preserve"> </w:t>
      </w:r>
      <w:r>
        <w:t xml:space="preserve">repeatedly called the consortium agreement the system’s real foundation</w:t>
      </w:r>
      <w:r>
        <w:t xml:space="preserve"> </w:t>
      </w:r>
      <w:r>
        <w:t xml:space="preserve">owes the reader its table of contents, annotated with where each clause’s</w:t>
      </w:r>
      <w:r>
        <w:t xml:space="preserve"> </w:t>
      </w:r>
      <w:r>
        <w:t xml:space="preserve">engineering lives. Treat what follows as a drafting checklist rather than</w:t>
      </w:r>
      <w:r>
        <w:t xml:space="preserve"> </w:t>
      </w:r>
      <w:r>
        <w:t xml:space="preserve">a form: jurisdictions, member mixes, and regulatory postures will vary</w:t>
      </w:r>
      <w:r>
        <w:t xml:space="preserve"> </w:t>
      </w:r>
      <w:r>
        <w:t xml:space="preserve">every clause’s text, but a consortium whose agreement lacks any of these</w:t>
      </w:r>
      <w:r>
        <w:t xml:space="preserve"> </w:t>
      </w:r>
      <w:r>
        <w:t xml:space="preserve">sections has left a named hole that some future incident will find.</w:t>
      </w:r>
    </w:p>
    <w:p>
      <w:pPr>
        <w:pStyle w:val="BodyText"/>
      </w:pPr>
      <w:r>
        <w:rPr>
          <w:bCs/>
          <w:b/>
        </w:rPr>
        <w:t xml:space="preserve">Parties, purpose, and the pre-competitive covenant</w:t>
      </w:r>
      <w:r>
        <w:t xml:space="preserve"> </w:t>
      </w:r>
      <w:r>
        <w:t xml:space="preserve">(Section 2.4’s</w:t>
      </w:r>
      <w:r>
        <w:t xml:space="preserve"> </w:t>
      </w:r>
      <w:r>
        <w:t xml:space="preserve">lesson): an explicit statement that the shared infrastructure is</w:t>
      </w:r>
      <w:r>
        <w:t xml:space="preserve"> </w:t>
      </w:r>
      <w:r>
        <w:t xml:space="preserve">non-competitive ground, with antitrust counsel’s guardrails — information-</w:t>
      </w:r>
      <w:r>
        <w:t xml:space="preserve"> </w:t>
      </w:r>
      <w:r>
        <w:t xml:space="preserve">exchange rules that the metadata-damping design (Section 10.2) conveniently</w:t>
      </w:r>
      <w:r>
        <w:t xml:space="preserve"> </w:t>
      </w:r>
      <w:r>
        <w:t xml:space="preserve">also serves, since the same aggregation that protects privacy protects</w:t>
      </w:r>
      <w:r>
        <w:t xml:space="preserve"> </w:t>
      </w:r>
      <w:r>
        <w:t xml:space="preserve">against the coordination inferences competition authorities police.</w:t>
      </w:r>
    </w:p>
    <w:p>
      <w:pPr>
        <w:pStyle w:val="BodyText"/>
      </w:pPr>
      <w:r>
        <w:rPr>
          <w:bCs/>
          <w:b/>
        </w:rPr>
        <w:t xml:space="preserve">Membership classes and validator obligations</w:t>
      </w:r>
      <w:r>
        <w:t xml:space="preserve">: admission criteria,</w:t>
      </w:r>
      <w:r>
        <w:t xml:space="preserve"> </w:t>
      </w:r>
      <w:r>
        <w:t xml:space="preserve">composition rules (Section 7.5’s adverse-interest caps), the validator SLA</w:t>
      </w:r>
      <w:r>
        <w:t xml:space="preserve"> </w:t>
      </w:r>
      <w:r>
        <w:t xml:space="preserve">with its liveness metrics and ladder of sanctions, software-diversity</w:t>
      </w:r>
      <w:r>
        <w:t xml:space="preserve"> </w:t>
      </w:r>
      <w:r>
        <w:t xml:space="preserve">duties, and exit mechanics — including the involuntary exit whose</w:t>
      </w:r>
      <w:r>
        <w:t xml:space="preserve"> </w:t>
      </w:r>
      <w:r>
        <w:t xml:space="preserve">choreography Chapter 8’s F11 analysis assumed.</w:t>
      </w:r>
    </w:p>
    <w:p>
      <w:pPr>
        <w:pStyle w:val="BodyText"/>
      </w:pPr>
      <w:r>
        <w:rPr>
          <w:bCs/>
          <w:b/>
        </w:rPr>
        <w:t xml:space="preserve">Roles, accreditation, and audit</w:t>
      </w:r>
      <w:r>
        <w:t xml:space="preserve">: the Section 4.3.2 lifecycle in</w:t>
      </w:r>
      <w:r>
        <w:t xml:space="preserve"> </w:t>
      </w:r>
      <w:r>
        <w:t xml:space="preserve">contractual form — criteria, audit rights and cadences, the sanctions</w:t>
      </w:r>
      <w:r>
        <w:t xml:space="preserve"> </w:t>
      </w:r>
      <w:r>
        <w:t xml:space="preserve">ladder, bonding, succession and insolvency clauses (the F9 estate</w:t>
      </w:r>
      <w:r>
        <w:t xml:space="preserve"> </w:t>
      </w:r>
      <w:r>
        <w:t xml:space="preserve">scenario, pre-answered), and the instrument-accreditation schedule that the</w:t>
      </w:r>
      <w:r>
        <w:t xml:space="preserve"> </w:t>
      </w:r>
      <w:r>
        <w:t xml:space="preserve">pilot’s governance traffic proved to be the working end of the document.</w:t>
      </w:r>
    </w:p>
    <w:p>
      <w:pPr>
        <w:pStyle w:val="BodyText"/>
      </w:pPr>
      <w:r>
        <w:rPr>
          <w:bCs/>
          <w:b/>
        </w:rPr>
        <w:t xml:space="preserve">Data governance</w:t>
      </w:r>
      <w:r>
        <w:t xml:space="preserve">: the Table 10.2 allocations; the three-zone data map as</w:t>
      </w:r>
      <w:r>
        <w:t xml:space="preserve"> </w:t>
      </w:r>
      <w:r>
        <w:t xml:space="preserve">a schedule, with per-payload-class custody policies, retention obligations</w:t>
      </w:r>
      <w:r>
        <w:t xml:space="preserve"> </w:t>
      </w:r>
      <w:r>
        <w:t xml:space="preserve">funded by the endowment mechanics of Section 7.3, escrow release</w:t>
      </w:r>
      <w:r>
        <w:t xml:space="preserve"> </w:t>
      </w:r>
      <w:r>
        <w:t xml:space="preserve">conditions, and the party-registry disclosure triggers with their</w:t>
      </w:r>
      <w:r>
        <w:t xml:space="preserve"> </w:t>
      </w:r>
      <w:r>
        <w:t xml:space="preserve">adjudicator; the data-use covenant binding validators and read-replica</w:t>
      </w:r>
      <w:r>
        <w:t xml:space="preserve"> </w:t>
      </w:r>
      <w:r>
        <w:t xml:space="preserve">operators, with audit rights.</w:t>
      </w:r>
    </w:p>
    <w:p>
      <w:pPr>
        <w:pStyle w:val="BodyText"/>
      </w:pPr>
      <w:r>
        <w:rPr>
          <w:bCs/>
          <w:b/>
        </w:rPr>
        <w:t xml:space="preserve">Schema, algorithm, and platform change control</w:t>
      </w:r>
      <w:r>
        <w:t xml:space="preserve">: the Section 5.8 and</w:t>
      </w:r>
      <w:r>
        <w:t xml:space="preserve"> </w:t>
      </w:r>
      <w:r>
        <w:t xml:space="preserve">9.7 regimes as contract — proposal rights, comment periods, timelocks,</w:t>
      </w:r>
      <w:r>
        <w:t xml:space="preserve"> </w:t>
      </w:r>
      <w:r>
        <w:t xml:space="preserve">conformance-suite obligations, and the re-anchor calendar with its</w:t>
      </w:r>
      <w:r>
        <w:t xml:space="preserve"> </w:t>
      </w:r>
      <w:r>
        <w:t xml:space="preserve">milestone triggers.</w:t>
      </w:r>
    </w:p>
    <w:p>
      <w:pPr>
        <w:pStyle w:val="BodyText"/>
      </w:pPr>
      <w:r>
        <w:rPr>
          <w:bCs/>
          <w:b/>
        </w:rPr>
        <w:t xml:space="preserve">Fees and funding</w:t>
      </w:r>
      <w:r>
        <w:t xml:space="preserve">: Section 7.5.1’s model with indexed schedules,</w:t>
      </w:r>
      <w:r>
        <w:t xml:space="preserve"> </w:t>
      </w:r>
      <w:r>
        <w:t xml:space="preserve">the custody endowment’s governance, and — learned from consortium history —</w:t>
      </w:r>
      <w:r>
        <w:t xml:space="preserve"> </w:t>
      </w:r>
      <w:r>
        <w:t xml:space="preserve">a funding floor that survives any single member’s exit.</w:t>
      </w:r>
    </w:p>
    <w:p>
      <w:pPr>
        <w:pStyle w:val="BodyText"/>
      </w:pPr>
      <w:r>
        <w:rPr>
          <w:bCs/>
          <w:b/>
        </w:rPr>
        <w:t xml:space="preserve">Disputes, liability, and evidence</w:t>
      </w:r>
      <w:r>
        <w:t xml:space="preserve">: the arbitration clause with</w:t>
      </w:r>
      <w:r>
        <w:t xml:space="preserve"> </w:t>
      </w:r>
      <w:r>
        <w:t xml:space="preserve">evidence stipulation; liability allocations among members for system-level</w:t>
      </w:r>
      <w:r>
        <w:t xml:space="preserve"> </w:t>
      </w:r>
      <w:r>
        <w:t xml:space="preserve">failures (custody loss, wrongful revocation); and the limitation that no</w:t>
      </w:r>
      <w:r>
        <w:t xml:space="preserve"> </w:t>
      </w:r>
      <w:r>
        <w:t xml:space="preserve">member warrants the</w:t>
      </w:r>
      <w:r>
        <w:t xml:space="preserve"> </w:t>
      </w:r>
      <w:r>
        <w:rPr>
          <w:iCs/>
          <w:i/>
        </w:rPr>
        <w:t xml:space="preserve">truth</w:t>
      </w:r>
      <w:r>
        <w:t xml:space="preserve"> </w:t>
      </w:r>
      <w:r>
        <w:t xml:space="preserve">of another’s attested claims — the legal</w:t>
      </w:r>
      <w:r>
        <w:t xml:space="preserve"> </w:t>
      </w:r>
      <w:r>
        <w:t xml:space="preserve">echo of garbage-in permanence, which counsel will insist on and the</w:t>
      </w:r>
      <w:r>
        <w:t xml:space="preserve"> </w:t>
      </w:r>
      <w:r>
        <w:t xml:space="preserve">architecture honestly supports.</w:t>
      </w:r>
    </w:p>
    <w:p>
      <w:pPr>
        <w:pStyle w:val="BodyText"/>
      </w:pPr>
      <w:r>
        <w:rPr>
          <w:bCs/>
          <w:b/>
        </w:rPr>
        <w:t xml:space="preserve">Dissolution and continuity</w:t>
      </w:r>
      <w:r>
        <w:t xml:space="preserve">: Section 7.7’s survival kit as obligation —</w:t>
      </w:r>
      <w:r>
        <w:t xml:space="preserve"> </w:t>
      </w:r>
      <w:r>
        <w:t xml:space="preserve">public-layer permanence, custody contracts running to data subjects,</w:t>
      </w:r>
      <w:r>
        <w:t xml:space="preserve"> </w:t>
      </w:r>
      <w:r>
        <w:t xml:space="preserve">archive handover mechanics, and successor-designation procedures. The</w:t>
      </w:r>
      <w:r>
        <w:t xml:space="preserve"> </w:t>
      </w:r>
      <w:r>
        <w:t xml:space="preserve">clause nobody expects to use, drafted because Chapter 1’s whole argument</w:t>
      </w:r>
      <w:r>
        <w:t xml:space="preserve"> </w:t>
      </w:r>
      <w:r>
        <w:t xml:space="preserve">is that institutions are mortal and records should not be; the drafting</w:t>
      </w:r>
      <w:r>
        <w:t xml:space="preserve"> </w:t>
      </w:r>
      <w:r>
        <w:t xml:space="preserve">session for this clause is also, in the pilot’s experience, the meeting at</w:t>
      </w:r>
      <w:r>
        <w:t xml:space="preserve"> </w:t>
      </w:r>
      <w:r>
        <w:t xml:space="preserve">which the members finally understood what they were building.</w:t>
      </w:r>
    </w:p>
    <w:p>
      <w:pPr>
        <w:pStyle w:val="BodyText"/>
      </w:pPr>
      <w:r>
        <w:t xml:space="preserve">None of this drafting is exotic; every clause has precedents in payment</w:t>
      </w:r>
      <w:r>
        <w:t xml:space="preserve"> </w:t>
      </w:r>
      <w:r>
        <w:t xml:space="preserve">consortia, standards bodies, and industry data pools. What is distinctive</w:t>
      </w:r>
      <w:r>
        <w:t xml:space="preserve"> </w:t>
      </w:r>
      <w:r>
        <w:t xml:space="preserve">is only the discipline of writing the agreement</w:t>
      </w:r>
      <w:r>
        <w:t xml:space="preserve"> </w:t>
      </w:r>
      <w:r>
        <w:rPr>
          <w:iCs/>
          <w:i/>
        </w:rPr>
        <w:t xml:space="preserve">against the</w:t>
      </w:r>
      <w:r>
        <w:rPr>
          <w:iCs/>
          <w:i/>
        </w:rPr>
        <w:t xml:space="preserve"> </w:t>
      </w:r>
      <w:r>
        <w:rPr>
          <w:iCs/>
          <w:i/>
        </w:rPr>
        <w:t xml:space="preserve">architecture</w:t>
      </w:r>
      <w:r>
        <w:t xml:space="preserve"> </w:t>
      </w:r>
      <w:r>
        <w:t xml:space="preserve">— each clause naming the mechanism that enforces it and each</w:t>
      </w:r>
      <w:r>
        <w:t xml:space="preserve"> </w:t>
      </w:r>
      <w:r>
        <w:t xml:space="preserve">mechanism backed by a clause — so that the lawyers and the engineers are,</w:t>
      </w:r>
      <w:r>
        <w:t xml:space="preserve"> </w:t>
      </w:r>
      <w:r>
        <w:t xml:space="preserve">for once, describing the same system.</w:t>
      </w:r>
    </w:p>
    <w:p>
      <w:pPr>
        <w:pStyle w:val="BodyText"/>
      </w:pPr>
      <w:r>
        <w:t xml:space="preserve">Amendment mechanics deserve the final word, because a thirty-year</w:t>
      </w:r>
      <w:r>
        <w:t xml:space="preserve"> </w:t>
      </w:r>
      <w:r>
        <w:t xml:space="preserve">agreement will be amended more times than it will be read. The instrument</w:t>
      </w:r>
      <w:r>
        <w:t xml:space="preserve"> </w:t>
      </w:r>
      <w:r>
        <w:t xml:space="preserve">should version itself the way the schema does (Section 5.8): amendments by</w:t>
      </w:r>
      <w:r>
        <w:t xml:space="preserve"> </w:t>
      </w:r>
      <w:r>
        <w:t xml:space="preserve">class (technical schedules at committee cadence, constitutional clauses at</w:t>
      </w:r>
      <w:r>
        <w:t xml:space="preserve"> </w:t>
      </w:r>
      <w:r>
        <w:t xml:space="preserve">supermajority-plus-timelock), every version’s digest committed into the</w:t>
      </w:r>
      <w:r>
        <w:t xml:space="preserve"> </w:t>
      </w:r>
      <w:r>
        <w:t xml:space="preserve">governance state that anchors publicly, and — the clause that pays off in</w:t>
      </w:r>
      <w:r>
        <w:t xml:space="preserve"> </w:t>
      </w:r>
      <w:r>
        <w:t xml:space="preserve">year nineteen — an interpretation provision that questions about a past</w:t>
      </w:r>
      <w:r>
        <w:t xml:space="preserve"> </w:t>
      </w:r>
      <w:r>
        <w:t xml:space="preserve">act are answered against the agreement version</w:t>
      </w:r>
      <w:r>
        <w:t xml:space="preserve"> </w:t>
      </w:r>
      <w:r>
        <w:rPr>
          <w:iCs/>
          <w:i/>
        </w:rPr>
        <w:t xml:space="preserve">in force at the time</w:t>
      </w:r>
      <w:r>
        <w:t xml:space="preserve">.</w:t>
      </w:r>
      <w:r>
        <w:t xml:space="preserve"> </w:t>
      </w:r>
      <w:r>
        <w:t xml:space="preserve">The reader will recognize this as pattern P2 for lawyers, which is exactly</w:t>
      </w:r>
      <w:r>
        <w:t xml:space="preserve"> </w:t>
      </w:r>
      <w:r>
        <w:t xml:space="preserve">what it is: the whole chapter has been one long exercise in giving</w:t>
      </w:r>
      <w:r>
        <w:t xml:space="preserve"> </w:t>
      </w:r>
      <w:r>
        <w:t xml:space="preserve">institutional facts the same time-contextual verifiability the</w:t>
      </w:r>
      <w:r>
        <w:t xml:space="preserve"> </w:t>
      </w:r>
      <w:r>
        <w:t xml:space="preserve">cryptographic ones already had.</w:t>
      </w:r>
    </w:p>
    <w:bookmarkEnd w:id="28"/>
    <w:bookmarkStart w:id="29" w:name="chapter-summary"/>
    <w:p>
      <w:pPr>
        <w:pStyle w:val="Heading2"/>
      </w:pPr>
      <w:r>
        <w:t xml:space="preserve">10.6 Chapter Summary</w:t>
      </w:r>
    </w:p>
    <w:p>
      <w:pPr>
        <w:pStyle w:val="FirstParagraph"/>
      </w:pPr>
      <w:r>
        <w:t xml:space="preserve">The ledger records objects, but its shadows fall on people and enterprises, so the</w:t>
      </w:r>
      <w:r>
        <w:t xml:space="preserve"> </w:t>
      </w:r>
      <w:r>
        <w:t xml:space="preserve">architecture separates three zones — public anchors and aggregates, a consortium</w:t>
      </w:r>
      <w:r>
        <w:t xml:space="preserve"> </w:t>
      </w:r>
      <w:r>
        <w:t xml:space="preserve">envelope layer naming only asset and role DIDs, and controlled custody where</w:t>
      </w:r>
      <w:r>
        <w:t xml:space="preserve"> </w:t>
      </w:r>
      <w:r>
        <w:t xml:space="preserve">payloads and the party registry live — with evidential references flowing one way,</w:t>
      </w:r>
      <w:r>
        <w:t xml:space="preserve"> </w:t>
      </w:r>
      <w:r>
        <w:t xml:space="preserve">identity resolution gated the other, and the crossing rules enforced at</w:t>
      </w:r>
      <w:r>
        <w:t xml:space="preserve"> </w:t>
      </w:r>
      <w:r>
        <w:t xml:space="preserve">write time rather than by policy memo. The personal cluster (one row of the</w:t>
      </w:r>
      <w:r>
        <w:t xml:space="preserve"> </w:t>
      </w:r>
      <w:r>
        <w:t xml:space="preserve">exposure inventory, the strictest law) gets minimization and operable</w:t>
      </w:r>
      <w:r>
        <w:t xml:space="preserve"> </w:t>
      </w:r>
      <w:r>
        <w:t xml:space="preserve">rights; the commercial cluster (every other row) gets controlled sharing</w:t>
      </w:r>
      <w:r>
        <w:t xml:space="preserve"> </w:t>
      </w:r>
      <w:r>
        <w:t xml:space="preserve">through scoped role DIDs, metadata damping, threshold aggregation, and the</w:t>
      </w:r>
      <w:r>
        <w:t xml:space="preserve"> </w:t>
      </w:r>
      <w:r>
        <w:t xml:space="preserve">selective-disclosure bundles that let a seller prove properties without</w:t>
      </w:r>
      <w:r>
        <w:t xml:space="preserve"> </w:t>
      </w:r>
      <w:r>
        <w:t xml:space="preserve">surrendering payloads. Erasure and rectification obligations</w:t>
      </w:r>
      <w:r>
        <w:t xml:space="preserve"> </w:t>
      </w:r>
      <w:r>
        <w:t xml:space="preserve">land in the registry and custody zones, where they are satisfiable, not on the</w:t>
      </w:r>
      <w:r>
        <w:t xml:space="preserve"> </w:t>
      </w:r>
      <w:r>
        <w:t xml:space="preserve">chain, where they are not — and</w:t>
      </w:r>
      <w:r>
        <w:t xml:space="preserve"> </w:t>
      </w:r>
      <w:r>
        <w:t xml:space="preserve">“</w:t>
      </w:r>
      <w:r>
        <w:t xml:space="preserve">the blockchain made me unable to comply</w:t>
      </w:r>
      <w:r>
        <w:t xml:space="preserve">”</w:t>
      </w:r>
      <w:r>
        <w:t xml:space="preserve"> </w:t>
      </w:r>
      <w:r>
        <w:t xml:space="preserve">is a design confession, not a defense. Governance is a written allocation of the</w:t>
      </w:r>
      <w:r>
        <w:t xml:space="preserve"> </w:t>
      </w:r>
      <w:r>
        <w:t xml:space="preserve">recurring authorities — with composition rules that keep blame-allocating</w:t>
      </w:r>
      <w:r>
        <w:t xml:space="preserve"> </w:t>
      </w:r>
      <w:r>
        <w:t xml:space="preserve">committees clean and cost-allocating committees representative, clocks that</w:t>
      </w:r>
      <w:r>
        <w:t xml:space="preserve"> </w:t>
      </w:r>
      <w:r>
        <w:t xml:space="preserve">make stalling a choice, sanction ladders that make rules enforceable, and</w:t>
      </w:r>
      <w:r>
        <w:t xml:space="preserve"> </w:t>
      </w:r>
      <w:r>
        <w:t xml:space="preserve">the warning that operational centralization of</w:t>
      </w:r>
      <w:r>
        <w:t xml:space="preserve"> </w:t>
      </w:r>
      <w:r>
        <w:t xml:space="preserve">off-chain components quietly repeals whatever the consortium agreement</w:t>
      </w:r>
      <w:r>
        <w:t xml:space="preserve"> </w:t>
      </w:r>
      <w:r>
        <w:t xml:space="preserve">proclaims; the agreement itself, annotated in Section 10.5, is where every</w:t>
      </w:r>
      <w:r>
        <w:t xml:space="preserve"> </w:t>
      </w:r>
      <w:r>
        <w:t xml:space="preserve">mechanism in this book acquires a signature.</w:t>
      </w:r>
      <w:r>
        <w:t xml:space="preserve"> </w:t>
      </w:r>
      <w:r>
        <w:t xml:space="preserve">Regulation, far from being the compliance tax on this architecture, is becoming</w:t>
      </w:r>
      <w:r>
        <w:t xml:space="preserve"> </w:t>
      </w:r>
      <w:r>
        <w:t xml:space="preserve">its demand curve: battery passports and the ESPR are mandating per-unit lifecycle</w:t>
      </w:r>
      <w:r>
        <w:t xml:space="preserve"> </w:t>
      </w:r>
      <w:r>
        <w:t xml:space="preserve">records in law while stopping short of the binding and attestation that</w:t>
      </w:r>
      <w:r>
        <w:t xml:space="preserve"> </w:t>
      </w:r>
      <w:r>
        <w:t xml:space="preserve">make records evidence; supply-chain integrity regimes are already paying</w:t>
      </w:r>
      <w:r>
        <w:t xml:space="preserve"> </w:t>
      </w:r>
      <w:r>
        <w:t xml:space="preserve">documentary costs this architecture halves; certificate schemes need an</w:t>
      </w:r>
      <w:r>
        <w:t xml:space="preserve"> </w:t>
      </w:r>
      <w:r>
        <w:t xml:space="preserve">equipment truth layer against four named fraud patterns; grid codes are</w:t>
      </w:r>
      <w:r>
        <w:t xml:space="preserve"> </w:t>
      </w:r>
      <w:r>
        <w:t xml:space="preserve">paperwork awaiting the live, attested configuration state the schema</w:t>
      </w:r>
      <w:r>
        <w:t xml:space="preserve"> </w:t>
      </w:r>
      <w:r>
        <w:t xml:space="preserve">already carries; and data-protection regimes in all</w:t>
      </w:r>
      <w:r>
        <w:t xml:space="preserve"> </w:t>
      </w:r>
      <w:r>
        <w:t xml:space="preserve">three focus jurisdictions reward the federated topology the scalability analysis</w:t>
      </w:r>
      <w:r>
        <w:t xml:space="preserve"> </w:t>
      </w:r>
      <w:r>
        <w:t xml:space="preserve">already chose — while the longer arc bends toward regulators as verifiers,</w:t>
      </w:r>
      <w:r>
        <w:t xml:space="preserve"> </w:t>
      </w:r>
      <w:r>
        <w:t xml:space="preserve">consuming proofs rather than reports. The framework is now complete in</w:t>
      </w:r>
      <w:r>
        <w:t xml:space="preserve"> </w:t>
      </w:r>
      <w:r>
        <w:t xml:space="preserve">the abstract; Part IV builds it in</w:t>
      </w:r>
      <w:r>
        <w:t xml:space="preserve"> </w:t>
      </w:r>
      <w:r>
        <w:t xml:space="preserve">the concrete, starting with a pilot plant.</w:t>
      </w:r>
    </w:p>
    <w:bookmarkEnd w:id="29"/>
    <w:bookmarkStart w:id="30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2"/>
        </w:numPr>
        <w:pStyle w:val="Compact"/>
      </w:pPr>
      <w:r>
        <w:t xml:space="preserve">Regulation (EU) 2016/679 (General Data Protection Regulation).</w:t>
      </w:r>
      <w:r>
        <w:t xml:space="preserve"> </w:t>
      </w:r>
      <w:r>
        <w:rPr>
          <w:iCs/>
          <w:i/>
        </w:rPr>
        <w:t xml:space="preserve">Official</w:t>
      </w:r>
      <w:r>
        <w:rPr>
          <w:iCs/>
          <w:i/>
        </w:rPr>
        <w:t xml:space="preserve"> </w:t>
      </w:r>
      <w:r>
        <w:rPr>
          <w:iCs/>
          <w:i/>
        </w:rPr>
        <w:t xml:space="preserve">Journal of the European Union</w:t>
      </w:r>
      <w:r>
        <w:t xml:space="preserve">, 2016.</w:t>
      </w:r>
    </w:p>
    <w:p>
      <w:pPr>
        <w:numPr>
          <w:ilvl w:val="0"/>
          <w:numId w:val="1002"/>
        </w:numPr>
        <w:pStyle w:val="Compact"/>
      </w:pPr>
      <w:r>
        <w:t xml:space="preserve">European Parliament.</w:t>
      </w:r>
      <w:r>
        <w:t xml:space="preserve"> </w:t>
      </w:r>
      <w:r>
        <w:rPr>
          <w:iCs/>
          <w:i/>
        </w:rPr>
        <w:t xml:space="preserve">Blockchain and the General Data Protection Regulation:</w:t>
      </w:r>
      <w:r>
        <w:rPr>
          <w:iCs/>
          <w:i/>
        </w:rPr>
        <w:t xml:space="preserve"> </w:t>
      </w:r>
      <w:r>
        <w:rPr>
          <w:iCs/>
          <w:i/>
        </w:rPr>
        <w:t xml:space="preserve">Can Distributed Ledgers Be Squared with European Data Protection Law?</w:t>
      </w:r>
      <w:r>
        <w:t xml:space="preserve"> </w:t>
      </w:r>
      <w:r>
        <w:t xml:space="preserve">Study</w:t>
      </w:r>
      <w:r>
        <w:t xml:space="preserve"> </w:t>
      </w:r>
      <w:r>
        <w:t xml:space="preserve">PE 634.445, European Parliamentary Research Service, 2019.</w:t>
      </w:r>
    </w:p>
    <w:p>
      <w:pPr>
        <w:numPr>
          <w:ilvl w:val="0"/>
          <w:numId w:val="1002"/>
        </w:numPr>
        <w:pStyle w:val="Compact"/>
      </w:pPr>
      <w:r>
        <w:t xml:space="preserve">Regulation (EU) 2023/1542 concerning batteries and waste batteries.</w:t>
      </w:r>
      <w:r>
        <w:t xml:space="preserve"> </w:t>
      </w:r>
      <w:r>
        <w:rPr>
          <w:iCs/>
          <w:i/>
        </w:rPr>
        <w:t xml:space="preserve">Official</w:t>
      </w:r>
      <w:r>
        <w:rPr>
          <w:iCs/>
          <w:i/>
        </w:rPr>
        <w:t xml:space="preserve"> </w:t>
      </w:r>
      <w:r>
        <w:rPr>
          <w:iCs/>
          <w:i/>
        </w:rPr>
        <w:t xml:space="preserve">Journal of the European Union</w:t>
      </w:r>
      <w:r>
        <w:t xml:space="preserve">, 2023.</w:t>
      </w:r>
    </w:p>
    <w:p>
      <w:pPr>
        <w:numPr>
          <w:ilvl w:val="0"/>
          <w:numId w:val="1002"/>
        </w:numPr>
        <w:pStyle w:val="Compact"/>
      </w:pPr>
      <w:r>
        <w:t xml:space="preserve">Regulation (EU) 2024/1781 establishing a framework for ecodesign requirements</w:t>
      </w:r>
      <w:r>
        <w:t xml:space="preserve"> </w:t>
      </w:r>
      <w:r>
        <w:t xml:space="preserve">for sustainable products (ESPR).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Directive (EU) 2018/2001 on the promotion of the use of energy from renewable</w:t>
      </w:r>
      <w:r>
        <w:t xml:space="preserve"> </w:t>
      </w:r>
      <w:r>
        <w:t xml:space="preserve">sources (guarantees of origin, Art. 19).</w:t>
      </w:r>
      <w:r>
        <w:t xml:space="preserve"> </w:t>
      </w:r>
      <w:r>
        <w:rPr>
          <w:iCs/>
          <w:i/>
        </w:rPr>
        <w:t xml:space="preserve">Official Journal of the European</w:t>
      </w:r>
      <w:r>
        <w:rPr>
          <w:iCs/>
          <w:i/>
        </w:rPr>
        <w:t xml:space="preserve"> </w:t>
      </w:r>
      <w:r>
        <w:rPr>
          <w:iCs/>
          <w:i/>
        </w:rPr>
        <w:t xml:space="preserve">Union</w:t>
      </w:r>
      <w:r>
        <w:t xml:space="preserve">, 2018.</w:t>
      </w:r>
    </w:p>
    <w:p>
      <w:pPr>
        <w:numPr>
          <w:ilvl w:val="0"/>
          <w:numId w:val="1002"/>
        </w:numPr>
        <w:pStyle w:val="Compact"/>
      </w:pPr>
      <w:r>
        <w:t xml:space="preserve">IEEE Standards Association.</w:t>
      </w:r>
      <w:r>
        <w:t xml:space="preserve"> </w:t>
      </w:r>
      <w:r>
        <w:rPr>
          <w:iCs/>
          <w:i/>
        </w:rPr>
        <w:t xml:space="preserve">IEEE 1547-2018: Standard for Interconnection and</w:t>
      </w:r>
      <w:r>
        <w:rPr>
          <w:iCs/>
          <w:i/>
        </w:rPr>
        <w:t xml:space="preserve"> </w:t>
      </w:r>
      <w:r>
        <w:rPr>
          <w:iCs/>
          <w:i/>
        </w:rPr>
        <w:t xml:space="preserve">Interoperability of Distributed Energy Resources.</w:t>
      </w:r>
      <w:r>
        <w:t xml:space="preserve"> </w:t>
      </w:r>
      <w:r>
        <w:t xml:space="preserve">IEEE, 2018.</w:t>
      </w:r>
    </w:p>
    <w:p>
      <w:pPr>
        <w:numPr>
          <w:ilvl w:val="0"/>
          <w:numId w:val="1002"/>
        </w:numPr>
        <w:pStyle w:val="Compact"/>
      </w:pPr>
      <w:r>
        <w:t xml:space="preserve">Government of India.</w:t>
      </w:r>
      <w:r>
        <w:t xml:space="preserve"> </w:t>
      </w:r>
      <w:r>
        <w:rPr>
          <w:iCs/>
          <w:i/>
        </w:rPr>
        <w:t xml:space="preserve">Digital Personal Data Protection Act, 2023.</w:t>
      </w:r>
      <w:r>
        <w:t xml:space="preserve"> </w:t>
      </w:r>
      <w:r>
        <w:t xml:space="preserve">Gazette of</w:t>
      </w:r>
      <w:r>
        <w:t xml:space="preserve"> </w:t>
      </w:r>
      <w:r>
        <w:t xml:space="preserve">India, 2023.</w:t>
      </w:r>
    </w:p>
    <w:p>
      <w:pPr>
        <w:numPr>
          <w:ilvl w:val="0"/>
          <w:numId w:val="1002"/>
        </w:numPr>
        <w:pStyle w:val="Compact"/>
      </w:pPr>
      <w:r>
        <w:t xml:space="preserve">Finck, M.</w:t>
      </w:r>
      <w:r>
        <w:t xml:space="preserve"> </w:t>
      </w:r>
      <w:r>
        <w:rPr>
          <w:iCs/>
          <w:i/>
        </w:rPr>
        <w:t xml:space="preserve">Blockchain Regulation and Governance in Europe.</w:t>
      </w:r>
      <w:r>
        <w:t xml:space="preserve"> </w:t>
      </w:r>
      <w:r>
        <w:t xml:space="preserve">Cambridge:</w:t>
      </w:r>
      <w:r>
        <w:t xml:space="preserve"> </w:t>
      </w:r>
      <w:r>
        <w:t xml:space="preserve">Cambridge University Press, 2018. The most careful academic treatment of</w:t>
      </w:r>
      <w:r>
        <w:t xml:space="preserve"> </w:t>
      </w:r>
      <w:r>
        <w:t xml:space="preserve">the GDPR/DLT tension Section 10.2 engineers around.</w:t>
      </w:r>
    </w:p>
    <w:p>
      <w:pPr>
        <w:numPr>
          <w:ilvl w:val="0"/>
          <w:numId w:val="1002"/>
        </w:numPr>
        <w:pStyle w:val="Compact"/>
      </w:pPr>
      <w:r>
        <w:t xml:space="preserve">California Civil Code §1798.100 et seq. (CCPA, as amended by CPRA) — the</w:t>
      </w:r>
      <w:r>
        <w:t xml:space="preserve"> </w:t>
      </w:r>
      <w:r>
        <w:t xml:space="preserve">leading edge of the US state patchwork in Table 10.3.</w:t>
      </w:r>
    </w:p>
    <w:p>
      <w:pPr>
        <w:numPr>
          <w:ilvl w:val="0"/>
          <w:numId w:val="1002"/>
        </w:numPr>
        <w:pStyle w:val="Compact"/>
      </w:pPr>
      <w:r>
        <w:t xml:space="preserve">Uyghur Forced Labor Prevention Act, Pub. L. 117-78 (2021), and U.S.</w:t>
      </w:r>
      <w:r>
        <w:t xml:space="preserve"> </w:t>
      </w:r>
      <w:r>
        <w:t xml:space="preserve">Customs and Border Protection operational guidance — the supply-chain</w:t>
      </w:r>
      <w:r>
        <w:t xml:space="preserve"> </w:t>
      </w:r>
      <w:r>
        <w:t xml:space="preserve">evidence regime of Sections 1.4.5 and 10.4.</w:t>
      </w:r>
    </w:p>
    <w:p>
      <w:pPr>
        <w:numPr>
          <w:ilvl w:val="0"/>
          <w:numId w:val="1002"/>
        </w:numPr>
        <w:pStyle w:val="Compact"/>
      </w:pPr>
      <w:r>
        <w:t xml:space="preserve">European Data Protection Board.</w:t>
      </w:r>
      <w:r>
        <w:t xml:space="preserve"> </w:t>
      </w:r>
      <w:r>
        <w:rPr>
          <w:iCs/>
          <w:i/>
        </w:rPr>
        <w:t xml:space="preserve">Guidelines 02/2025 on the processing of</w:t>
      </w:r>
      <w:r>
        <w:rPr>
          <w:iCs/>
          <w:i/>
        </w:rPr>
        <w:t xml:space="preserve"> </w:t>
      </w:r>
      <w:r>
        <w:rPr>
          <w:iCs/>
          <w:i/>
        </w:rPr>
        <w:t xml:space="preserve">personal data through blockchain technologies</w:t>
      </w:r>
      <w:r>
        <w:t xml:space="preserve"> </w:t>
      </w:r>
      <w:r>
        <w:t xml:space="preserve">(and predecessor national</w:t>
      </w:r>
      <w:r>
        <w:t xml:space="preserve"> </w:t>
      </w:r>
      <w:r>
        <w:t xml:space="preserve">guidance). The regulatory reading behind the</w:t>
      </w:r>
      <w:r>
        <w:t xml:space="preserve"> </w:t>
      </w:r>
      <w:r>
        <w:t xml:space="preserve">“</w:t>
      </w:r>
      <w:r>
        <w:t xml:space="preserve">no personal data</w:t>
      </w:r>
      <w:r>
        <w:t xml:space="preserve"> </w:t>
      </w:r>
      <w:r>
        <w:t xml:space="preserve">on-chain</w:t>
      </w:r>
      <w:r>
        <w:t xml:space="preserve">”</w:t>
      </w:r>
      <w:r>
        <w:t xml:space="preserve"> </w:t>
      </w:r>
      <w:r>
        <w:t xml:space="preserve">rule; verify the final adopted text at press time.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024">
    <w:nsid w:val="A99412024"/>
    <w:multiLevelType w:val="multilevel"/>
    <w:lvl w:ilvl="0">
      <w:start w:val="2024"/>
      <w:numFmt w:val="decimal"/>
      <w:lvlText w:val="%1."/>
      <w:lvlJc w:val="left"/>
      <w:pPr>
        <w:ind w:left="720" w:hanging="480"/>
      </w:pPr>
    </w:lvl>
    <w:lvl w:ilvl="1">
      <w:start w:val="2024"/>
      <w:numFmt w:val="decimal"/>
      <w:lvlText w:val="%2."/>
      <w:lvlJc w:val="left"/>
      <w:pPr>
        <w:ind w:left="1440" w:hanging="480"/>
      </w:pPr>
    </w:lvl>
    <w:lvl w:ilvl="2">
      <w:start w:val="2024"/>
      <w:numFmt w:val="decimal"/>
      <w:lvlText w:val="%3."/>
      <w:lvlJc w:val="left"/>
      <w:pPr>
        <w:ind w:left="2160" w:hanging="480"/>
      </w:pPr>
    </w:lvl>
    <w:lvl w:ilvl="3">
      <w:start w:val="2024"/>
      <w:numFmt w:val="decimal"/>
      <w:lvlText w:val="%4."/>
      <w:lvlJc w:val="left"/>
      <w:pPr>
        <w:ind w:left="2880" w:hanging="480"/>
      </w:pPr>
    </w:lvl>
    <w:lvl w:ilvl="4">
      <w:start w:val="2024"/>
      <w:numFmt w:val="decimal"/>
      <w:lvlText w:val="%5."/>
      <w:lvlJc w:val="left"/>
      <w:pPr>
        <w:ind w:left="3600" w:hanging="480"/>
      </w:pPr>
    </w:lvl>
    <w:lvl w:ilvl="5">
      <w:start w:val="2024"/>
      <w:numFmt w:val="decimal"/>
      <w:lvlText w:val="%6."/>
      <w:lvlJc w:val="left"/>
      <w:pPr>
        <w:ind w:left="4320" w:hanging="480"/>
      </w:pPr>
    </w:lvl>
    <w:lvl w:ilvl="6">
      <w:start w:val="2024"/>
      <w:numFmt w:val="decimal"/>
      <w:lvlText w:val="%7."/>
      <w:lvlJc w:val="left"/>
      <w:pPr>
        <w:ind w:left="5040" w:hanging="480"/>
      </w:pPr>
    </w:lvl>
    <w:lvl w:ilvl="7">
      <w:start w:val="2024"/>
      <w:numFmt w:val="decimal"/>
      <w:lvlText w:val="%8."/>
      <w:lvlJc w:val="left"/>
      <w:pPr>
        <w:ind w:left="5760" w:hanging="480"/>
      </w:pPr>
    </w:lvl>
    <w:lvl w:ilvl="8">
      <w:start w:val="202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024"/>
    <w:lvlOverride w:ilvl="0">
      <w:startOverride w:val="2024"/>
    </w:lvlOverride>
    <w:lvlOverride w:ilvl="1">
      <w:startOverride w:val="2024"/>
    </w:lvlOverride>
    <w:lvlOverride w:ilvl="2">
      <w:startOverride w:val="2024"/>
    </w:lvlOverride>
    <w:lvlOverride w:ilvl="3">
      <w:startOverride w:val="2024"/>
    </w:lvlOverride>
    <w:lvlOverride w:ilvl="4">
      <w:startOverride w:val="2024"/>
    </w:lvlOverride>
    <w:lvlOverride w:ilvl="5">
      <w:startOverride w:val="2024"/>
    </w:lvlOverride>
    <w:lvlOverride w:ilvl="6">
      <w:startOverride w:val="2024"/>
    </w:lvlOverride>
    <w:lvlOverride w:ilvl="7">
      <w:startOverride w:val="2024"/>
    </w:lvlOverride>
    <w:lvlOverride w:ilvl="8">
      <w:startOverride w:val="20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2026-07-03T09:17:38Z</dcterms:created>
  <dcterms:modified xsi:type="dcterms:W3CDTF">2026-07-03T09:17:38Z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