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8f8c4b0bfb2191094a600dff7ea239b4ef4675d"/>
    <w:p>
      <w:pPr>
        <w:pStyle w:val="Heading1"/>
      </w:pPr>
      <w:r>
        <w:t xml:space="preserve">Extending the Model — Wind, Storage, and Broader IoT Renewable Assets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The framework was developed on solar because solar is the hard case for volume and</w:t>
      </w:r>
      <w:r>
        <w:t xml:space="preserve"> </w:t>
      </w:r>
      <w:r>
        <w:t xml:space="preserve">the module is the hard case for passivity. This chapter tests the framework’s</w:t>
      </w:r>
      <w:r>
        <w:t xml:space="preserve"> </w:t>
      </w:r>
      <w:r>
        <w:t xml:space="preserve">claim to generality: it maps the identity, binding, and lifecycle machinery onto</w:t>
      </w:r>
      <w:r>
        <w:t xml:space="preserve"> </w:t>
      </w:r>
      <w:r>
        <w:t xml:space="preserve">battery storage (where the EU passport regulation makes the exercise mandatory</w:t>
      </w:r>
      <w:r>
        <w:t xml:space="preserve"> </w:t>
      </w:r>
      <w:r>
        <w:t xml:space="preserve">rather than speculative, and where a worked second-life transaction shows</w:t>
      </w:r>
      <w:r>
        <w:t xml:space="preserve"> </w:t>
      </w:r>
      <w:r>
        <w:t xml:space="preserve">the whole apparatus running in its new dialect), wind-turbine components</w:t>
      </w:r>
      <w:r>
        <w:t xml:space="preserve"> </w:t>
      </w:r>
      <w:r>
        <w:t xml:space="preserve">(where unit values are high,</w:t>
      </w:r>
      <w:r>
        <w:t xml:space="preserve"> </w:t>
      </w:r>
      <w:r>
        <w:t xml:space="preserve">provenance disputes are mature, and a blade’s biography exercises the</w:t>
      </w:r>
      <w:r>
        <w:t xml:space="preserve"> </w:t>
      </w:r>
      <w:r>
        <w:t xml:space="preserve">repair loop solar barely has), and the long tail of renewable-adjacent IoT</w:t>
      </w:r>
      <w:r>
        <w:t xml:space="preserve"> </w:t>
      </w:r>
      <w:r>
        <w:t xml:space="preserve">hardware with its firmware problem and its aggregation-layer boundary. The</w:t>
      </w:r>
      <w:r>
        <w:t xml:space="preserve"> </w:t>
      </w:r>
      <w:r>
        <w:t xml:space="preserve">organizing question for each asset class is the same triple the</w:t>
      </w:r>
      <w:r>
        <w:t xml:space="preserve"> </w:t>
      </w:r>
      <w:r>
        <w:t xml:space="preserve">solar chapters answered:</w:t>
      </w:r>
      <w:r>
        <w:t xml:space="preserve"> </w:t>
      </w:r>
      <w:r>
        <w:rPr>
          <w:iCs/>
          <w:i/>
        </w:rPr>
        <w:t xml:space="preserve">what is the unit of identity, what binds it, and which</w:t>
      </w:r>
      <w:r>
        <w:rPr>
          <w:iCs/>
          <w:i/>
        </w:rPr>
        <w:t xml:space="preserve"> </w:t>
      </w:r>
      <w:r>
        <w:rPr>
          <w:iCs/>
          <w:i/>
        </w:rPr>
        <w:t xml:space="preserve">lifecycle events carry the value?</w:t>
      </w:r>
      <w:r>
        <w:t xml:space="preserve"> </w:t>
      </w:r>
      <w:r>
        <w:t xml:space="preserve">— applied under an explicit test</w:t>
      </w:r>
      <w:r>
        <w:t xml:space="preserve"> </w:t>
      </w:r>
      <w:r>
        <w:t xml:space="preserve">discipline that measures every class by the size of its diff against the</w:t>
      </w:r>
      <w:r>
        <w:t xml:space="preserve"> </w:t>
      </w:r>
      <w:r>
        <w:t xml:space="preserve">base framework. The chapter then runs the framework’s edges (hydrogen,</w:t>
      </w:r>
      <w:r>
        <w:t xml:space="preserve"> </w:t>
      </w:r>
      <w:r>
        <w:t xml:space="preserve">flow batteries, grid primary equipment, commodity BOS) to find where it</w:t>
      </w:r>
      <w:r>
        <w:t xml:space="preserve"> </w:t>
      </w:r>
      <w:r>
        <w:t xml:space="preserve">stops paying, and closes with the interoperability</w:t>
      </w:r>
      <w:r>
        <w:t xml:space="preserve"> </w:t>
      </w:r>
      <w:r>
        <w:t xml:space="preserve">problem — across asset classes, vendors, and jurisdictions — which deployment</w:t>
      </w:r>
      <w:r>
        <w:t xml:space="preserve"> </w:t>
      </w:r>
      <w:r>
        <w:t xml:space="preserve">makes unavoidable and which the passport regulations are quietly deciding.</w:t>
      </w:r>
    </w:p>
    <w:bookmarkEnd w:id="20"/>
    <w:bookmarkStart w:id="21" w:name="the-generalization-test"/>
    <w:p>
      <w:pPr>
        <w:pStyle w:val="Heading2"/>
      </w:pPr>
      <w:r>
        <w:t xml:space="preserve">12.1 The Generalization Test</w:t>
      </w:r>
    </w:p>
    <w:p>
      <w:pPr>
        <w:pStyle w:val="FirstParagraph"/>
      </w:pPr>
      <w:r>
        <w:t xml:space="preserve">A framework generalizes if its abstractions carry over while only its</w:t>
      </w:r>
      <w:r>
        <w:t xml:space="preserve"> </w:t>
      </w:r>
      <w:r>
        <w:t xml:space="preserve">parameters change — and the claim must be earned per class, because the</w:t>
      </w:r>
      <w:r>
        <w:t xml:space="preserve"> </w:t>
      </w:r>
      <w:r>
        <w:t xml:space="preserve">graveyard of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architectures is filled with solar systems wearing</w:t>
      </w:r>
      <w:r>
        <w:t xml:space="preserve"> </w:t>
      </w:r>
      <w:r>
        <w:t xml:space="preserve">battery costumes. The candidate abstractions from Parts I–III: the four identity properties</w:t>
      </w:r>
      <w:r>
        <w:t xml:space="preserve"> </w:t>
      </w:r>
      <w:r>
        <w:t xml:space="preserve">(Section 1.2); active-versus-passive binding with the R1–R6 requirements</w:t>
      </w:r>
      <w:r>
        <w:t xml:space="preserve"> </w:t>
      </w:r>
      <w:r>
        <w:t xml:space="preserve">(Sections 3.3–3.4, 6.5); the envelope-plus-state-machine event model (Chapter 5);</w:t>
      </w:r>
      <w:r>
        <w:t xml:space="preserve"> </w:t>
      </w:r>
      <w:r>
        <w:t xml:space="preserve">tiered assurance (Section 6.7); and the three-zone privacy topology (Chapter 10).</w:t>
      </w:r>
      <w:r>
        <w:t xml:space="preserve"> </w:t>
      </w:r>
      <w:r>
        <w:t xml:space="preserve">The claim to be tested class by class:</w:t>
      </w:r>
      <w:r>
        <w:t xml:space="preserve"> </w:t>
      </w:r>
      <w:r>
        <w:rPr>
          <w:bCs/>
          <w:b/>
        </w:rPr>
        <w:t xml:space="preserve">only the binding modality and the event</w:t>
      </w:r>
      <w:r>
        <w:rPr>
          <w:bCs/>
          <w:b/>
        </w:rPr>
        <w:t xml:space="preserve"> </w:t>
      </w:r>
      <w:r>
        <w:rPr>
          <w:bCs/>
          <w:b/>
        </w:rPr>
        <w:t xml:space="preserve">vocabulary’s payload schemas are asset-specific; everything else is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configuration.</w:t>
      </w:r>
      <w:r>
        <w:t xml:space="preserve"> </w:t>
      </w:r>
      <w:r>
        <w:t xml:space="preserve">Table 12.1 previews the result.</w:t>
      </w:r>
    </w:p>
    <w:p>
      <w:pPr>
        <w:pStyle w:val="BodyText"/>
      </w:pPr>
      <w:r>
        <w:t xml:space="preserve">What the solar baseline actually consists of, recapped in one paragraph</w:t>
      </w:r>
      <w:r>
        <w:t xml:space="preserve"> </w:t>
      </w:r>
      <w:r>
        <w:t xml:space="preserve">so this chapter’s diffs have their referent: unit identity at the module</w:t>
      </w:r>
      <w:r>
        <w:t xml:space="preserve"> </w:t>
      </w:r>
      <w:r>
        <w:t xml:space="preserve">with composition downward and aggregation upward (Section 1.2.2, 3.6.1);</w:t>
      </w:r>
      <w:r>
        <w:t xml:space="preserve"> </w:t>
      </w:r>
      <w:r>
        <w:t xml:space="preserve">EL-plus-defect-map passive binding under the challenge protocol for the</w:t>
      </w:r>
      <w:r>
        <w:t xml:space="preserve"> </w:t>
      </w:r>
      <w:r>
        <w:t xml:space="preserve">passive population, secure elements for the active one (Chapters 3, 6);</w:t>
      </w:r>
      <w:r>
        <w:t xml:space="preserve"> </w:t>
      </w:r>
      <w:r>
        <w:t xml:space="preserve">the eighteen-type event vocabulary on the nine-state machine with</w:t>
      </w:r>
      <w:r>
        <w:t xml:space="preserve"> </w:t>
      </w:r>
      <w:r>
        <w:t xml:space="preserve">corroboration classes (Chapter 5); Merkle-batched writes, anchored</w:t>
      </w:r>
      <w:r>
        <w:t xml:space="preserve"> </w:t>
      </w:r>
      <w:r>
        <w:t xml:space="preserve">consortium consensus, replicated custody (Chapters 4, 7); tiered</w:t>
      </w:r>
      <w:r>
        <w:t xml:space="preserve"> </w:t>
      </w:r>
      <w:r>
        <w:t xml:space="preserve">assurance V0–V3 (Section 3.6); three-zone privacy with selective</w:t>
      </w:r>
      <w:r>
        <w:t xml:space="preserve"> </w:t>
      </w:r>
      <w:r>
        <w:t xml:space="preserve">disclosure (Chapter 10); and the governance apparatus of accreditation,</w:t>
      </w:r>
      <w:r>
        <w:t xml:space="preserve"> </w:t>
      </w:r>
      <w:r>
        <w:t xml:space="preserve">registers, and agreements (Chapters 8–10). Every clause of that sentence</w:t>
      </w:r>
      <w:r>
        <w:t xml:space="preserve"> </w:t>
      </w:r>
      <w:r>
        <w:t xml:space="preserve">is about to be stress-tested by an asset that differs from a solar module</w:t>
      </w:r>
      <w:r>
        <w:t xml:space="preserve"> </w:t>
      </w:r>
      <w:r>
        <w:t xml:space="preserve">in some load-bearing way.</w:t>
      </w:r>
    </w:p>
    <w:p>
      <w:pPr>
        <w:pStyle w:val="BodyText"/>
      </w:pPr>
      <w:r>
        <w:t xml:space="preserve">The test’s method deserves a sentence, because generalization claims fail</w:t>
      </w:r>
      <w:r>
        <w:t xml:space="preserve"> </w:t>
      </w:r>
      <w:r>
        <w:t xml:space="preserve">by hand-waving. For each asset class, the chapter answers the organizing</w:t>
      </w:r>
      <w:r>
        <w:t xml:space="preserve"> </w:t>
      </w:r>
      <w:r>
        <w:t xml:space="preserve">triple concretely (unit of identity, binding mechanism against R1–R6,</w:t>
      </w:r>
      <w:r>
        <w:t xml:space="preserve"> </w:t>
      </w:r>
      <w:r>
        <w:t xml:space="preserve">value-bearing events), checks each answer against the class’s economics</w:t>
      </w:r>
      <w:r>
        <w:t xml:space="preserve"> </w:t>
      </w:r>
      <w:r>
        <w:t xml:space="preserve">per Section 1.3’s discipline, and reports the</w:t>
      </w:r>
      <w:r>
        <w:t xml:space="preserve"> </w:t>
      </w:r>
      <w:r>
        <w:rPr>
          <w:iCs/>
          <w:i/>
        </w:rPr>
        <w:t xml:space="preserve">deltas</w:t>
      </w:r>
      <w:r>
        <w:t xml:space="preserve"> </w:t>
      </w:r>
      <w:r>
        <w:t xml:space="preserve">— every place the</w:t>
      </w:r>
      <w:r>
        <w:t xml:space="preserve"> </w:t>
      </w:r>
      <w:r>
        <w:t xml:space="preserve">class forced an addition or an exception — because a framework’s honest</w:t>
      </w:r>
      <w:r>
        <w:t xml:space="preserve"> </w:t>
      </w:r>
      <w:r>
        <w:t xml:space="preserve">measure is the size of its diff, not the enthusiasm of its abstract. The</w:t>
      </w:r>
      <w:r>
        <w:t xml:space="preserve"> </w:t>
      </w:r>
      <w:r>
        <w:t xml:space="preserve">solar chapters’ machinery is taken as the base; a delta that touches only</w:t>
      </w:r>
      <w:r>
        <w:t xml:space="preserve"> </w:t>
      </w:r>
      <w:r>
        <w:t xml:space="preserve">payload schemas and added event types passes; a delta that would touch the</w:t>
      </w:r>
      <w:r>
        <w:t xml:space="preserve"> </w:t>
      </w:r>
      <w:r>
        <w:t xml:space="preserve">envelope, the state machine’s existing transitions, or the verification</w:t>
      </w:r>
      <w:r>
        <w:t xml:space="preserve"> </w:t>
      </w:r>
      <w:r>
        <w:t xml:space="preserve">workflow’s structure fails, and the chapter says so where it happens</w:t>
      </w:r>
      <w:r>
        <w:t xml:space="preserve"> </w:t>
      </w:r>
      <w:r>
        <w:t xml:space="preserve">(cell-level binding being the standing failure). The chapter’s route:</w:t>
      </w:r>
      <w:r>
        <w:t xml:space="preserve"> </w:t>
      </w:r>
      <w:r>
        <w:t xml:space="preserve">batteries first and longest (Section 12.2), because regulation has made</w:t>
      </w:r>
      <w:r>
        <w:t xml:space="preserve"> </w:t>
      </w:r>
      <w:r>
        <w:t xml:space="preserve">them the forcing case; wind (12.3) for the high-value, repair-loop</w:t>
      </w:r>
      <w:r>
        <w:t xml:space="preserve"> </w:t>
      </w:r>
      <w:r>
        <w:t xml:space="preserve">inversion; the IoT tail (12.4) for the firmware dimension; the</w:t>
      </w:r>
      <w:r>
        <w:t xml:space="preserve"> </w:t>
      </w:r>
      <w:r>
        <w:t xml:space="preserve">interoperability problem and its venues (12.5); and the framework’s</w:t>
      </w:r>
      <w:r>
        <w:t xml:space="preserve"> </w:t>
      </w:r>
      <w:r>
        <w:t xml:space="preserve">edges and outward export (12.6), where the honest boundary-drawing</w:t>
      </w:r>
      <w:r>
        <w:t xml:space="preserve"> </w:t>
      </w:r>
      <w:r>
        <w:t xml:space="preserve">lives.</w:t>
      </w:r>
    </w:p>
    <w:p>
      <w:pPr>
        <w:pStyle w:val="BodyText"/>
      </w:pPr>
      <w:r>
        <w:rPr>
          <w:bCs/>
          <w:b/>
        </w:rPr>
        <w:t xml:space="preserve">Table 12.1</w:t>
      </w:r>
      <w:r>
        <w:t xml:space="preserve"> </w:t>
      </w:r>
      <w:r>
        <w:t xml:space="preserve">The framework mapped across asset classes. Bold entries</w:t>
      </w:r>
      <w:r>
        <w:t xml:space="preserve"> </w:t>
      </w:r>
      <w:r>
        <w:t xml:space="preserve">mark the chapter’s two structural findings: the open cell-identity</w:t>
      </w:r>
      <w:r>
        <w:t xml:space="preserve"> </w:t>
      </w:r>
      <w:r>
        <w:t xml:space="preserve">problem and the one asset class whose adoption clock is set by statute.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PV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pack/cell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blade/bearing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Inverter-class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of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(cell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Pack; module;</w:t>
            </w:r>
            <w:r>
              <w:t xml:space="preserve"> </w:t>
            </w:r>
            <w:r>
              <w:rPr>
                <w:bCs/>
                <w:b/>
              </w:rPr>
              <w:t xml:space="preserve">cell is the open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(blade, bearing, gearbox stage)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Passive: defect map / EL (Ch.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at pack (BMS); passive electrochemical at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Passive: material/structural signatures + embedded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Active: secure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Hardest 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resale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life &amp; chemistry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Value-bearing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Commission, condition,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 records, repurposing, recycle (mandated)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Repair/inspection, load-history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Attestation, config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ESPR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 Reg. 2023/1542 —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Type-cert regimes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codes (Ch.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deltas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(the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 payload schemas; repurposing event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Load-milestone events; repair sub-DAG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Config-change events; attestation cadence</w:t>
            </w:r>
          </w:p>
        </w:tc>
      </w:tr>
    </w:tbl>
    <w:p>
      <w:pPr>
        <w:pStyle w:val="BodyText"/>
      </w:pPr>
      <w:r>
        <w:t xml:space="preserve">Reading the table’s rows against each other yields the chapter’s</w:t>
      </w:r>
      <w:r>
        <w:t xml:space="preserve"> </w:t>
      </w:r>
      <w:r>
        <w:t xml:space="preserve">comparative anatomy. The</w:t>
      </w:r>
      <w:r>
        <w:t xml:space="preserve"> </w:t>
      </w:r>
      <w:r>
        <w:rPr>
          <w:iCs/>
          <w:i/>
        </w:rPr>
        <w:t xml:space="preserve">unit of identity</w:t>
      </w:r>
      <w:r>
        <w:t xml:space="preserve"> </w:t>
      </w:r>
      <w:r>
        <w:t xml:space="preserve">row shows the custody-and-</w:t>
      </w:r>
      <w:r>
        <w:t xml:space="preserve"> </w:t>
      </w:r>
      <w:r>
        <w:t xml:space="preserve">liability rule of Section 1.2.2 producing different answers from the same</w:t>
      </w:r>
      <w:r>
        <w:t xml:space="preserve"> </w:t>
      </w:r>
      <w:r>
        <w:t xml:space="preserve">principle — module, pack, component, device — with the open question</w:t>
      </w:r>
      <w:r>
        <w:t xml:space="preserve"> </w:t>
      </w:r>
      <w:r>
        <w:t xml:space="preserve">(cells) flagged rather than fudged. The</w:t>
      </w:r>
      <w:r>
        <w:t xml:space="preserve"> </w:t>
      </w:r>
      <w:r>
        <w:rPr>
          <w:iCs/>
          <w:i/>
        </w:rPr>
        <w:t xml:space="preserve">binding</w:t>
      </w:r>
      <w:r>
        <w:t xml:space="preserve"> </w:t>
      </w:r>
      <w:r>
        <w:t xml:space="preserve">row is the R1–R6</w:t>
      </w:r>
      <w:r>
        <w:t xml:space="preserve"> </w:t>
      </w:r>
      <w:r>
        <w:t xml:space="preserve">requirements meeting four different physics, and its pattern is</w:t>
      </w:r>
      <w:r>
        <w:t xml:space="preserve"> </w:t>
      </w:r>
      <w:r>
        <w:t xml:space="preserve">instructive: binding difficulty tracks passivity and unit economics, not</w:t>
      </w:r>
      <w:r>
        <w:t xml:space="preserve"> </w:t>
      </w:r>
      <w:r>
        <w:t xml:space="preserve">asset sophistication — the humble module remains the hardest case in the</w:t>
      </w:r>
      <w:r>
        <w:t xml:space="preserve"> </w:t>
      </w:r>
      <w:r>
        <w:t xml:space="preserve">book. The</w:t>
      </w:r>
      <w:r>
        <w:t xml:space="preserve"> </w:t>
      </w:r>
      <w:r>
        <w:rPr>
          <w:iCs/>
          <w:i/>
        </w:rPr>
        <w:t xml:space="preserve">hardest-stage</w:t>
      </w:r>
      <w:r>
        <w:t xml:space="preserve"> </w:t>
      </w:r>
      <w:r>
        <w:t xml:space="preserve">row locates each class’s fraud economics where</w:t>
      </w:r>
      <w:r>
        <w:t xml:space="preserve"> </w:t>
      </w:r>
      <w:r>
        <w:t xml:space="preserve">its information asymmetry peaks. And the</w:t>
      </w:r>
      <w:r>
        <w:t xml:space="preserve"> </w:t>
      </w:r>
      <w:r>
        <w:rPr>
          <w:iCs/>
          <w:i/>
        </w:rPr>
        <w:t xml:space="preserve">regulatory driver</w:t>
      </w:r>
      <w:r>
        <w:t xml:space="preserve"> </w:t>
      </w:r>
      <w:r>
        <w:t xml:space="preserve">row explains</w:t>
      </w:r>
      <w:r>
        <w:t xml:space="preserve"> </w:t>
      </w:r>
      <w:r>
        <w:t xml:space="preserve">adoption sequencing better than any technology argument: batteries move</w:t>
      </w:r>
      <w:r>
        <w:t xml:space="preserve"> </w:t>
      </w:r>
      <w:r>
        <w:t xml:space="preserve">first because law moved first.</w:t>
      </w:r>
    </w:p>
    <w:bookmarkEnd w:id="21"/>
    <w:bookmarkStart w:id="22" w:name="battery-storage-the-regulated-case"/>
    <w:p>
      <w:pPr>
        <w:pStyle w:val="Heading2"/>
      </w:pPr>
      <w:r>
        <w:t xml:space="preserve">12.2 Battery Storage: The Regulated Case</w:t>
      </w:r>
    </w:p>
    <w:p>
      <w:pPr>
        <w:pStyle w:val="FirstParagraph"/>
      </w:pPr>
      <w:r>
        <w:t xml:space="preserve">The regulatory context first, since it reorders every priority. The EU</w:t>
      </w:r>
      <w:r>
        <w:t xml:space="preserve"> </w:t>
      </w:r>
      <w:r>
        <w:t xml:space="preserve">Battery Regulation entered into force in 2023 with obligations phasing</w:t>
      </w:r>
      <w:r>
        <w:t xml:space="preserve"> </w:t>
      </w:r>
      <w:r>
        <w:t xml:space="preserve">through the decade: carbon-footprint declarations, due-diligence duties,</w:t>
      </w:r>
      <w:r>
        <w:t xml:space="preserve"> </w:t>
      </w:r>
      <w:r>
        <w:t xml:space="preserve">and — from February 2027 — the digital passport for EV, light-transport,</w:t>
      </w:r>
      <w:r>
        <w:t xml:space="preserve"> </w:t>
      </w:r>
      <w:r>
        <w:t xml:space="preserve">and industrial batteries above 2 kWh, hosted by the economic operator,</w:t>
      </w:r>
      <w:r>
        <w:t xml:space="preserve"> </w:t>
      </w:r>
      <w:r>
        <w:t xml:space="preserve">carried via a unique identifier on the battery, with data obligations</w:t>
      </w:r>
      <w:r>
        <w:t xml:space="preserve"> </w:t>
      </w:r>
      <w:r>
        <w:t xml:space="preserve">running through repurposing and recycling actors to end of life.</w:t>
      </w:r>
      <w:r>
        <w:t xml:space="preserve"> </w:t>
      </w:r>
      <w:r>
        <w:t xml:space="preserve">Analogous frameworks are moving in other jurisdictions at varying speeds,</w:t>
      </w:r>
      <w:r>
        <w:t xml:space="preserve"> </w:t>
      </w:r>
      <w:r>
        <w:t xml:space="preserve">and the global battery industry, being global, will in practice build to</w:t>
      </w:r>
      <w:r>
        <w:t xml:space="preserve"> </w:t>
      </w:r>
      <w:r>
        <w:t xml:space="preserve">the strictest common denominator. For this book the consequence is</w:t>
      </w:r>
      <w:r>
        <w:t xml:space="preserve"> </w:t>
      </w:r>
      <w:r>
        <w:t xml:space="preserve">blunt: the record-keeping argument of Parts I–II is</w:t>
      </w:r>
      <w:r>
        <w:t xml:space="preserve"> </w:t>
      </w:r>
      <w:r>
        <w:rPr>
          <w:iCs/>
          <w:i/>
        </w:rPr>
        <w:t xml:space="preserve">settled by statute</w:t>
      </w:r>
      <w:r>
        <w:t xml:space="preserve"> </w:t>
      </w:r>
      <w:r>
        <w:t xml:space="preserve">for this asset class, and the open question is only whether the mandated</w:t>
      </w:r>
      <w:r>
        <w:t xml:space="preserve"> </w:t>
      </w:r>
      <w:r>
        <w:t xml:space="preserve">records will be worth anything — which is the verification question the</w:t>
      </w:r>
      <w:r>
        <w:t xml:space="preserve"> </w:t>
      </w:r>
      <w:r>
        <w:t xml:space="preserve">architecture answers.</w:t>
      </w:r>
    </w:p>
    <w:p>
      <w:pPr>
        <w:pStyle w:val="BodyText"/>
      </w:pPr>
      <w:r>
        <w:t xml:space="preserve">Batteries invert two solar assumptions, and the inversions are</w:t>
      </w:r>
      <w:r>
        <w:t xml:space="preserve"> </w:t>
      </w:r>
      <w:r>
        <w:t xml:space="preserve">instructive — the first about what the binding can anchor to, the second</w:t>
      </w:r>
      <w:r>
        <w:t xml:space="preserve"> </w:t>
      </w:r>
      <w:r>
        <w:t xml:space="preserve">about which lifecycle paths carry the money.</w:t>
      </w:r>
    </w:p>
    <w:p>
      <w:pPr>
        <w:pStyle w:val="BodyText"/>
      </w:pPr>
      <w:r>
        <w:rPr>
          <w:bCs/>
          <w:b/>
        </w:rPr>
        <w:t xml:space="preserve">The asset is chemically alive.</w:t>
      </w:r>
      <w:r>
        <w:t xml:space="preserve"> </w:t>
      </w:r>
      <w:r>
        <w:t xml:space="preserve">A module’s identity anchor is structure that</w:t>
      </w:r>
      <w:r>
        <w:t xml:space="preserve"> </w:t>
      </w:r>
      <w:r>
        <w:t xml:space="preserve">manufacturing froze; a cell’s electrochemistry evolves by design with every</w:t>
      </w:r>
      <w:r>
        <w:t xml:space="preserve"> </w:t>
      </w:r>
      <w:r>
        <w:t xml:space="preserve">cycle. The stable/condition decomposition of Section 6.3 still applies but the</w:t>
      </w:r>
      <w:r>
        <w:t xml:space="preserve"> </w:t>
      </w:r>
      <w:r>
        <w:t xml:space="preserve">balance shifts: less of the measurable signature is stable, and the</w:t>
      </w:r>
      <w:r>
        <w:t xml:space="preserve"> </w:t>
      </w:r>
      <w:r>
        <w:rPr>
          <w:iCs/>
          <w:i/>
        </w:rPr>
        <w:t xml:space="preserve">condition</w:t>
      </w:r>
      <w:r>
        <w:rPr>
          <w:iCs/>
          <w:i/>
        </w:rPr>
        <w:t xml:space="preserve"> </w:t>
      </w:r>
      <w:r>
        <w:rPr>
          <w:iCs/>
          <w:i/>
        </w:rPr>
        <w:t xml:space="preserve">layer becomes the commercially dominant record</w:t>
      </w:r>
      <w:r>
        <w:t xml:space="preserve"> </w:t>
      </w:r>
      <w:r>
        <w:t xml:space="preserve">— state of health is the price of</w:t>
      </w:r>
      <w:r>
        <w:t xml:space="preserve"> </w:t>
      </w:r>
      <w:r>
        <w:t xml:space="preserve">a used battery. Binding follows Section 3.3 at pack level (the BMS is a computer;</w:t>
      </w:r>
      <w:r>
        <w:t xml:space="preserve"> </w:t>
      </w:r>
      <w:r>
        <w:t xml:space="preserve">secure-element identity is straightforward and increasingly mandated in effect by</w:t>
      </w:r>
      <w:r>
        <w:t xml:space="preserve"> </w:t>
      </w:r>
      <w:r>
        <w:t xml:space="preserve">passport data requirements) — while</w:t>
      </w:r>
      <w:r>
        <w:t xml:space="preserve"> </w:t>
      </w:r>
      <w:r>
        <w:rPr>
          <w:iCs/>
          <w:i/>
        </w:rPr>
        <w:t xml:space="preserve">cell-level</w:t>
      </w:r>
      <w:r>
        <w:t xml:space="preserve"> </w:t>
      </w:r>
      <w:r>
        <w:t xml:space="preserve">identity remains genuinely open:</w:t>
      </w:r>
      <w:r>
        <w:t xml:space="preserve"> </w:t>
      </w:r>
      <w:r>
        <w:t xml:space="preserve">cells are numerous, passive to the outside, and repackaged during refurbishment</w:t>
      </w:r>
      <w:r>
        <w:t xml:space="preserve"> </w:t>
      </w:r>
      <w:r>
        <w:t xml:space="preserve">precisely when identity matters most. Candidate passive anchors (impedance-</w:t>
      </w:r>
      <w:r>
        <w:t xml:space="preserve"> </w:t>
      </w:r>
      <w:r>
        <w:t xml:space="preserve">spectroscopy signatures, formation-process fingerprints) currently fail R2 or R6</w:t>
      </w:r>
      <w:r>
        <w:t xml:space="preserve"> </w:t>
      </w:r>
      <w:r>
        <w:t xml:space="preserve">of Table 6.2, and this book flags rather than solves it (→ Chapter 14). The</w:t>
      </w:r>
      <w:r>
        <w:t xml:space="preserve"> </w:t>
      </w:r>
      <w:r>
        <w:t xml:space="preserve">failure modes are worth one diagnostic sentence each, since they define</w:t>
      </w:r>
      <w:r>
        <w:t xml:space="preserve"> </w:t>
      </w:r>
      <w:r>
        <w:t xml:space="preserve">the research target: impedance signatures carry genuine per-cell</w:t>
      </w:r>
      <w:r>
        <w:t xml:space="preserve"> </w:t>
      </w:r>
      <w:r>
        <w:t xml:space="preserve">individuality (electrode microstructure, electrolyte wetting) but the</w:t>
      </w:r>
      <w:r>
        <w:t xml:space="preserve"> </w:t>
      </w:r>
      <w:r>
        <w:t xml:space="preserve">features drift with exactly the cycling the identity must survive —</w:t>
      </w:r>
      <w:r>
        <w:t xml:space="preserve"> </w:t>
      </w:r>
      <w:r>
        <w:t xml:space="preserve">an R2 failure unless a cycling-invariant subspace can be isolated, which</w:t>
      </w:r>
      <w:r>
        <w:t xml:space="preserve"> </w:t>
      </w:r>
      <w:r>
        <w:t xml:space="preserve">is open problem M4’s precise statement; formation-process fingerprints</w:t>
      </w:r>
      <w:r>
        <w:t xml:space="preserve"> </w:t>
      </w:r>
      <w:r>
        <w:t xml:space="preserve">(the first-cycle voltage traces manufacturers already record) are stable</w:t>
      </w:r>
      <w:r>
        <w:t xml:space="preserve"> </w:t>
      </w:r>
      <w:r>
        <w:rPr>
          <w:iCs/>
          <w:i/>
        </w:rPr>
        <w:t xml:space="preserve">records</w:t>
      </w:r>
      <w:r>
        <w:t xml:space="preserve"> </w:t>
      </w:r>
      <w:r>
        <w:t xml:space="preserve">but not re-measurable</w:t>
      </w:r>
      <w:r>
        <w:t xml:space="preserve"> </w:t>
      </w:r>
      <w:r>
        <w:rPr>
          <w:iCs/>
          <w:i/>
        </w:rPr>
        <w:t xml:space="preserve">properties</w:t>
      </w:r>
      <w:r>
        <w:t xml:space="preserve"> </w:t>
      </w:r>
      <w:r>
        <w:t xml:space="preserve">— verification would compare</w:t>
      </w:r>
      <w:r>
        <w:t xml:space="preserve"> </w:t>
      </w:r>
      <w:r>
        <w:t xml:space="preserve">a stored curve against a stored curve, which authenticates the paperwork,</w:t>
      </w:r>
      <w:r>
        <w:t xml:space="preserve"> </w:t>
      </w:r>
      <w:r>
        <w:t xml:space="preserve">not the cell (the Section 1.2.1 distinction, biting again); and optical</w:t>
      </w:r>
      <w:r>
        <w:t xml:space="preserve"> </w:t>
      </w:r>
      <w:r>
        <w:t xml:space="preserve">or structural approaches face the R6 wall that cells live inside welded</w:t>
      </w:r>
      <w:r>
        <w:t xml:space="preserve"> </w:t>
      </w:r>
      <w:r>
        <w:t xml:space="preserve">packs, measurable only at manufacture and teardown. A modality that</w:t>
      </w:r>
      <w:r>
        <w:t xml:space="preserve"> </w:t>
      </w:r>
      <w:r>
        <w:t xml:space="preserve">survives cycling, re-measures through the pack, and prices at cell</w:t>
      </w:r>
      <w:r>
        <w:t xml:space="preserve"> </w:t>
      </w:r>
      <w:r>
        <w:t xml:space="preserve">economics would close the gap; nothing published does all three. The</w:t>
      </w:r>
      <w:r>
        <w:t xml:space="preserve"> </w:t>
      </w:r>
      <w:r>
        <w:t xml:space="preserve">honest interim: pack-level binding, cell-level</w:t>
      </w:r>
      <w:r>
        <w:t xml:space="preserve"> </w:t>
      </w:r>
      <w:r>
        <w:rPr>
          <w:iCs/>
          <w:i/>
        </w:rPr>
        <w:t xml:space="preserve">composition manifests</w:t>
      </w:r>
      <w:r>
        <w:t xml:space="preserve"> </w:t>
      </w:r>
      <w:r>
        <w:t xml:space="preserve">committed</w:t>
      </w:r>
      <w:r>
        <w:t xml:space="preserve"> </w:t>
      </w:r>
      <w:r>
        <w:t xml:space="preserve">at manufacture and re-attested at every repackaging, so that cell substitution is</w:t>
      </w:r>
      <w:r>
        <w:t xml:space="preserve"> </w:t>
      </w:r>
      <w:r>
        <w:t xml:space="preserve">at least a Class-C attributable event rather than an invisible one.</w:t>
      </w:r>
    </w:p>
    <w:p>
      <w:pPr>
        <w:pStyle w:val="BodyText"/>
      </w:pPr>
      <w:r>
        <w:t xml:space="preserve">The SoH record deserves the same oracle discipline the solar chapters gave</w:t>
      </w:r>
      <w:r>
        <w:t xml:space="preserve"> </w:t>
      </w:r>
      <w:r>
        <w:t xml:space="preserve">condition imaging, because it is where the battery money argues — a used</w:t>
      </w:r>
      <w:r>
        <w:t xml:space="preserve"> </w:t>
      </w:r>
      <w:r>
        <w:t xml:space="preserve">pack’s price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its SoH claim multiplied by trust in the claimant, and</w:t>
      </w:r>
      <w:r>
        <w:t xml:space="preserve"> </w:t>
      </w:r>
      <w:r>
        <w:t xml:space="preserve">the second factor is what this architecture manufactures.</w:t>
      </w:r>
      <w:r>
        <w:t xml:space="preserve"> </w:t>
      </w:r>
      <w:r>
        <w:t xml:space="preserve">State of health is not a measurement but an</w:t>
      </w:r>
      <w:r>
        <w:t xml:space="preserve"> </w:t>
      </w:r>
      <w:r>
        <w:rPr>
          <w:iCs/>
          <w:i/>
        </w:rPr>
        <w:t xml:space="preserve">estimate</w:t>
      </w:r>
      <w:r>
        <w:t xml:space="preserve"> </w:t>
      </w:r>
      <w:r>
        <w:t xml:space="preserve">— a model over</w:t>
      </w:r>
      <w:r>
        <w:t xml:space="preserve"> </w:t>
      </w:r>
      <w:r>
        <w:t xml:space="preserve">capacity tests, impedance, and cycle history, sensitive to temperature,</w:t>
      </w:r>
      <w:r>
        <w:t xml:space="preserve"> </w:t>
      </w:r>
      <w:r>
        <w:t xml:space="preserve">rest state, and the estimator’s own algorithm — so the schema treats an</w:t>
      </w:r>
      <w:r>
        <w:t xml:space="preserve"> </w:t>
      </w:r>
      <w:r>
        <w:t xml:space="preserve">SoH attestation the way Chapter 6 treats a template: the claim carries its</w:t>
      </w:r>
      <w:r>
        <w:t xml:space="preserve"> </w:t>
      </w:r>
      <w:r>
        <w:t xml:space="preserve">method (protocol version, pre-conditioning state per Section 8.4’s</w:t>
      </w:r>
      <w:r>
        <w:t xml:space="preserve"> </w:t>
      </w:r>
      <w:r>
        <w:t xml:space="preserve">battery-spoofing note, the raw measurement digests behind it), and</w:t>
      </w:r>
      <w:r>
        <w:t xml:space="preserve"> </w:t>
      </w:r>
      <w:r>
        <w:t xml:space="preserve">verifiers weight SoH numbers by the method’s grade rather than treating</w:t>
      </w:r>
      <w:r>
        <w:t xml:space="preserve"> </w:t>
      </w:r>
      <w:r>
        <w:t xml:space="preserve">all percentages as equal. The BMS’s own lifetime telemetry — cycle</w:t>
      </w:r>
      <w:r>
        <w:t xml:space="preserve"> </w:t>
      </w:r>
      <w:r>
        <w:t xml:space="preserve">counts, temperature histograms, abuse-event flags, signed under the</w:t>
      </w:r>
      <w:r>
        <w:t xml:space="preserve"> </w:t>
      </w:r>
      <w:r>
        <w:t xml:space="preserve">pack’s element identity — enters as the aggregate-then-commit pattern</w:t>
      </w:r>
      <w:r>
        <w:t xml:space="preserve"> </w:t>
      </w:r>
      <w:r>
        <w:t xml:space="preserve">borrowed from wind (Section 12.3): periodic</w:t>
      </w:r>
      <w:r>
        <w:t xml:space="preserve"> </w:t>
      </w:r>
      <w:r>
        <w:rPr>
          <w:iCs/>
          <w:i/>
        </w:rPr>
        <w:t xml:space="preserve">usage-milestone</w:t>
      </w:r>
      <w:r>
        <w:t xml:space="preserve"> </w:t>
      </w:r>
      <w:r>
        <w:t xml:space="preserve">events</w:t>
      </w:r>
      <w:r>
        <w:t xml:space="preserve"> </w:t>
      </w:r>
      <w:r>
        <w:t xml:space="preserve">whose payloads summarize the operational history that SoH models consume.</w:t>
      </w:r>
      <w:r>
        <w:t xml:space="preserve"> </w:t>
      </w:r>
      <w:r>
        <w:t xml:space="preserve">The composition works: an attested milestone trail plus a method-graded</w:t>
      </w:r>
      <w:r>
        <w:t xml:space="preserve"> </w:t>
      </w:r>
      <w:r>
        <w:t xml:space="preserve">SoH measurement at transition is a second-life valuation input that no</w:t>
      </w:r>
      <w:r>
        <w:t xml:space="preserve"> </w:t>
      </w:r>
      <w:r>
        <w:t xml:space="preserve">party can quietly improve, which is precisely the missing instrument of</w:t>
      </w:r>
      <w:r>
        <w:t xml:space="preserve"> </w:t>
      </w:r>
      <w:r>
        <w:t xml:space="preserve">Section 1.4.4’s battery lemons problem.</w:t>
      </w:r>
    </w:p>
    <w:p>
      <w:pPr>
        <w:pStyle w:val="BodyText"/>
      </w:pPr>
      <w:r>
        <w:t xml:space="preserve">Safety events add a battery-specific record class with regulatory</w:t>
      </w:r>
      <w:r>
        <w:t xml:space="preserve"> </w:t>
      </w:r>
      <w:r>
        <w:t xml:space="preserve">teeth — and with the strongest incentive asymmetry in the whole chapter:</w:t>
      </w:r>
      <w:r>
        <w:t xml:space="preserve"> </w:t>
      </w:r>
      <w:r>
        <w:t xml:space="preserve">thermal incidents, abuse events flagged by the BMS, and transport-</w:t>
      </w:r>
      <w:r>
        <w:t xml:space="preserve"> </w:t>
      </w:r>
      <w:r>
        <w:t xml:space="preserve">classification changes (a damaged pack becomes dangerous goods with</w:t>
      </w:r>
      <w:r>
        <w:t xml:space="preserve"> </w:t>
      </w:r>
      <w:r>
        <w:t xml:space="preserve">different carriage rules) all demand the same contemporaneous, attributed,</w:t>
      </w:r>
      <w:r>
        <w:t xml:space="preserve"> </w:t>
      </w:r>
      <w:r>
        <w:t xml:space="preserve">non-repudiable treatment the schema gives everything else — and the</w:t>
      </w:r>
      <w:r>
        <w:t xml:space="preserve"> </w:t>
      </w:r>
      <w:r>
        <w:t xml:space="preserve">incident record travels with the pack’s identity into every downstream</w:t>
      </w:r>
      <w:r>
        <w:t xml:space="preserve"> </w:t>
      </w:r>
      <w:r>
        <w:t xml:space="preserve">decision, because the party least likely to disclose a thermal event</w:t>
      </w:r>
      <w:r>
        <w:t xml:space="preserve"> </w:t>
      </w:r>
      <w:r>
        <w:t xml:space="preserve">voluntarily is exactly the party selling the pack. Insurers of</w:t>
      </w:r>
      <w:r>
        <w:t xml:space="preserve"> </w:t>
      </w:r>
      <w:r>
        <w:t xml:space="preserve">second-life installations have begun asking for precisely this record;</w:t>
      </w:r>
      <w:r>
        <w:t xml:space="preserve"> </w:t>
      </w:r>
      <w:r>
        <w:t xml:space="preserve">the schema’s</w:t>
      </w:r>
      <w:r>
        <w:t xml:space="preserve"> </w:t>
      </w:r>
      <w:r>
        <w:rPr>
          <w:rStyle w:val="VerbatimChar"/>
        </w:rPr>
        <w:t xml:space="preserve">EVT_FAULT</w:t>
      </w:r>
      <w:r>
        <w:t xml:space="preserve"> </w:t>
      </w:r>
      <w:r>
        <w:t xml:space="preserve">class with BMS attestation carries it without</w:t>
      </w:r>
      <w:r>
        <w:t xml:space="preserve"> </w:t>
      </w:r>
      <w:r>
        <w:t xml:space="preserve">amendment.</w:t>
      </w:r>
    </w:p>
    <w:p>
      <w:pPr>
        <w:pStyle w:val="BodyText"/>
      </w:pPr>
      <w:r>
        <w:t xml:space="preserve">The lifecycle flows themselves are more branched than solar’s, and the</w:t>
      </w:r>
      <w:r>
        <w:t xml:space="preserve"> </w:t>
      </w:r>
      <w:r>
        <w:t xml:space="preserve">event vocabulary must follow the branches. An EV pack retiring from</w:t>
      </w:r>
      <w:r>
        <w:t xml:space="preserve"> </w:t>
      </w:r>
      <w:r>
        <w:t xml:space="preserve">vehicle service forks four ways: direct second-life deployment (the</w:t>
      </w:r>
      <w:r>
        <w:t xml:space="preserve"> </w:t>
      </w:r>
      <w:r>
        <w:t xml:space="preserve">repurposing pair below),</w:t>
      </w:r>
      <w:r>
        <w:t xml:space="preserve"> </w:t>
      </w:r>
      <w:r>
        <w:rPr>
          <w:iCs/>
          <w:i/>
        </w:rPr>
        <w:t xml:space="preserve">remanufacture</w:t>
      </w:r>
      <w:r>
        <w:t xml:space="preserve"> </w:t>
      </w:r>
      <w:r>
        <w:t xml:space="preserve">(disassembly to modules or</w:t>
      </w:r>
      <w:r>
        <w:t xml:space="preserve"> </w:t>
      </w:r>
      <w:r>
        <w:t xml:space="preserve">cells, reassembly into new packs — which is where cell-level identity’s</w:t>
      </w:r>
      <w:r>
        <w:t xml:space="preserve"> </w:t>
      </w:r>
      <w:r>
        <w:t xml:space="preserve">absence bites hardest, and where the composition-manifest discipline</w:t>
      </w:r>
      <w:r>
        <w:t xml:space="preserve"> </w:t>
      </w:r>
      <w:r>
        <w:t xml:space="preserve">earns its keep: the new pack’s manifest references the donor packs’</w:t>
      </w:r>
      <w:r>
        <w:t xml:space="preserve"> </w:t>
      </w:r>
      <w:r>
        <w:t xml:space="preserve">DIDs and their milestone trails, preserving lineage even where per-cell</w:t>
      </w:r>
      <w:r>
        <w:t xml:space="preserve"> </w:t>
      </w:r>
      <w:r>
        <w:t xml:space="preserve">binding fails),</w:t>
      </w:r>
      <w:r>
        <w:t xml:space="preserve"> </w:t>
      </w:r>
      <w:r>
        <w:rPr>
          <w:iCs/>
          <w:i/>
        </w:rPr>
        <w:t xml:space="preserve">materials recycling</w:t>
      </w:r>
      <w:r>
        <w:t xml:space="preserve"> </w:t>
      </w:r>
      <w:r>
        <w:t xml:space="preserve">(the mandated mass-balance</w:t>
      </w:r>
      <w:r>
        <w:t xml:space="preserve"> </w:t>
      </w:r>
      <w:r>
        <w:t xml:space="preserve">terminus), and</w:t>
      </w:r>
      <w:r>
        <w:t xml:space="preserve"> </w:t>
      </w:r>
      <w:r>
        <w:rPr>
          <w:iCs/>
          <w:i/>
        </w:rPr>
        <w:t xml:space="preserve">warranty return to the OEM</w:t>
      </w:r>
      <w:r>
        <w:t xml:space="preserve"> </w:t>
      </w:r>
      <w:r>
        <w:t xml:space="preserve">(a custody loop, not a</w:t>
      </w:r>
      <w:r>
        <w:t xml:space="preserve"> </w:t>
      </w:r>
      <w:r>
        <w:t xml:space="preserve">terminus). Each fork is an event pattern already in the schema’s</w:t>
      </w:r>
      <w:r>
        <w:t xml:space="preserve"> </w:t>
      </w:r>
      <w:r>
        <w:t xml:space="preserve">grammar; what batteries add is the frequency with which assets take</w:t>
      </w:r>
      <w:r>
        <w:t xml:space="preserve"> </w:t>
      </w:r>
      <w:r>
        <w:t xml:space="preserve">them, and therefore the commercial weight on the paths solar treats as</w:t>
      </w:r>
      <w:r>
        <w:t xml:space="preserve"> </w:t>
      </w:r>
      <w:r>
        <w:t xml:space="preserve">edge cases — a pack is likelier to be remanufactured than a module is</w:t>
      </w:r>
      <w:r>
        <w:t xml:space="preserve"> </w:t>
      </w:r>
      <w:r>
        <w:t xml:space="preserve">to be resold, and the schema’s traffic statistics will show it.</w:t>
      </w:r>
    </w:p>
    <w:p>
      <w:pPr>
        <w:pStyle w:val="BodyText"/>
      </w:pPr>
      <w:r>
        <w:t xml:space="preserve">The actor map differs from solar’s in ways that reshape consortium</w:t>
      </w:r>
      <w:r>
        <w:t xml:space="preserve"> </w:t>
      </w:r>
      <w:r>
        <w:t xml:space="preserve">design, and getting it on paper early is the battery deployment’s</w:t>
      </w:r>
      <w:r>
        <w:t xml:space="preserve"> </w:t>
      </w:r>
      <w:r>
        <w:t xml:space="preserve">Phase-0 homework. Battery custody chains run through automotive OEMs (whose</w:t>
      </w:r>
      <w:r>
        <w:t xml:space="preserve"> </w:t>
      </w:r>
      <w:r>
        <w:t xml:space="preserve">warranty and recall machinery dwarfs solar’s), fleet operators,</w:t>
      </w:r>
      <w:r>
        <w:t xml:space="preserve"> </w:t>
      </w:r>
      <w:r>
        <w:t xml:space="preserve">dismantlers and authorized treatment facilities, repurposers (a new</w:t>
      </w:r>
      <w:r>
        <w:t xml:space="preserve"> </w:t>
      </w:r>
      <w:r>
        <w:t xml:space="preserve">legally-defined actor class the regulation created), integrators, and</w:t>
      </w:r>
      <w:r>
        <w:t xml:space="preserve"> </w:t>
      </w:r>
      <w:r>
        <w:t xml:space="preserve">recyclers under mandatory take-back — with the automotive OEM holding</w:t>
      </w:r>
      <w:r>
        <w:t xml:space="preserve"> </w:t>
      </w:r>
      <w:r>
        <w:t xml:space="preserve">both the manufacturing records and, through the vehicle relationship,</w:t>
      </w:r>
      <w:r>
        <w:t xml:space="preserve"> </w:t>
      </w:r>
      <w:r>
        <w:t xml:space="preserve">the usage telemetry that solar’s fragmented chain never concentrated in</w:t>
      </w:r>
      <w:r>
        <w:t xml:space="preserve"> </w:t>
      </w:r>
      <w:r>
        <w:t xml:space="preserve">one place. The consortium-composition consequence: battery federations</w:t>
      </w:r>
      <w:r>
        <w:t xml:space="preserve"> </w:t>
      </w:r>
      <w:r>
        <w:t xml:space="preserve">will orbit the automotive OEMs’ gravitational mass, and the</w:t>
      </w:r>
      <w:r>
        <w:t xml:space="preserve"> </w:t>
      </w:r>
      <w:r>
        <w:t xml:space="preserve">adverse-interest discipline of Section 7.5 has to be</w:t>
      </w:r>
      <w:r>
        <w:t xml:space="preserve"> </w:t>
      </w:r>
      <w:r>
        <w:rPr>
          <w:iCs/>
          <w:i/>
        </w:rPr>
        <w:t xml:space="preserve">constructed</w:t>
      </w:r>
      <w:r>
        <w:t xml:space="preserve"> </w:t>
      </w:r>
      <w:r>
        <w:t xml:space="preserve">deliberately (independent repurposers, insurers, and recyclers seated</w:t>
      </w:r>
      <w:r>
        <w:t xml:space="preserve"> </w:t>
      </w:r>
      <w:r>
        <w:t xml:space="preserve">with real weight) where solar’s fragmentation provided it for free. The</w:t>
      </w:r>
      <w:r>
        <w:t xml:space="preserve"> </w:t>
      </w:r>
      <w:r>
        <w:t xml:space="preserve">concentration also simplifies one hard solar problem: retroactive</w:t>
      </w:r>
      <w:r>
        <w:t xml:space="preserve"> </w:t>
      </w:r>
      <w:r>
        <w:t xml:space="preserve">enrollment of the existing pack fleet is largely an OEM database export</w:t>
      </w:r>
      <w:r>
        <w:t xml:space="preserve"> </w:t>
      </w:r>
      <w:r>
        <w:t xml:space="preserve">plus re-attestation, not a field campaign — the records exist; they need</w:t>
      </w:r>
      <w:r>
        <w:t xml:space="preserve"> </w:t>
      </w:r>
      <w:r>
        <w:t xml:space="preserve">anchoring and portability, which is the cheaper half of this book.</w:t>
      </w:r>
    </w:p>
    <w:p>
      <w:pPr>
        <w:pStyle w:val="BodyText"/>
      </w:pPr>
      <w:r>
        <w:t xml:space="preserve">The battery section’s forecast, stated for Chapter 14 to grade: the</w:t>
      </w:r>
      <w:r>
        <w:t xml:space="preserve"> </w:t>
      </w:r>
      <w:r>
        <w:t xml:space="preserve">first production-grade deployment of this book’s full architecture —</w:t>
      </w:r>
      <w:r>
        <w:t xml:space="preserve"> </w:t>
      </w:r>
      <w:r>
        <w:t xml:space="preserve">binding, events, anchoring, verification services — will be a battery</w:t>
      </w:r>
      <w:r>
        <w:t xml:space="preserve"> </w:t>
      </w:r>
      <w:r>
        <w:t xml:space="preserve">deployment, driven by the passport deadline, organized around an</w:t>
      </w:r>
      <w:r>
        <w:t xml:space="preserve"> </w:t>
      </w:r>
      <w:r>
        <w:t xml:space="preserve">automotive OEM’s compliance program, with its verification layer</w:t>
      </w:r>
      <w:r>
        <w:t xml:space="preserve"> </w:t>
      </w:r>
      <w:r>
        <w:t xml:space="preserve">retrofitted onto a records system built first for the regulation’s</w:t>
      </w:r>
      <w:r>
        <w:t xml:space="preserve"> </w:t>
      </w:r>
      <w:r>
        <w:t xml:space="preserve">minimum. The architecture was designed so that this retrofit is a</w:t>
      </w:r>
      <w:r>
        <w:t xml:space="preserve"> </w:t>
      </w:r>
      <w:r>
        <w:t xml:space="preserve">projection-layer inversion rather than a rebuild, and the design’s</w:t>
      </w:r>
      <w:r>
        <w:t xml:space="preserve"> </w:t>
      </w:r>
      <w:r>
        <w:t xml:space="preserve">market test is whether that proves true.</w:t>
      </w:r>
    </w:p>
    <w:p>
      <w:pPr>
        <w:pStyle w:val="BodyText"/>
      </w:pPr>
      <w:r>
        <w:t xml:space="preserve">The lithium supply chain’s upstream — mining, refining, precursor and</w:t>
      </w:r>
      <w:r>
        <w:t xml:space="preserve"> </w:t>
      </w:r>
      <w:r>
        <w:t xml:space="preserve">cathode production — extends the composition-reference machinery</w:t>
      </w:r>
      <w:r>
        <w:t xml:space="preserve"> </w:t>
      </w:r>
      <w:r>
        <w:t xml:space="preserve">(Section 4.3) into the territory the due-diligence articles regulate:</w:t>
      </w:r>
      <w:r>
        <w:t xml:space="preserve"> </w:t>
      </w:r>
      <w:r>
        <w:t xml:space="preserve">each stage’s attestations chain into the cell batch’s manifest, so the</w:t>
      </w:r>
      <w:r>
        <w:t xml:space="preserve"> </w:t>
      </w:r>
      <w:r>
        <w:t xml:space="preserve">pack’s passport can substantiate origin claims at the depth the</w:t>
      </w:r>
      <w:r>
        <w:t xml:space="preserve"> </w:t>
      </w:r>
      <w:r>
        <w:t xml:space="preserve">regulation demands without any party holding the whole chain’s data. The</w:t>
      </w:r>
      <w:r>
        <w:t xml:space="preserve"> </w:t>
      </w:r>
      <w:r>
        <w:t xml:space="preserve">caveat from Section 10.4 travels unchanged: the chain authenticates</w:t>
      </w:r>
      <w:r>
        <w:t xml:space="preserve"> </w:t>
      </w:r>
      <w:r>
        <w:rPr>
          <w:iCs/>
          <w:i/>
        </w:rPr>
        <w:t xml:space="preserve">declarations</w:t>
      </w:r>
      <w:r>
        <w:t xml:space="preserve">, and mineral-origin fraud upstream of the first attested</w:t>
      </w:r>
      <w:r>
        <w:t xml:space="preserve"> </w:t>
      </w:r>
      <w:r>
        <w:t xml:space="preserve">stage remains a procedural problem for audit regimes — the ledger</w:t>
      </w:r>
      <w:r>
        <w:t xml:space="preserve"> </w:t>
      </w:r>
      <w:r>
        <w:t xml:space="preserve">sharpens the paper trail’s teeth; it does not visit the mine.</w:t>
      </w:r>
    </w:p>
    <w:p>
      <w:pPr>
        <w:pStyle w:val="BodyText"/>
      </w:pPr>
      <w:r>
        <w:rPr>
          <w:bCs/>
          <w:b/>
        </w:rPr>
        <w:t xml:space="preserve">Second life is a first-class path, not an edge case.</w:t>
      </w:r>
      <w:r>
        <w:t xml:space="preserve"> </w:t>
      </w:r>
      <w:r>
        <w:t xml:space="preserve">The solar state machine</w:t>
      </w:r>
      <w:r>
        <w:t xml:space="preserve"> </w:t>
      </w:r>
      <w:r>
        <w:t xml:space="preserve">needed</w:t>
      </w:r>
      <w:r>
        <w:t xml:space="preserve"> </w:t>
      </w:r>
      <w:r>
        <w:rPr>
          <w:rStyle w:val="VerbatimChar"/>
        </w:rPr>
        <w:t xml:space="preserve">Removed → InTransit</w:t>
      </w:r>
      <w:r>
        <w:t xml:space="preserve"> </w:t>
      </w:r>
      <w:r>
        <w:t xml:space="preserve">for resale; batteries need a richer structure: a</w:t>
      </w:r>
      <w:r>
        <w:t xml:space="preserve"> </w:t>
      </w:r>
      <w:r>
        <w:rPr>
          <w:iCs/>
          <w:i/>
        </w:rPr>
        <w:t xml:space="preserve">repurposing</w:t>
      </w:r>
      <w:r>
        <w:t xml:space="preserve"> </w:t>
      </w:r>
      <w:r>
        <w:t xml:space="preserve">event pair (</w:t>
      </w:r>
      <w:r>
        <w:rPr>
          <w:rStyle w:val="VerbatimChar"/>
        </w:rPr>
        <w:t xml:space="preserve">EVT_REPURPOSE_OUT</w:t>
      </w:r>
      <w:r>
        <w:t xml:space="preserve"> </w:t>
      </w:r>
      <w:r>
        <w:t xml:space="preserve">from vehicle service,</w:t>
      </w:r>
      <w:r>
        <w:t xml:space="preserve"> </w:t>
      </w:r>
      <w:r>
        <w:rPr>
          <w:rStyle w:val="VerbatimChar"/>
        </w:rPr>
        <w:t xml:space="preserve">EVT_REPURPOSE_IN</w:t>
      </w:r>
      <w:r>
        <w:t xml:space="preserve"> </w:t>
      </w:r>
      <w:r>
        <w:t xml:space="preserve">to stationary service) carrying mandatory SoH payloads,</w:t>
      </w:r>
      <w:r>
        <w:t xml:space="preserve"> </w:t>
      </w:r>
      <w:r>
        <w:t xml:space="preserve">because the EU regulation makes repurposers legally responsible parties and the</w:t>
      </w:r>
      <w:r>
        <w:t xml:space="preserve"> </w:t>
      </w:r>
      <w:r>
        <w:t xml:space="preserve">passport must document the transition. Figure 12.1 extends Figure 5.1</w:t>
      </w:r>
      <w:r>
        <w:t xml:space="preserve"> </w:t>
      </w:r>
      <w:r>
        <w:t xml:space="preserve">accordingly — the extension is</w:t>
      </w:r>
      <w:r>
        <w:t xml:space="preserve"> </w:t>
      </w:r>
      <w:r>
        <w:rPr>
          <w:iCs/>
          <w:i/>
        </w:rPr>
        <w:t xml:space="preserve">additive</w:t>
      </w:r>
      <w:r>
        <w:t xml:space="preserve">: no solar state or transition changed,</w:t>
      </w:r>
      <w:r>
        <w:t xml:space="preserve"> </w:t>
      </w:r>
      <w:r>
        <w:t xml:space="preserve">which is the generalization claim passing its first test. Reading the</w:t>
      </w:r>
      <w:r>
        <w:t xml:space="preserve"> </w:t>
      </w:r>
      <w:r>
        <w:t xml:space="preserve">figure: the second-life states are the base machine’s states with an</w:t>
      </w:r>
      <w:r>
        <w:t xml:space="preserve"> </w:t>
      </w:r>
      <w:r>
        <w:t xml:space="preserve">application-context annotation, not new lifecycle physics — an asset in</w:t>
      </w:r>
      <w:r>
        <w:t xml:space="preserve"> </w:t>
      </w:r>
      <w:r>
        <w:t xml:space="preserve">“</w:t>
      </w:r>
      <w:r>
        <w:t xml:space="preserve">Commissioned (2nd life)</w:t>
      </w:r>
      <w:r>
        <w:t xml:space="preserve">”</w:t>
      </w:r>
      <w:r>
        <w:t xml:space="preserve"> </w:t>
      </w:r>
      <w:r>
        <w:t xml:space="preserve">accepts exactly the base state’s events, and a</w:t>
      </w:r>
      <w:r>
        <w:t xml:space="preserve"> </w:t>
      </w:r>
      <w:r>
        <w:t xml:space="preserve">verifier’s traversal crosses the repurposing boundary as one more edge in</w:t>
      </w:r>
      <w:r>
        <w:t xml:space="preserve"> </w:t>
      </w:r>
      <w:r>
        <w:t xml:space="preserve">the DAG, inheriting the first life’s history rather than starting a</w:t>
      </w:r>
      <w:r>
        <w:t xml:space="preserve"> </w:t>
      </w:r>
      <w:r>
        <w:t xml:space="preserve">second file. The one deliberate asymmetry: there is no arrow</w:t>
      </w:r>
      <w:r>
        <w:t xml:space="preserve"> </w:t>
      </w:r>
      <w:r>
        <w:rPr>
          <w:iCs/>
          <w:i/>
        </w:rPr>
        <w:t xml:space="preserve">back</w:t>
      </w:r>
      <w:r>
        <w:t xml:space="preserve"> </w:t>
      </w:r>
      <w:r>
        <w:t xml:space="preserve">from</w:t>
      </w:r>
      <w:r>
        <w:t xml:space="preserve"> </w:t>
      </w:r>
      <w:r>
        <w:t xml:space="preserve">second-life states to first-life application classes, because a pack</w:t>
      </w:r>
      <w:r>
        <w:t xml:space="preserve"> </w:t>
      </w:r>
      <w:r>
        <w:t xml:space="preserve">does not return to vehicle service under any regulation now drafted, and</w:t>
      </w:r>
      <w:r>
        <w:t xml:space="preserve"> </w:t>
      </w:r>
      <w:r>
        <w:t xml:space="preserve">the state machine encodes the prohibition rather than trusting policy to</w:t>
      </w:r>
      <w:r>
        <w:t xml:space="preserve"> </w:t>
      </w:r>
      <w:r>
        <w:t xml:space="preserve">remember it.</w:t>
      </w:r>
    </w:p>
    <w:p>
      <w:pPr>
        <w:pStyle w:val="BodyText"/>
      </w:pPr>
      <w:r>
        <w:rPr>
          <w:bCs/>
          <w:b/>
        </w:rPr>
        <w:t xml:space="preserve">Figure 12.1</w:t>
      </w:r>
      <w:r>
        <w:t xml:space="preserve"> </w:t>
      </w:r>
      <w:r>
        <w:t xml:space="preserve">Battery lifecycle extension to the Chapter 5 state machine.</w:t>
      </w:r>
      <w:r>
        <w:t xml:space="preserve"> </w:t>
      </w:r>
      <w:r>
        <w:t xml:space="preserve">Unshaded states are inherited unchanged from Figure 5.1; the figure shows</w:t>
      </w:r>
      <w:r>
        <w:t xml:space="preserve"> </w:t>
      </w:r>
      <w:r>
        <w:t xml:space="preserve">only the extension’s neighborhood, since everything upstream of the first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is the base machine verbatim.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state "Installed (2nd application)" as Installed2</w:t>
      </w:r>
      <w:r>
        <w:br/>
      </w:r>
      <w:r>
        <w:rPr>
          <w:rStyle w:val="VerbatimChar"/>
        </w:rPr>
        <w:t xml:space="preserve">    state "Commissioned (2nd life)" as Commissioned2</w:t>
      </w:r>
      <w:r>
        <w:br/>
      </w:r>
      <w:r>
        <w:rPr>
          <w:rStyle w:val="VerbatimChar"/>
        </w:rPr>
        <w:t xml:space="preserve">    state "Removed (2nd)" as Removed2</w:t>
      </w:r>
      <w:r>
        <w:br/>
      </w:r>
      <w:r>
        <w:rPr>
          <w:rStyle w:val="VerbatimChar"/>
        </w:rPr>
        <w:t xml:space="preserve">    Commissioned --&gt; Removed: EVT_REMOVE</w:t>
      </w:r>
      <w:r>
        <w:br/>
      </w:r>
      <w:r>
        <w:rPr>
          <w:rStyle w:val="VerbatimChar"/>
        </w:rPr>
        <w:t xml:space="preserve">    Removed --&gt; Repurposing: EVT_REPURPOSE_OUT (SoH payload, Class C)</w:t>
      </w:r>
      <w:r>
        <w:br/>
      </w:r>
      <w:r>
        <w:rPr>
          <w:rStyle w:val="VerbatimChar"/>
        </w:rPr>
        <w:t xml:space="preserve">    Repurposing --&gt; Installed2: EVT_REPURPOSE_IN (new application class)</w:t>
      </w:r>
      <w:r>
        <w:br/>
      </w:r>
      <w:r>
        <w:rPr>
          <w:rStyle w:val="VerbatimChar"/>
        </w:rPr>
        <w:t xml:space="preserve">    Installed2 --&gt; Commissioned2: EVT_COMMISSION</w:t>
      </w:r>
      <w:r>
        <w:br/>
      </w:r>
      <w:r>
        <w:rPr>
          <w:rStyle w:val="VerbatimChar"/>
        </w:rPr>
        <w:t xml:space="preserve">    Commissioned2 --&gt; Removed2: EVT_REMOVE</w:t>
      </w:r>
      <w:r>
        <w:br/>
      </w:r>
      <w:r>
        <w:rPr>
          <w:rStyle w:val="VerbatimChar"/>
        </w:rPr>
        <w:t xml:space="preserve">    Removed2 --&gt; Decommissioned: EVT_DECOMMISSION</w:t>
      </w:r>
      <w:r>
        <w:br/>
      </w:r>
      <w:r>
        <w:rPr>
          <w:rStyle w:val="VerbatimChar"/>
        </w:rPr>
        <w:t xml:space="preserve">    Decommissioned --&gt; Recycled: EVT_RECYCLE (mass balance mandated)</w:t>
      </w:r>
    </w:p>
    <w:p>
      <w:pPr>
        <w:pStyle w:val="FirstParagraph"/>
      </w:pPr>
      <w:r>
        <w:rPr>
          <w:bCs/>
          <w:b/>
        </w:rPr>
        <w:t xml:space="preserve">The passport is a projection, and the projection was already designed.</w:t>
      </w:r>
      <w:r>
        <w:t xml:space="preserve"> </w:t>
      </w:r>
      <w:r>
        <w:t xml:space="preserve">Section 10.4 argued the event schema must project onto passport data models; for</w:t>
      </w:r>
      <w:r>
        <w:t xml:space="preserve"> </w:t>
      </w:r>
      <w:r>
        <w:t xml:space="preserve">batteries this is now a compliance exercise with a deadline. The mapping is</w:t>
      </w:r>
      <w:r>
        <w:t xml:space="preserve"> </w:t>
      </w:r>
      <w:r>
        <w:t xml:space="preserve">mechanical — passport identity attributes from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, performance and</w:t>
      </w:r>
      <w:r>
        <w:t xml:space="preserve"> </w:t>
      </w:r>
      <w:r>
        <w:t xml:space="preserve">durability fields from condition records, supply-chain due-diligence attestations</w:t>
      </w:r>
      <w:r>
        <w:t xml:space="preserve"> </w:t>
      </w:r>
      <w:r>
        <w:t xml:space="preserve">as VCs, access tiers onto the three-zone topology — and the read-side mapping</w:t>
      </w:r>
      <w:r>
        <w:t xml:space="preserve"> </w:t>
      </w:r>
      <w:r>
        <w:t xml:space="preserve">layer of Section 10.4 becomes the passport interface. Table 12.3 exhibits</w:t>
      </w:r>
      <w:r>
        <w:t xml:space="preserve"> </w:t>
      </w:r>
      <w:r>
        <w:t xml:space="preserve">the mapping’s shape for the regulation’s principal field groups.</w:t>
      </w:r>
    </w:p>
    <w:p>
      <w:pPr>
        <w:pStyle w:val="BodyText"/>
      </w:pPr>
      <w:r>
        <w:rPr>
          <w:bCs/>
          <w:b/>
        </w:rPr>
        <w:t xml:space="preserve">Table 12.3</w:t>
      </w:r>
      <w:r>
        <w:t xml:space="preserve"> </w:t>
      </w:r>
      <w:r>
        <w:t xml:space="preserve">Battery-passport field groups (Regulation 2023/1542,</w:t>
      </w:r>
      <w:r>
        <w:t xml:space="preserve"> </w:t>
      </w:r>
      <w:r>
        <w:t xml:space="preserve">Annex XIII) and their sources in the event schema.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Passport 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Verifiability upgrade over self-declaration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Identity, model, manufacturer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EVT_REGISTER</w:t>
            </w:r>
            <w:r>
              <w:t xml:space="preserve"> </w:t>
            </w:r>
            <w:r>
              <w:t xml:space="preserve">+ manufacturer 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issuance; registrar accreditation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Composition, materials, hazardous substances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manifests + upstream VCs (§4.3)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Attributable supply-chain chain-of-claims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footprint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VC with method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Method-graded, contestable, 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&amp; durability (capacity, SoH, expected life)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Method-graded SoH attestations + usage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attestation; pre-conditioning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Circularity: repair, repurposing, dismantling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Repair/repurposing events + documentation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Events, not brochures — history, not intentions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Supply-chain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Due-diligence VCs per reporting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Anchored, versioned, auditable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 &amp;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Revocation-visible (§3.5.1)</w:t>
            </w:r>
          </w:p>
        </w:tc>
      </w:tr>
    </w:tbl>
    <w:p>
      <w:pPr>
        <w:pStyle w:val="BodyText"/>
      </w:pPr>
      <w:r>
        <w:t xml:space="preserve">What the regulation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supply is exactly what this book’s architecture adds: verification. A</w:t>
      </w:r>
      <w:r>
        <w:t xml:space="preserve"> </w:t>
      </w:r>
      <w:r>
        <w:t xml:space="preserve">passport whose SoH field is a self-declaration reproduces Chapter 1’s problem in</w:t>
      </w:r>
      <w:r>
        <w:t xml:space="preserve"> </w:t>
      </w:r>
      <w:r>
        <w:t xml:space="preserve">a new format; a passport whose fields resolve to anchored, instrument-attested,</w:t>
      </w:r>
      <w:r>
        <w:t xml:space="preserve"> </w:t>
      </w:r>
      <w:r>
        <w:t xml:space="preserve">corroborated events is the difference between paperwork and evidence. This is</w:t>
      </w:r>
      <w:r>
        <w:t xml:space="preserve"> </w:t>
      </w:r>
      <w:r>
        <w:t xml:space="preserve">the book’s thesis restated in regulatory clothing, and it is why battery</w:t>
      </w:r>
      <w:r>
        <w:t xml:space="preserve"> </w:t>
      </w:r>
      <w:r>
        <w:t xml:space="preserve">deployments are likely to adopt the architecture before solar ones do: the</w:t>
      </w:r>
      <w:r>
        <w:t xml:space="preserve"> </w:t>
      </w:r>
      <w:r>
        <w:t xml:space="preserve">record-keeping is already mandatory, so the marginal cost of making it</w:t>
      </w:r>
      <w:r>
        <w:t xml:space="preserve"> </w:t>
      </w:r>
      <w:r>
        <w:rPr>
          <w:iCs/>
          <w:i/>
        </w:rPr>
        <w:t xml:space="preserve">verifiable</w:t>
      </w:r>
      <w:r>
        <w:t xml:space="preserve"> </w:t>
      </w:r>
      <w:r>
        <w:t xml:space="preserve">is small.</w:t>
      </w:r>
    </w:p>
    <w:p>
      <w:pPr>
        <w:pStyle w:val="BodyText"/>
      </w:pPr>
      <w:r>
        <w:t xml:space="preserve">A second-life transaction, walked end to end, assembles the battery</w:t>
      </w:r>
      <w:r>
        <w:t xml:space="preserve"> </w:t>
      </w:r>
      <w:r>
        <w:t xml:space="preserve">machinery the way Section 11.3’s scenarios did solar’s — and it is the</w:t>
      </w:r>
      <w:r>
        <w:t xml:space="preserve"> </w:t>
      </w:r>
      <w:r>
        <w:t xml:space="preserve">transaction the passport regulation’s drafters had in mind, so consider</w:t>
      </w:r>
      <w:r>
        <w:t xml:space="preserve"> </w:t>
      </w:r>
      <w:r>
        <w:t xml:space="preserve">it the compliance regime’s own use case, run properly. A fleet operator</w:t>
      </w:r>
      <w:r>
        <w:t xml:space="preserve"> </w:t>
      </w:r>
      <w:r>
        <w:t xml:space="preserve">retires 400 EV packs; a storage integrator bids for them. Under the</w:t>
      </w:r>
      <w:r>
        <w:t xml:space="preserve"> </w:t>
      </w:r>
      <w:r>
        <w:t xml:space="preserve">passport-minimum world, the integrator receives 400 self-declared SoH</w:t>
      </w:r>
      <w:r>
        <w:t xml:space="preserve"> </w:t>
      </w:r>
      <w:r>
        <w:t xml:space="preserve">percentages and prices for the worst case (the Section 1.4.4 lemons</w:t>
      </w:r>
      <w:r>
        <w:t xml:space="preserve"> </w:t>
      </w:r>
      <w:r>
        <w:t xml:space="preserve">discount, unchanged by the passport’s existence). Under the full</w:t>
      </w:r>
      <w:r>
        <w:t xml:space="preserve"> </w:t>
      </w:r>
      <w:r>
        <w:t xml:space="preserve">architecture: each pack’s DID resolves to its milestone trail (BMS-signed</w:t>
      </w:r>
      <w:r>
        <w:t xml:space="preserve"> </w:t>
      </w:r>
      <w:r>
        <w:t xml:space="preserve">usage history), its retirement</w:t>
      </w:r>
      <w:r>
        <w:t xml:space="preserve"> </w:t>
      </w:r>
      <w:r>
        <w:rPr>
          <w:rStyle w:val="VerbatimChar"/>
        </w:rPr>
        <w:t xml:space="preserve">EVT_REPURPOSE_OUT</w:t>
      </w:r>
      <w:r>
        <w:t xml:space="preserve"> </w:t>
      </w:r>
      <w:r>
        <w:t xml:space="preserve">carries a</w:t>
      </w:r>
      <w:r>
        <w:t xml:space="preserve"> </w:t>
      </w:r>
      <w:r>
        <w:t xml:space="preserve">method-graded SoH measurement performed under recorded pre-conditioning</w:t>
      </w:r>
      <w:r>
        <w:t xml:space="preserve"> </w:t>
      </w:r>
      <w:r>
        <w:t xml:space="preserve">by an accredited facility, and the integrator’s client runs Steps 1–2</w:t>
      </w:r>
      <w:r>
        <w:t xml:space="preserve"> </w:t>
      </w:r>
      <w:r>
        <w:t xml:space="preserve">across the lot in an afternoon — then draws a pre-committed sample of</w:t>
      </w:r>
      <w:r>
        <w:t xml:space="preserve"> </w:t>
      </w:r>
      <w:r>
        <w:t xml:space="preserve">twenty packs for independent SoH verification at its own bench (Step 3,</w:t>
      </w:r>
      <w:r>
        <w:t xml:space="preserve"> </w:t>
      </w:r>
      <w:r>
        <w:t xml:space="preserve">battery dialect). The measured spread against the attested values becomes</w:t>
      </w:r>
      <w:r>
        <w:t xml:space="preserve"> </w:t>
      </w:r>
      <w:r>
        <w:t xml:space="preserve">the lot’s price adjustment, mechanically; the packs re-enter service with</w:t>
      </w:r>
      <w:r>
        <w:t xml:space="preserve"> </w:t>
      </w:r>
      <w:r>
        <w:rPr>
          <w:rStyle w:val="VerbatimChar"/>
        </w:rPr>
        <w:t xml:space="preserve">EVT_REPURPOSE_IN</w:t>
      </w:r>
      <w:r>
        <w:t xml:space="preserve"> </w:t>
      </w:r>
      <w:r>
        <w:t xml:space="preserve">events binding their first and second lives into one</w:t>
      </w:r>
      <w:r>
        <w:t xml:space="preserve"> </w:t>
      </w:r>
      <w:r>
        <w:t xml:space="preserve">history; and the integrator’s own financing — this is the step that</w:t>
      </w:r>
      <w:r>
        <w:t xml:space="preserve"> </w:t>
      </w:r>
      <w:r>
        <w:t xml:space="preserve">closes the loop — cites the verified trail, because its lender’s</w:t>
      </w:r>
      <w:r>
        <w:t xml:space="preserve"> </w:t>
      </w:r>
      <w:r>
        <w:t xml:space="preserve">technical advisor consumes the same records. Every mechanism is a solar</w:t>
      </w:r>
      <w:r>
        <w:t xml:space="preserve"> </w:t>
      </w:r>
      <w:r>
        <w:t xml:space="preserve">mechanism with battery nouns; the delta remains payloads and two event</w:t>
      </w:r>
      <w:r>
        <w:t xml:space="preserve"> </w:t>
      </w:r>
      <w:r>
        <w:t xml:space="preserve">types. The transaction also names the service industry batteries will</w:t>
      </w:r>
      <w:r>
        <w:t xml:space="preserve"> </w:t>
      </w:r>
      <w:r>
        <w:t xml:space="preserve">need before solar does: accredited SoH verification facilities — the</w:t>
      </w:r>
      <w:r>
        <w:t xml:space="preserve"> </w:t>
      </w:r>
      <w:r>
        <w:t xml:space="preserve">battery counterpart of Section 6.7’s verification-services tier — whose</w:t>
      </w:r>
      <w:r>
        <w:t xml:space="preserve"> </w:t>
      </w:r>
      <w:r>
        <w:t xml:space="preserve">bench capacity, accreditation regime, and method proficiency testing are</w:t>
      </w:r>
      <w:r>
        <w:t xml:space="preserve"> </w:t>
      </w:r>
      <w:r>
        <w:t xml:space="preserve">currently improvised per deal. The passport deadlines will</w:t>
      </w:r>
      <w:r>
        <w:t xml:space="preserve"> </w:t>
      </w:r>
      <w:r>
        <w:t xml:space="preserve">industrialize this function within the decade; the open question is</w:t>
      </w:r>
      <w:r>
        <w:t xml:space="preserve"> </w:t>
      </w:r>
      <w:r>
        <w:t xml:space="preserve">whether under the metrological discipline this book keeps advocating or</w:t>
      </w:r>
      <w:r>
        <w:t xml:space="preserve"> </w:t>
      </w:r>
      <w:r>
        <w:t xml:space="preserve">as another archipelago of proprietary methods.</w:t>
      </w:r>
    </w:p>
    <w:bookmarkEnd w:id="22"/>
    <w:bookmarkStart w:id="23" w:name="Xbb7f121949e9f605f75a5d8278585ae6b404ee2"/>
    <w:p>
      <w:pPr>
        <w:pStyle w:val="Heading2"/>
      </w:pPr>
      <w:r>
        <w:t xml:space="preserve">12.3 Wind: High Value, Low Volume, Mature Disputes</w:t>
      </w:r>
    </w:p>
    <w:p>
      <w:pPr>
        <w:pStyle w:val="FirstParagraph"/>
      </w:pPr>
      <w:r>
        <w:t xml:space="preserve">Wind inverts solar’s economics: a blade set or main bearing carries the value of</w:t>
      </w:r>
      <w:r>
        <w:t xml:space="preserve"> </w:t>
      </w:r>
      <w:r>
        <w:t xml:space="preserve">thousands of modules, unit counts are in the tens of thousands rather than</w:t>
      </w:r>
      <w:r>
        <w:t xml:space="preserve"> </w:t>
      </w:r>
      <w:r>
        <w:t xml:space="preserve">hundreds of millions, and the provenance disputes are already institutionalized</w:t>
      </w:r>
      <w:r>
        <w:t xml:space="preserve"> </w:t>
      </w:r>
      <w:r>
        <w:t xml:space="preserve">(serial-number confusion across repair shops, undocumented blade repairs</w:t>
      </w:r>
      <w:r>
        <w:t xml:space="preserve"> </w:t>
      </w:r>
      <w:r>
        <w:t xml:space="preserve">surfacing in resale and insurance, gearbox refurbishment chains). The</w:t>
      </w:r>
      <w:r>
        <w:t xml:space="preserve"> </w:t>
      </w:r>
      <w:r>
        <w:t xml:space="preserve">sector’s documentary culture is correspondingly older and thicker —</w:t>
      </w:r>
      <w:r>
        <w:t xml:space="preserve"> </w:t>
      </w:r>
      <w:r>
        <w:t xml:space="preserve">type-certification regimes, per-component quality dossiers,</w:t>
      </w:r>
      <w:r>
        <w:t xml:space="preserve"> </w:t>
      </w:r>
      <w:r>
        <w:t xml:space="preserve">inspection-report chains — which changes the pitch: wind does not need</w:t>
      </w:r>
      <w:r>
        <w:t xml:space="preserve"> </w:t>
      </w:r>
      <w:r>
        <w:t xml:space="preserve">persuading that component history matters (its insurers settled that</w:t>
      </w:r>
      <w:r>
        <w:t xml:space="preserve"> </w:t>
      </w:r>
      <w:r>
        <w:t xml:space="preserve">argument decades ago); it needs the Chapter 1 diagnosis applied to</w:t>
      </w:r>
      <w:r>
        <w:t xml:space="preserve"> </w:t>
      </w:r>
      <w:r>
        <w:t xml:space="preserve">records it already keeps expensively — scattered across OEM, operator,</w:t>
      </w:r>
      <w:r>
        <w:t xml:space="preserve"> </w:t>
      </w:r>
      <w:r>
        <w:t xml:space="preserve">and repair-shop systems, keyed by serials of varying reliability, and</w:t>
      </w:r>
      <w:r>
        <w:t xml:space="preserve"> </w:t>
      </w:r>
      <w:r>
        <w:t xml:space="preserve">reconstructed manually at every transaction. The framework arrives in</w:t>
      </w:r>
      <w:r>
        <w:t xml:space="preserve"> </w:t>
      </w:r>
      <w:r>
        <w:t xml:space="preserve">wind as consolidation and verification of an existing practice rather</w:t>
      </w:r>
      <w:r>
        <w:t xml:space="preserve"> </w:t>
      </w:r>
      <w:r>
        <w:t xml:space="preserve">than the creation of one, which lowers adoption friction and raises the</w:t>
      </w:r>
      <w:r>
        <w:t xml:space="preserve"> </w:t>
      </w:r>
      <w:r>
        <w:t xml:space="preserve">integration bill in equal measure. The framework</w:t>
      </w:r>
      <w:r>
        <w:t xml:space="preserve"> </w:t>
      </w:r>
      <w:r>
        <w:t xml:space="preserve">maps with four adaptations: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Component-level DIDs with an assembly DAG.</w:t>
      </w:r>
      <w:r>
        <w:t xml:space="preserve"> </w:t>
      </w:r>
      <w:r>
        <w:t xml:space="preserve">The turbine is a long-lived</w:t>
      </w:r>
      <w:r>
        <w:t xml:space="preserve"> </w:t>
      </w:r>
      <w:r>
        <w:rPr>
          <w:iCs/>
          <w:i/>
        </w:rPr>
        <w:t xml:space="preserve">assembly</w:t>
      </w:r>
      <w:r>
        <w:t xml:space="preserve"> </w:t>
      </w:r>
      <w:r>
        <w:t xml:space="preserve">whose components individually detach for repair and return — or</w:t>
      </w:r>
      <w:r>
        <w:t xml:space="preserve"> </w:t>
      </w:r>
      <w:r>
        <w:t xml:space="preserve">don’t return. The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DAG (Section 5.4) already expresses</w:t>
      </w:r>
      <w:r>
        <w:t xml:space="preserve"> </w:t>
      </w:r>
      <w:r>
        <w:t xml:space="preserve">composition; wind makes it the primary structure: a nacelle’s identity is a</w:t>
      </w:r>
      <w:r>
        <w:t xml:space="preserve"> </w:t>
      </w:r>
      <w:r>
        <w:t xml:space="preserve">slowly-changing graph of component identities, and the valuable query is</w:t>
      </w:r>
      <w:r>
        <w:t xml:space="preserve"> </w:t>
      </w:r>
      <w:r>
        <w:t xml:space="preserve">“</w:t>
      </w:r>
      <w:r>
        <w:t xml:space="preserve">show</w:t>
      </w:r>
      <w:r>
        <w:t xml:space="preserve"> </w:t>
      </w:r>
      <w:r>
        <w:t xml:space="preserve">me this bearing’s custody and repair history across its three host turbines.</w:t>
      </w:r>
      <w:r>
        <w:t xml:space="preserve">”</w:t>
      </w:r>
      <w:r>
        <w:t xml:space="preserve"> </w:t>
      </w:r>
      <w:r>
        <w:t xml:space="preserve">The aggregate-identity test of Section 3.6.1 gives the turbine itself a</w:t>
      </w:r>
      <w:r>
        <w:t xml:space="preserve"> </w:t>
      </w:r>
      <w:r>
        <w:t xml:space="preserve">DID (external parties verify claims about the turbine as such —</w:t>
      </w:r>
      <w:r>
        <w:t xml:space="preserve"> </w:t>
      </w:r>
      <w:r>
        <w:t xml:space="preserve">certification, insurance, repowering sales), while the tower sections</w:t>
      </w:r>
      <w:r>
        <w:t xml:space="preserve"> </w:t>
      </w:r>
      <w:r>
        <w:t xml:space="preserve">and fasteners stay compositional; the interesting boundary case is the</w:t>
      </w:r>
      <w:r>
        <w:t xml:space="preserve"> </w:t>
      </w:r>
      <w:r>
        <w:t xml:space="preserve">gearbox, which trades as a unit through refurbishment pools and</w:t>
      </w:r>
      <w:r>
        <w:t xml:space="preserve"> </w:t>
      </w:r>
      <w:r>
        <w:t xml:space="preserve">therefore earns full identity despite living its whole life inside</w:t>
      </w:r>
      <w:r>
        <w:t xml:space="preserve"> </w:t>
      </w:r>
      <w:r>
        <w:t xml:space="preserve">assemblies. The refurbishment pool is worth dwelling on because it is</w:t>
      </w:r>
      <w:r>
        <w:t xml:space="preserve"> </w:t>
      </w:r>
      <w:r>
        <w:t xml:space="preserve">the sector’s standing identity crisis: a failed gearbox ships to a</w:t>
      </w:r>
      <w:r>
        <w:t xml:space="preserve"> </w:t>
      </w:r>
      <w:r>
        <w:t xml:space="preserve">rebuild shop and an</w:t>
      </w:r>
      <w:r>
        <w:t xml:space="preserve"> </w:t>
      </w:r>
      <w:r>
        <w:rPr>
          <w:iCs/>
          <w:i/>
        </w:rPr>
        <w:t xml:space="preserve">equivalent</w:t>
      </w:r>
      <w:r>
        <w:t xml:space="preserve"> </w:t>
      </w:r>
      <w:r>
        <w:t xml:space="preserve">— rebuilt from the pool’s parts stock,</w:t>
      </w:r>
      <w:r>
        <w:t xml:space="preserve"> </w:t>
      </w:r>
      <w:r>
        <w:t xml:space="preserve">possibly containing components from a dozen donors — ships back, with</w:t>
      </w:r>
      <w:r>
        <w:t xml:space="preserve"> </w:t>
      </w:r>
      <w:r>
        <w:t xml:space="preserve">the operator’s records typically tracking the exchange as a repair</w:t>
      </w:r>
      <w:r>
        <w:t xml:space="preserve"> </w:t>
      </w:r>
      <w:r>
        <w:t xml:space="preserve">rather than the component swap it is. The framework’s answer is the</w:t>
      </w:r>
      <w:r>
        <w:t xml:space="preserve"> </w:t>
      </w:r>
      <w:r>
        <w:t xml:space="preserve">remanufacture pattern from batteries (Section 12.2): the returned</w:t>
      </w:r>
      <w:r>
        <w:t xml:space="preserve"> </w:t>
      </w:r>
      <w:r>
        <w:t xml:space="preserve">unit is a new identity whose composition manifest references its donor</w:t>
      </w:r>
      <w:r>
        <w:t xml:space="preserve"> </w:t>
      </w:r>
      <w:r>
        <w:t xml:space="preserve">components’ DIDs and their load histories, so the operator’s fatigue</w:t>
      </w:r>
      <w:r>
        <w:t xml:space="preserve"> </w:t>
      </w:r>
      <w:r>
        <w:t xml:space="preserve">accounting runs on the actual internals rather than the nameplate — a</w:t>
      </w:r>
      <w:r>
        <w:t xml:space="preserve"> </w:t>
      </w:r>
      <w:r>
        <w:t xml:space="preserve">change the insurers of gearbox failures, the sector’s costliest</w:t>
      </w:r>
      <w:r>
        <w:t xml:space="preserve"> </w:t>
      </w:r>
      <w:r>
        <w:t xml:space="preserve">recurring claim class, have every incentive to demand.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Passive binding is easier here, and cheaper options suffice.</w:t>
      </w:r>
      <w:r>
        <w:t xml:space="preserve"> </w:t>
      </w:r>
      <w:r>
        <w:t xml:space="preserve">Blades are</w:t>
      </w:r>
      <w:r>
        <w:t xml:space="preserve"> </w:t>
      </w:r>
      <w:r>
        <w:t xml:space="preserve">large composite structures with rich manufacturing individuality (ply layup</w:t>
      </w:r>
      <w:r>
        <w:t xml:space="preserve"> </w:t>
      </w:r>
      <w:r>
        <w:t xml:space="preserve">texture, cured-resin signatures readable by ultrasonic or thermographic scan)</w:t>
      </w:r>
      <w:r>
        <w:t xml:space="preserve"> </w:t>
      </w:r>
      <w:r>
        <w:t xml:space="preserve">and — decisive difference — per-unit values that justify embedded secure tags</w:t>
      </w:r>
      <w:r>
        <w:t xml:space="preserve"> </w:t>
      </w:r>
      <w:r>
        <w:t xml:space="preserve">at manufacture. R3’s forgery asymmetry is comfortable; the binding research</w:t>
      </w:r>
      <w:r>
        <w:t xml:space="preserve"> </w:t>
      </w:r>
      <w:r>
        <w:t xml:space="preserve">frontier that Chapter 6 needed for modules is optional insurance for blades.</w:t>
      </w:r>
      <w:r>
        <w:t xml:space="preserve"> </w:t>
      </w:r>
      <w:r>
        <w:t xml:space="preserve">The R-dossier, run quickly for the record: entropy (R1) is abundant in</w:t>
      </w:r>
      <w:r>
        <w:t xml:space="preserve"> </w:t>
      </w:r>
      <w:r>
        <w:t xml:space="preserve">layup and cure stochastics; the stable subset (R2) is friendlier than</w:t>
      </w:r>
      <w:r>
        <w:t xml:space="preserve"> </w:t>
      </w:r>
      <w:r>
        <w:t xml:space="preserve">solar’s because composite internal structure, barring damage, does not</w:t>
      </w:r>
      <w:r>
        <w:t xml:space="preserve"> </w:t>
      </w:r>
      <w:r>
        <w:t xml:space="preserve">evolve in service the way crack networks do; challenge parameterization</w:t>
      </w:r>
      <w:r>
        <w:t xml:space="preserve"> </w:t>
      </w:r>
      <w:r>
        <w:t xml:space="preserve">(R4) is available through multi-angle ultrasonic response; evolution</w:t>
      </w:r>
      <w:r>
        <w:t xml:space="preserve"> </w:t>
      </w:r>
      <w:r>
        <w:t xml:space="preserve">plausibility (R5) maps onto the well-developed composite damage-</w:t>
      </w:r>
      <w:r>
        <w:t xml:space="preserve"> </w:t>
      </w:r>
      <w:r>
        <w:t xml:space="preserve">progression literature; and field feasibility (R6) rides the ultrasonic</w:t>
      </w:r>
      <w:r>
        <w:t xml:space="preserve"> </w:t>
      </w:r>
      <w:r>
        <w:t xml:space="preserve">inspection regime blades already undergo. Only enrollment logistics</w:t>
      </w:r>
      <w:r>
        <w:t xml:space="preserve"> </w:t>
      </w:r>
      <w:r>
        <w:t xml:space="preserve">differ in kind: a 70-meter blade is fingerprinted in sections, with the</w:t>
      </w:r>
      <w:r>
        <w:t xml:space="preserve"> </w:t>
      </w:r>
      <w:r>
        <w:t xml:space="preserve">section map part of the template.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Turbine controllers are the IoT tail at nacelle scale.</w:t>
      </w:r>
      <w:r>
        <w:t xml:space="preserve"> </w:t>
      </w:r>
      <w:r>
        <w:t xml:space="preserve">The</w:t>
      </w:r>
      <w:r>
        <w:t xml:space="preserve"> </w:t>
      </w:r>
      <w:r>
        <w:t xml:space="preserve">config-change class of Section 12.4 applies verbatim — a turbine’s</w:t>
      </w:r>
      <w:r>
        <w:t xml:space="preserve"> </w:t>
      </w:r>
      <w:r>
        <w:t xml:space="preserve">control firmware determines its loads, so the firmware history is</w:t>
      </w:r>
      <w:r>
        <w:t xml:space="preserve"> </w:t>
      </w:r>
      <w:r>
        <w:rPr>
          <w:iCs/>
          <w:i/>
        </w:rPr>
        <w:t xml:space="preserve">fatigue-relevant</w:t>
      </w:r>
      <w:r>
        <w:t xml:space="preserve">, coupling the software record to the structural one</w:t>
      </w:r>
      <w:r>
        <w:t xml:space="preserve"> </w:t>
      </w:r>
      <w:r>
        <w:t xml:space="preserve">in a way no other class exhibits — and F12’s dual-authorization</w:t>
      </w:r>
      <w:r>
        <w:t xml:space="preserve"> </w:t>
      </w:r>
      <w:r>
        <w:t xml:space="preserve">discipline matters at proportionally higher stakes.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 history milestones as events.</w:t>
      </w:r>
      <w:r>
        <w:t xml:space="preserve"> </w:t>
      </w:r>
      <w:r>
        <w:t xml:space="preserve">A blade’s remaining life is a function</w:t>
      </w:r>
      <w:r>
        <w:t xml:space="preserve"> </w:t>
      </w:r>
      <w:r>
        <w:t xml:space="preserve">of its load history, which lives in high-volume SCADA streams (off-chain,</w:t>
      </w:r>
      <w:r>
        <w:t xml:space="preserve"> </w:t>
      </w:r>
      <w:r>
        <w:t xml:space="preserve">Table 4.1’s logic unchanged). The adaptation: periodic</w:t>
      </w:r>
      <w:r>
        <w:t xml:space="preserve"> </w:t>
      </w:r>
      <w:r>
        <w:rPr>
          <w:iCs/>
          <w:i/>
        </w:rPr>
        <w:t xml:space="preserve">load-milestone</w:t>
      </w:r>
      <w:r>
        <w:t xml:space="preserve"> </w:t>
      </w:r>
      <w:r>
        <w:t xml:space="preserve">events</w:t>
      </w:r>
      <w:r>
        <w:t xml:space="preserve"> </w:t>
      </w:r>
      <w:r>
        <w:t xml:space="preserve">— attested aggregates (equivalent-fatigue-cycle counters) committed at</w:t>
      </w:r>
      <w:r>
        <w:t xml:space="preserve"> </w:t>
      </w:r>
      <w:r>
        <w:t xml:space="preserve">inspection boundaries — so that resale and insurance decisions have anchored</w:t>
      </w:r>
      <w:r>
        <w:t xml:space="preserve"> </w:t>
      </w:r>
      <w:r>
        <w:t xml:space="preserve">fatigue evidence without the ledger touching telemetry. This pattern</w:t>
      </w:r>
      <w:r>
        <w:t xml:space="preserve"> </w:t>
      </w:r>
      <w:r>
        <w:t xml:space="preserve">(aggregate-then-commit at decision boundaries) is wind’s contribution back to</w:t>
      </w:r>
      <w:r>
        <w:t xml:space="preserve"> </w:t>
      </w:r>
      <w:r>
        <w:t xml:space="preserve">the general framework; it retrofits directly onto battery cycle-count and</w:t>
      </w:r>
      <w:r>
        <w:t xml:space="preserve"> </w:t>
      </w:r>
      <w:r>
        <w:t xml:space="preserve">solar soiling-loss records.</w:t>
      </w:r>
    </w:p>
    <w:p>
      <w:pPr>
        <w:pStyle w:val="FirstParagraph"/>
      </w:pPr>
      <w:r>
        <w:t xml:space="preserve">A blade biography, compressed, to show the machinery running on wind’s</w:t>
      </w:r>
      <w:r>
        <w:t xml:space="preserve"> </w:t>
      </w:r>
      <w:r>
        <w:t xml:space="preserve">characteristic path — the</w:t>
      </w:r>
      <w:r>
        <w:t xml:space="preserve"> </w:t>
      </w:r>
      <w:r>
        <w:rPr>
          <w:iCs/>
          <w:i/>
        </w:rPr>
        <w:t xml:space="preserve">repair loop</w:t>
      </w:r>
      <w:r>
        <w:t xml:space="preserve"> </w:t>
      </w:r>
      <w:r>
        <w:t xml:space="preserve">that solar barely has, and the</w:t>
      </w:r>
      <w:r>
        <w:t xml:space="preserve"> </w:t>
      </w:r>
      <w:r>
        <w:t xml:space="preserve">path on which the sector’s undocumented-repair disputes have</w:t>
      </w:r>
      <w:r>
        <w:t xml:space="preserve"> </w:t>
      </w:r>
      <w:r>
        <w:t xml:space="preserve">traditionally been fought. Blade</w:t>
      </w:r>
      <w:r>
        <w:t xml:space="preserve"> </w:t>
      </w:r>
      <w:r>
        <w:t xml:space="preserve">B-7741 enrolls at manufacture (sectioned ultrasonic template, embedded</w:t>
      </w:r>
      <w:r>
        <w:t xml:space="preserve"> </w:t>
      </w:r>
      <w:r>
        <w:t xml:space="preserve">tag, materials manifest), installs on turbine T-112, and accumulates</w:t>
      </w:r>
      <w:r>
        <w:t xml:space="preserve"> </w:t>
      </w:r>
      <w:r>
        <w:t xml:space="preserve">load-milestone events at each annual inspection. Year nine: lightning</w:t>
      </w:r>
      <w:r>
        <w:t xml:space="preserve"> </w:t>
      </w:r>
      <w:r>
        <w:t xml:space="preserve">damage;</w:t>
      </w:r>
      <w:r>
        <w:t xml:space="preserve"> </w:t>
      </w:r>
      <w:r>
        <w:rPr>
          <w:rStyle w:val="VerbatimChar"/>
        </w:rPr>
        <w:t xml:space="preserve">EVT_FAULT</w:t>
      </w:r>
      <w:r>
        <w:t xml:space="preserve"> </w:t>
      </w:r>
      <w:r>
        <w:t xml:space="preserve">with drone imagery; the blade ships to a repair</w:t>
      </w:r>
      <w:r>
        <w:t xml:space="preserve"> </w:t>
      </w:r>
      <w:r>
        <w:t xml:space="preserve">facility — custody transfers, a</w:t>
      </w:r>
      <w:r>
        <w:t xml:space="preserve"> </w:t>
      </w:r>
      <w:r>
        <w:rPr>
          <w:iCs/>
          <w:i/>
        </w:rPr>
        <w:t xml:space="preserve">repair</w:t>
      </w:r>
      <w:r>
        <w:t xml:space="preserve"> </w:t>
      </w:r>
      <w:r>
        <w:t xml:space="preserve">event class (wind’s main</w:t>
      </w:r>
      <w:r>
        <w:t xml:space="preserve"> </w:t>
      </w:r>
      <w:r>
        <w:t xml:space="preserve">vocabulary addition) carrying the repair scope, materials, and post-repair</w:t>
      </w:r>
      <w:r>
        <w:t xml:space="preserve"> </w:t>
      </w:r>
      <w:r>
        <w:t xml:space="preserve">ultrasonic re-verification whose comparison against the enrollment</w:t>
      </w:r>
      <w:r>
        <w:t xml:space="preserve"> </w:t>
      </w:r>
      <w:r>
        <w:t xml:space="preserve">template both confirms identity and documents the repair’s structural</w:t>
      </w:r>
      <w:r>
        <w:t xml:space="preserve"> </w:t>
      </w:r>
      <w:r>
        <w:t xml:space="preserve">footprint; the blade returns to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turbine, T-089, whose</w:t>
      </w:r>
      <w:r>
        <w:t xml:space="preserve"> </w:t>
      </w:r>
      <w:r>
        <w:t xml:space="preserve">assembly DAG updates. Year seventeen, repowering: the blade’s documented</w:t>
      </w:r>
      <w:r>
        <w:t xml:space="preserve"> </w:t>
      </w:r>
      <w:r>
        <w:t xml:space="preserve">fatigue budget — milestone trail plus two repairs — prices it for a</w:t>
      </w:r>
      <w:r>
        <w:t xml:space="preserve"> </w:t>
      </w:r>
      <w:r>
        <w:t xml:space="preserve">secondary deployment in a lower-wind market rather than the scrapyard,</w:t>
      </w:r>
      <w:r>
        <w:t xml:space="preserve"> </w:t>
      </w:r>
      <w:r>
        <w:t xml:space="preserve">the same deadweight-rescue economics as solar’s Section 1.4.4, at three</w:t>
      </w:r>
      <w:r>
        <w:t xml:space="preserve"> </w:t>
      </w:r>
      <w:r>
        <w:t xml:space="preserve">orders of magnitude higher unit value. Every event in the biography used</w:t>
      </w:r>
      <w:r>
        <w:t xml:space="preserve"> </w:t>
      </w:r>
      <w:r>
        <w:t xml:space="preserve">base-schema machinery except the repair class and the milestone</w:t>
      </w:r>
      <w:r>
        <w:t xml:space="preserve"> </w:t>
      </w:r>
      <w:r>
        <w:t xml:space="preserve">aggregates: a two-item delta for a sector whose provenance disputes</w:t>
      </w:r>
      <w:r>
        <w:t xml:space="preserve"> </w:t>
      </w:r>
      <w:r>
        <w:t xml:space="preserve">predate solar’s entire existence.</w:t>
      </w:r>
    </w:p>
    <w:p>
      <w:pPr>
        <w:pStyle w:val="BodyText"/>
      </w:pPr>
      <w:r>
        <w:t xml:space="preserve">Offshore wind sharpens every number in the onshore story — and supplies</w:t>
      </w:r>
      <w:r>
        <w:t xml:space="preserve"> </w:t>
      </w:r>
      <w:r>
        <w:t xml:space="preserve">the framework’s best cost-benefit ratio anywhere in this chapter — while</w:t>
      </w:r>
      <w:r>
        <w:t xml:space="preserve"> </w:t>
      </w:r>
      <w:r>
        <w:t xml:space="preserve">adding one structural wrinkle. Component values multiply (installation vessels cost</w:t>
      </w:r>
      <w:r>
        <w:t xml:space="preserve"> </w:t>
      </w:r>
      <w:r>
        <w:t xml:space="preserve">more per day than most repairs cost outright, so</w:t>
      </w:r>
      <w:r>
        <w:t xml:space="preserve"> </w:t>
      </w:r>
      <w:r>
        <w:rPr>
          <w:iCs/>
          <w:i/>
        </w:rPr>
        <w:t xml:space="preserve">avoiding one unnecessary</w:t>
      </w:r>
      <w:r>
        <w:rPr>
          <w:iCs/>
          <w:i/>
        </w:rPr>
        <w:t xml:space="preserve"> </w:t>
      </w:r>
      <w:r>
        <w:rPr>
          <w:iCs/>
          <w:i/>
        </w:rPr>
        <w:t xml:space="preserve">jack-up campaign</w:t>
      </w:r>
      <w:r>
        <w:t xml:space="preserve"> </w:t>
      </w:r>
      <w:r>
        <w:t xml:space="preserve">can justify a plant’s entire identity infrastructure);</w:t>
      </w:r>
      <w:r>
        <w:t xml:space="preserve"> </w:t>
      </w:r>
      <w:r>
        <w:t xml:space="preserve">inspection access is scarce and weather-gated, which raises the value of</w:t>
      </w:r>
      <w:r>
        <w:t xml:space="preserve"> </w:t>
      </w:r>
      <w:r>
        <w:t xml:space="preserve">remote Step-1/2 verification precisely because Step-3 visits are gold;</w:t>
      </w:r>
      <w:r>
        <w:t xml:space="preserve"> </w:t>
      </w:r>
      <w:r>
        <w:t xml:space="preserve">and the marine environment accelerates the degradation phenomena the</w:t>
      </w:r>
      <w:r>
        <w:t xml:space="preserve"> </w:t>
      </w:r>
      <w:r>
        <w:t xml:space="preserve">condition records track. The wrinkle is jurisdictional: offshore assets</w:t>
      </w:r>
      <w:r>
        <w:t xml:space="preserve"> </w:t>
      </w:r>
      <w:r>
        <w:t xml:space="preserve">sit in exclusive economic zones under layered regulatory regimes, their</w:t>
      </w:r>
      <w:r>
        <w:t xml:space="preserve"> </w:t>
      </w:r>
      <w:r>
        <w:t xml:space="preserve">components rotate through onshore repair pools serving farms in multiple</w:t>
      </w:r>
      <w:r>
        <w:t xml:space="preserve"> </w:t>
      </w:r>
      <w:r>
        <w:t xml:space="preserve">countries, and the federation topology (Section 7.4) meets its most</w:t>
      </w:r>
      <w:r>
        <w:t xml:space="preserve"> </w:t>
      </w:r>
      <w:r>
        <w:t xml:space="preserve">demanding test — a bearing’s custody chain can cross three ledgers in one</w:t>
      </w:r>
      <w:r>
        <w:t xml:space="preserve"> </w:t>
      </w:r>
      <w:r>
        <w:t xml:space="preserve">repair cycle, exercising the cross-federation traversal at a frequency</w:t>
      </w:r>
      <w:r>
        <w:t xml:space="preserve"> </w:t>
      </w:r>
      <w:r>
        <w:t xml:space="preserve">onshore fleets never will.</w:t>
      </w:r>
    </w:p>
    <w:p>
      <w:pPr>
        <w:pStyle w:val="BodyText"/>
      </w:pPr>
      <w:r>
        <w:t xml:space="preserve">Institutionally, wind’s adoption path runs through different doors than</w:t>
      </w:r>
      <w:r>
        <w:t xml:space="preserve"> </w:t>
      </w:r>
      <w:r>
        <w:t xml:space="preserve">solar’s: the OEMs are few, vertically powerful, and already operate</w:t>
      </w:r>
      <w:r>
        <w:t xml:space="preserve"> </w:t>
      </w:r>
      <w:r>
        <w:t xml:space="preserve">proprietary component-tracking systems — so the realistic first</w:t>
      </w:r>
      <w:r>
        <w:t xml:space="preserve"> </w:t>
      </w:r>
      <w:r>
        <w:t xml:space="preserve">deployment is an OEM opening its existing records to the verification</w:t>
      </w:r>
      <w:r>
        <w:t xml:space="preserve"> </w:t>
      </w:r>
      <w:r>
        <w:t xml:space="preserve">layer (anchoring, third-party proofs) rather than a consortium building</w:t>
      </w:r>
      <w:r>
        <w:t xml:space="preserve"> </w:t>
      </w:r>
      <w:r>
        <w:t xml:space="preserve">from zero, with the independence problem (Chapter 1’s vendor-cloud</w:t>
      </w:r>
      <w:r>
        <w:t xml:space="preserve"> </w:t>
      </w:r>
      <w:r>
        <w:t xml:space="preserve">critique) addressed by anchoring and portability obligations negotiated</w:t>
      </w:r>
      <w:r>
        <w:t xml:space="preserve"> </w:t>
      </w:r>
      <w:r>
        <w:t xml:space="preserve">into service contracts by the operators and insurers who hold the</w:t>
      </w:r>
      <w:r>
        <w:t xml:space="preserve"> </w:t>
      </w:r>
      <w:r>
        <w:t xml:space="preserve">commercial leverage. It is a different route up the same mountain, and</w:t>
      </w:r>
      <w:r>
        <w:t xml:space="preserve"> </w:t>
      </w:r>
      <w:r>
        <w:t xml:space="preserve">the framework’s platform-neutrality (Section 2.6) exists precisely so</w:t>
      </w:r>
      <w:r>
        <w:t xml:space="preserve"> </w:t>
      </w:r>
      <w:r>
        <w:t xml:space="preserve">that both routes arrive at interoperable records. The sector’s data</w:t>
      </w:r>
      <w:r>
        <w:t xml:space="preserve"> </w:t>
      </w:r>
      <w:r>
        <w:t xml:space="preserve">politics are the route’s real gradient: turbine operational data is</w:t>
      </w:r>
      <w:r>
        <w:t xml:space="preserve"> </w:t>
      </w:r>
      <w:r>
        <w:t xml:space="preserve">already a contested asset between OEMs (who want service-contract</w:t>
      </w:r>
      <w:r>
        <w:t xml:space="preserve"> </w:t>
      </w:r>
      <w:r>
        <w:t xml:space="preserve">exclusivity) and operators (who want maintenance-market competition),</w:t>
      </w:r>
      <w:r>
        <w:t xml:space="preserve"> </w:t>
      </w:r>
      <w:r>
        <w:t xml:space="preserve">with regulators increasingly interested in the competition question —</w:t>
      </w:r>
      <w:r>
        <w:t xml:space="preserve"> </w:t>
      </w:r>
      <w:r>
        <w:t xml:space="preserve">and the identity layer, which needs only sparse evidential extracts,</w:t>
      </w:r>
      <w:r>
        <w:t xml:space="preserve"> </w:t>
      </w:r>
      <w:r>
        <w:t xml:space="preserve">offers both sides a settlement surface: the operator gets portable,</w:t>
      </w:r>
      <w:r>
        <w:t xml:space="preserve"> </w:t>
      </w:r>
      <w:r>
        <w:t xml:space="preserve">verifiable component histories that make third-party maintenance</w:t>
      </w:r>
      <w:r>
        <w:t xml:space="preserve"> </w:t>
      </w:r>
      <w:r>
        <w:t xml:space="preserve">biddable; the OEM keeps its high-frequency telemetry moat. Whether the</w:t>
      </w:r>
      <w:r>
        <w:t xml:space="preserve"> </w:t>
      </w:r>
      <w:r>
        <w:t xml:space="preserve">parties take the settlement is commerce, not architecture; the</w:t>
      </w:r>
      <w:r>
        <w:t xml:space="preserve"> </w:t>
      </w:r>
      <w:r>
        <w:t xml:space="preserve">architecture’s job was to make it available.</w:t>
      </w:r>
    </w:p>
    <w:bookmarkEnd w:id="23"/>
    <w:bookmarkStart w:id="24" w:name="X3d20d8f0e0dd18a1b63f7e15e14b8d295f5c54c"/>
    <w:p>
      <w:pPr>
        <w:pStyle w:val="Heading2"/>
      </w:pPr>
      <w:r>
        <w:t xml:space="preserve">12.4 The Long Tail: Inverter-Class IoT and the Firmware Problem</w:t>
      </w:r>
    </w:p>
    <w:p>
      <w:pPr>
        <w:pStyle w:val="FirstParagraph"/>
      </w:pPr>
      <w:r>
        <w:t xml:space="preserve">The long tail’s population deserves a moment’s enumeration before its</w:t>
      </w:r>
      <w:r>
        <w:t xml:space="preserve"> </w:t>
      </w:r>
      <w:r>
        <w:t xml:space="preserve">common problem, because its diversity is the point. EV chargers (tens of</w:t>
      </w:r>
      <w:r>
        <w:t xml:space="preserve"> </w:t>
      </w:r>
      <w:r>
        <w:t xml:space="preserve">millions of units, commerce-critical, publicly sited); smart meters (the</w:t>
      </w:r>
      <w:r>
        <w:t xml:space="preserve"> </w:t>
      </w:r>
      <w:r>
        <w:t xml:space="preserve">solved precedent of Section 3.3.1, now a component population inside this</w:t>
      </w:r>
      <w:r>
        <w:t xml:space="preserve"> </w:t>
      </w:r>
      <w:r>
        <w:t xml:space="preserve">framework); residential and C&amp;I gateways and energy managers (the</w:t>
      </w:r>
      <w:r>
        <w:t xml:space="preserve"> </w:t>
      </w:r>
      <w:r>
        <w:t xml:space="preserve">orchestration layer of the behind-the-meter world); tracker controllers</w:t>
      </w:r>
      <w:r>
        <w:t xml:space="preserve"> </w:t>
      </w:r>
      <w:r>
        <w:t xml:space="preserve">and the emerging robotic-cleaner fleets (mobile assets whose own custody</w:t>
      </w:r>
      <w:r>
        <w:t xml:space="preserve"> </w:t>
      </w:r>
      <w:r>
        <w:t xml:space="preserve">histories matter); heat-pump and EV-charging controllers in the</w:t>
      </w:r>
      <w:r>
        <w:t xml:space="preserve"> </w:t>
      </w:r>
      <w:r>
        <w:t xml:space="preserve">electrified-heat segment. All share the profile: active</w:t>
      </w:r>
      <w:r>
        <w:t xml:space="preserve"> </w:t>
      </w:r>
      <w:r>
        <w:t xml:space="preserve">binding per Section 3.3, lifecycle per Chapter 5, nothing new — except the one</w:t>
      </w:r>
      <w:r>
        <w:t xml:space="preserve"> </w:t>
      </w:r>
      <w:r>
        <w:t xml:space="preserve">dimension solar underweights:</w:t>
      </w:r>
      <w:r>
        <w:t xml:space="preserve"> </w:t>
      </w:r>
      <w:r>
        <w:rPr>
          <w:bCs/>
          <w:b/>
        </w:rPr>
        <w:t xml:space="preserve">mutable software on a fixed device.</w:t>
      </w:r>
      <w:r>
        <w:t xml:space="preserve"> </w:t>
      </w:r>
      <w:r>
        <w:t xml:space="preserve">For these</w:t>
      </w:r>
      <w:r>
        <w:t xml:space="preserve"> </w:t>
      </w:r>
      <w:r>
        <w:t xml:space="preserve">assets the config/firmware state is safety- and grid-relevant (IEEE 1547</w:t>
      </w:r>
      <w:r>
        <w:t xml:space="preserve"> </w:t>
      </w:r>
      <w:r>
        <w:t xml:space="preserve">settings, inverter grid-support curves), changes hundreds of times over a</w:t>
      </w:r>
      <w:r>
        <w:t xml:space="preserve"> </w:t>
      </w:r>
      <w:r>
        <w:t xml:space="preserve">service life, and is invisible to physical binding. The adaptation: a</w:t>
      </w:r>
      <w:r>
        <w:t xml:space="preserve"> </w:t>
      </w:r>
      <w:r>
        <w:rPr>
          <w:rStyle w:val="VerbatimChar"/>
        </w:rPr>
        <w:t xml:space="preserve">EVT_CONFIG_CHANGE</w:t>
      </w:r>
      <w:r>
        <w:t xml:space="preserve"> </w:t>
      </w:r>
      <w:r>
        <w:t xml:space="preserve">event class carrying firmware/config digests signed by the</w:t>
      </w:r>
      <w:r>
        <w:t xml:space="preserve"> </w:t>
      </w:r>
      <w:r>
        <w:t xml:space="preserve">device’s secure element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party commanding the change, giving the DSO of</w:t>
      </w:r>
      <w:r>
        <w:t xml:space="preserve"> </w:t>
      </w:r>
      <w:r>
        <w:t xml:space="preserve">Section 10.4 a verifiable answer to</w:t>
      </w:r>
      <w:r>
        <w:t xml:space="preserve"> </w:t>
      </w:r>
      <w:r>
        <w:t xml:space="preserve">“</w:t>
      </w:r>
      <w:r>
        <w:t xml:space="preserve">what code, what settings, since when</w:t>
      </w:r>
      <w:r>
        <w:t xml:space="preserve">”</w:t>
      </w:r>
      <w:r>
        <w:t xml:space="preserve"> </w:t>
      </w:r>
      <w:r>
        <w:t xml:space="preserve">— the</w:t>
      </w:r>
      <w:r>
        <w:t xml:space="preserve"> </w:t>
      </w:r>
      <w:r>
        <w:t xml:space="preserve">device-identity equivalent of the calibration chain instruments already have</w:t>
      </w:r>
      <w:r>
        <w:t xml:space="preserve"> </w:t>
      </w:r>
      <w:r>
        <w:t xml:space="preserve">(Section 4.5, Rule 3). The threat model gains F12, malicious-update-with-valid-</w:t>
      </w:r>
      <w:r>
        <w:t xml:space="preserve"> </w:t>
      </w:r>
      <w:r>
        <w:t xml:space="preserve">keys, which is bounded the same way F10 was: dual authorization and</w:t>
      </w:r>
      <w:r>
        <w:t xml:space="preserve"> </w:t>
      </w:r>
      <w:r>
        <w:t xml:space="preserve">attributability, not cryptographic prevention.</w:t>
      </w:r>
    </w:p>
    <w:p>
      <w:pPr>
        <w:pStyle w:val="BodyText"/>
      </w:pPr>
      <w:r>
        <w:t xml:space="preserve">The config-change class needs volume discipline or it swallows the</w:t>
      </w:r>
      <w:r>
        <w:t xml:space="preserve"> </w:t>
      </w:r>
      <w:r>
        <w:t xml:space="preserve">evidential tier: a national charger fleet’s routine update campaigns</w:t>
      </w:r>
      <w:r>
        <w:t xml:space="preserve"> </w:t>
      </w:r>
      <w:r>
        <w:t xml:space="preserve">would generate millions of identical events. The answer is the batching</w:t>
      </w:r>
      <w:r>
        <w:t xml:space="preserve"> </w:t>
      </w:r>
      <w:r>
        <w:t xml:space="preserve">grammar already built — campaign-level events committing a Merkle root</w:t>
      </w:r>
      <w:r>
        <w:t xml:space="preserve"> </w:t>
      </w:r>
      <w:r>
        <w:t xml:space="preserve">over per-device confirmations, each device’s inclusion individually</w:t>
      </w:r>
      <w:r>
        <w:t xml:space="preserve"> </w:t>
      </w:r>
      <w:r>
        <w:t xml:space="preserve">provable (Section 7.2’s pattern, third reuse) — plus a severity taxonomy:</w:t>
      </w:r>
      <w:r>
        <w:t xml:space="preserve"> </w:t>
      </w:r>
      <w:r>
        <w:t xml:space="preserve">grid-behavioral changes (protection settings, support curves) are</w:t>
      </w:r>
      <w:r>
        <w:t xml:space="preserve"> </w:t>
      </w:r>
      <w:r>
        <w:t xml:space="preserve">evidential events per device; cosmetic firmware revisions travel as</w:t>
      </w:r>
      <w:r>
        <w:t xml:space="preserve"> </w:t>
      </w:r>
      <w:r>
        <w:t xml:space="preserve">campaign aggregates. The DSO subscription then filters at exactly the</w:t>
      </w:r>
      <w:r>
        <w:t xml:space="preserve"> </w:t>
      </w:r>
      <w:r>
        <w:t xml:space="preserve">severity boundary its codes care about.</w:t>
      </w:r>
    </w:p>
    <w:p>
      <w:pPr>
        <w:pStyle w:val="BodyText"/>
      </w:pPr>
      <w:r>
        <w:t xml:space="preserve">The aggregation layer above the devices — virtual power plants, demand-</w:t>
      </w:r>
      <w:r>
        <w:t xml:space="preserve"> </w:t>
      </w:r>
      <w:r>
        <w:t xml:space="preserve">response fleets, flexibility markets — deserves its boundary statement,</w:t>
      </w:r>
      <w:r>
        <w:t xml:space="preserve"> </w:t>
      </w:r>
      <w:r>
        <w:t xml:space="preserve">because it is where this framework most often gets over-sold. An</w:t>
      </w:r>
      <w:r>
        <w:t xml:space="preserve"> </w:t>
      </w:r>
      <w:r>
        <w:t xml:space="preserve">aggregator’s settlement records, dispatch histories, and baseline</w:t>
      </w:r>
      <w:r>
        <w:t xml:space="preserve"> </w:t>
      </w:r>
      <w:r>
        <w:t xml:space="preserve">calculations are</w:t>
      </w:r>
      <w:r>
        <w:t xml:space="preserve"> </w:t>
      </w:r>
      <w:r>
        <w:rPr>
          <w:iCs/>
          <w:i/>
        </w:rPr>
        <w:t xml:space="preserve">market</w:t>
      </w:r>
      <w:r>
        <w:t xml:space="preserve"> </w:t>
      </w:r>
      <w:r>
        <w:t xml:space="preserve">data with their own integrity regimes; the</w:t>
      </w:r>
      <w:r>
        <w:t xml:space="preserve"> </w:t>
      </w:r>
      <w:r>
        <w:t xml:space="preserve">asset-identity layer’s contribution is the substrate those regimes</w:t>
      </w:r>
      <w:r>
        <w:t xml:space="preserve"> </w:t>
      </w:r>
      <w:r>
        <w:t xml:space="preserve">currently lack — verifiable device identity, certified capability</w:t>
      </w:r>
      <w:r>
        <w:t xml:space="preserve"> </w:t>
      </w:r>
      <w:r>
        <w:t xml:space="preserve">(config-change history), and location class for the fleet an aggregator</w:t>
      </w:r>
      <w:r>
        <w:t xml:space="preserve"> </w:t>
      </w:r>
      <w:r>
        <w:t xml:space="preserve">claims to control.</w:t>
      </w:r>
      <w:r>
        <w:t xml:space="preserve"> </w:t>
      </w:r>
      <w:r>
        <w:t xml:space="preserve">“</w:t>
      </w:r>
      <w:r>
        <w:t xml:space="preserve">Which devices, with what certified behavior, does</w:t>
      </w:r>
      <w:r>
        <w:t xml:space="preserve"> </w:t>
      </w:r>
      <w:r>
        <w:t xml:space="preserve">this VPP actually command?</w:t>
      </w:r>
      <w:r>
        <w:t xml:space="preserve">”</w:t>
      </w:r>
      <w:r>
        <w:t xml:space="preserve"> </w:t>
      </w:r>
      <w:r>
        <w:t xml:space="preserve">is an asset-identity question this</w:t>
      </w:r>
      <w:r>
        <w:t xml:space="preserve"> </w:t>
      </w:r>
      <w:r>
        <w:t xml:space="preserve">architecture answers — and one that flexibility-market rules increasingly</w:t>
      </w:r>
      <w:r>
        <w:t xml:space="preserve"> </w:t>
      </w:r>
      <w:r>
        <w:t xml:space="preserve">require aggregators to answer credibly at prequalification;</w:t>
      </w:r>
      <w:r>
        <w:t xml:space="preserve"> </w:t>
      </w:r>
      <w:r>
        <w:t xml:space="preserve">“</w:t>
      </w:r>
      <w:r>
        <w:t xml:space="preserve">did the VPP</w:t>
      </w:r>
      <w:r>
        <w:t xml:space="preserve"> </w:t>
      </w:r>
      <w:r>
        <w:t xml:space="preserve">deliver its flexibility bid?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market-settlement question it deliberately does not. Deployments that</w:t>
      </w:r>
      <w:r>
        <w:t xml:space="preserve"> </w:t>
      </w:r>
      <w:r>
        <w:t xml:space="preserve">keep the boundary keep both systems honest; those that blur it inherit</w:t>
      </w:r>
      <w:r>
        <w:t xml:space="preserve"> </w:t>
      </w:r>
      <w:r>
        <w:t xml:space="preserve">the energy-trading scope creep Section 1.6 excluded on page one.</w:t>
      </w:r>
    </w:p>
    <w:p>
      <w:pPr>
        <w:pStyle w:val="BodyText"/>
      </w:pPr>
      <w:r>
        <w:t xml:space="preserve">Two class-specific notes complete the long tail.</w:t>
      </w:r>
      <w:r>
        <w:t xml:space="preserve"> </w:t>
      </w:r>
      <w:r>
        <w:rPr>
          <w:iCs/>
          <w:i/>
        </w:rPr>
        <w:t xml:space="preserve">EV charging</w:t>
      </w:r>
      <w:r>
        <w:rPr>
          <w:iCs/>
          <w:i/>
        </w:rPr>
        <w:t xml:space="preserve"> </w:t>
      </w:r>
      <w:r>
        <w:rPr>
          <w:iCs/>
          <w:i/>
        </w:rPr>
        <w:t xml:space="preserve">infrastructure</w:t>
      </w:r>
      <w:r>
        <w:t xml:space="preserve"> </w:t>
      </w:r>
      <w:r>
        <w:t xml:space="preserve">adds a commercial dimension the other classes lack:</w:t>
      </w:r>
      <w:r>
        <w:t xml:space="preserve"> </w:t>
      </w:r>
      <w:r>
        <w:t xml:space="preserve">chargers are metrologically certified billing instruments, so their</w:t>
      </w:r>
      <w:r>
        <w:t xml:space="preserve"> </w:t>
      </w:r>
      <w:r>
        <w:t xml:space="preserve">identity records intersect legal metrology (the meter-fleet precedent of</w:t>
      </w:r>
      <w:r>
        <w:t xml:space="preserve"> </w:t>
      </w:r>
      <w:r>
        <w:t xml:space="preserve">Section 3.3.1 applies nearly verbatim — Germany’s charging-calibration</w:t>
      </w:r>
      <w:r>
        <w:t xml:space="preserve"> </w:t>
      </w:r>
      <w:r>
        <w:t xml:space="preserve">regime already mandates signed meter records per session) and their</w:t>
      </w:r>
      <w:r>
        <w:t xml:space="preserve"> </w:t>
      </w:r>
      <w:r>
        <w:t xml:space="preserve">config-change history is</w:t>
      </w:r>
      <w:r>
        <w:t xml:space="preserve"> </w:t>
      </w:r>
      <w:r>
        <w:t xml:space="preserve">also a</w:t>
      </w:r>
      <w:r>
        <w:t xml:space="preserve"> </w:t>
      </w:r>
      <w:r>
        <w:rPr>
          <w:iCs/>
          <w:i/>
        </w:rPr>
        <w:t xml:space="preserve">tariff-integrity</w:t>
      </w:r>
      <w:r>
        <w:t xml:space="preserve"> </w:t>
      </w:r>
      <w:r>
        <w:t xml:space="preserve">record — the regulator’s question is not only</w:t>
      </w:r>
      <w:r>
        <w:t xml:space="preserve"> </w:t>
      </w:r>
      <w:r>
        <w:t xml:space="preserve">“</w:t>
      </w:r>
      <w:r>
        <w:t xml:space="preserve">is the grid behavior certified?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was the customer billed by the</w:t>
      </w:r>
      <w:r>
        <w:t xml:space="preserve"> </w:t>
      </w:r>
      <w:r>
        <w:t xml:space="preserve">firmware the certificate covers?</w:t>
      </w:r>
      <w:r>
        <w:t xml:space="preserve">”</w:t>
      </w:r>
      <w:r>
        <w:t xml:space="preserve"> </w:t>
      </w:r>
      <w:r>
        <w:rPr>
          <w:iCs/>
          <w:i/>
        </w:rPr>
        <w:t xml:space="preserve">Heat pumps and behind-the-meter</w:t>
      </w:r>
      <w:r>
        <w:rPr>
          <w:iCs/>
          <w:i/>
        </w:rPr>
        <w:t xml:space="preserve"> </w:t>
      </w:r>
      <w:r>
        <w:rPr>
          <w:iCs/>
          <w:i/>
        </w:rPr>
        <w:t xml:space="preserve">controllers</w:t>
      </w:r>
      <w:r>
        <w:t xml:space="preserve"> </w:t>
      </w:r>
      <w:r>
        <w:t xml:space="preserve">stress the privacy design hardest: their operational</w:t>
      </w:r>
      <w:r>
        <w:t xml:space="preserve"> </w:t>
      </w:r>
      <w:r>
        <w:t xml:space="preserve">patterns are household telemetry of the most intimate kind, and the</w:t>
      </w:r>
      <w:r>
        <w:t xml:space="preserve"> </w:t>
      </w:r>
      <w:r>
        <w:t xml:space="preserve">architecture’s discipline — evidential events sparse and</w:t>
      </w:r>
      <w:r>
        <w:t xml:space="preserve"> </w:t>
      </w:r>
      <w:r>
        <w:t xml:space="preserve">appliance-focused, operational streams never leaving the home platform,</w:t>
      </w:r>
      <w:r>
        <w:t xml:space="preserve"> </w:t>
      </w:r>
      <w:r>
        <w:t xml:space="preserve">Chapter 10’s zones enforced at the schema — is the difference between an</w:t>
      </w:r>
      <w:r>
        <w:t xml:space="preserve"> </w:t>
      </w:r>
      <w:r>
        <w:t xml:space="preserve">asset registry and a surveillance system wearing one’s clothes. The</w:t>
      </w:r>
      <w:r>
        <w:t xml:space="preserve"> </w:t>
      </w:r>
      <w:r>
        <w:t xml:space="preserve">residential interface-austerity note of Section 10.2 was written for</w:t>
      </w:r>
      <w:r>
        <w:t xml:space="preserve"> </w:t>
      </w:r>
      <w:r>
        <w:t xml:space="preserve">solar and applies here with the volume turned up.</w:t>
      </w:r>
    </w:p>
    <w:p>
      <w:pPr>
        <w:pStyle w:val="BodyText"/>
      </w:pPr>
      <w:r>
        <w:t xml:space="preserve">The long tail’s conformance economics close its treatment: these device</w:t>
      </w:r>
      <w:r>
        <w:t xml:space="preserve"> </w:t>
      </w:r>
      <w:r>
        <w:t xml:space="preserve">classes ship in millions from dozens of vendors into certification</w:t>
      </w:r>
      <w:r>
        <w:t xml:space="preserve"> </w:t>
      </w:r>
      <w:r>
        <w:t xml:space="preserve">regimes (metering directives, charging-infrastructure regulations,</w:t>
      </w:r>
      <w:r>
        <w:t xml:space="preserve"> </w:t>
      </w:r>
      <w:r>
        <w:t xml:space="preserve">appliance standards) that already operate type-approval machinery. The</w:t>
      </w:r>
      <w:r>
        <w:t xml:space="preserve"> </w:t>
      </w:r>
      <w:r>
        <w:t xml:space="preserve">framework’s asks — secure elements, attested firmware, config-change</w:t>
      </w:r>
      <w:r>
        <w:t xml:space="preserve"> </w:t>
      </w:r>
      <w:r>
        <w:t xml:space="preserve">events — are cheapest to impose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those existing regimes as</w:t>
      </w:r>
      <w:r>
        <w:t xml:space="preserve"> </w:t>
      </w:r>
      <w:r>
        <w:t xml:space="preserve">certification criteria rather than beside them as consortium</w:t>
      </w:r>
      <w:r>
        <w:t xml:space="preserve"> </w:t>
      </w:r>
      <w:r>
        <w:t xml:space="preserve">requirements, which is the meter fleets’ lesson (Section 3.3.1)</w:t>
      </w:r>
      <w:r>
        <w:t xml:space="preserve"> </w:t>
      </w:r>
      <w:r>
        <w:t xml:space="preserve">generalized: where a certification chokepoint exists, use it; the open</w:t>
      </w:r>
      <w:r>
        <w:t xml:space="preserve"> </w:t>
      </w:r>
      <w:r>
        <w:t xml:space="preserve">market’s long tail is exactly the population for which voluntary</w:t>
      </w:r>
      <w:r>
        <w:t xml:space="preserve"> </w:t>
      </w:r>
      <w:r>
        <w:t xml:space="preserve">consortium adoption moves slowest and regulatory reference moves</w:t>
      </w:r>
      <w:r>
        <w:t xml:space="preserve"> </w:t>
      </w:r>
      <w:r>
        <w:t xml:space="preserve">fastest.</w:t>
      </w:r>
    </w:p>
    <w:bookmarkEnd w:id="24"/>
    <w:bookmarkStart w:id="26" w:name="X100edc24a9d2eb5eff42da93df6664988e02876"/>
    <w:p>
      <w:pPr>
        <w:pStyle w:val="Heading2"/>
      </w:pPr>
      <w:r>
        <w:t xml:space="preserve">12.5 Interoperability: The Problem Deployment Forces</w:t>
      </w:r>
    </w:p>
    <w:p>
      <w:pPr>
        <w:pStyle w:val="FirstParagraph"/>
      </w:pPr>
      <w:r>
        <w:t xml:space="preserve">A fund owns solar, storage, and wind; a recycler receives all three; an insurer</w:t>
      </w:r>
      <w:r>
        <w:t xml:space="preserve"> </w:t>
      </w:r>
      <w:r>
        <w:t xml:space="preserve">underwrites the portfolio. If each asset class — worse, each vendor — carries its</w:t>
      </w:r>
      <w:r>
        <w:t xml:space="preserve"> </w:t>
      </w:r>
      <w:r>
        <w:t xml:space="preserve">own identity scheme, the verification cost the architecture eliminated returns</w:t>
      </w:r>
      <w:r>
        <w:t xml:space="preserve"> </w:t>
      </w:r>
      <w:r>
        <w:t xml:space="preserve">as integration cost — and the cross-class actors are not edge cases but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value-bearing</w:t>
      </w:r>
      <w:r>
        <w:t xml:space="preserve"> </w:t>
      </w:r>
      <w:r>
        <w:t xml:space="preserve">cases: Chapter 13 will show that insurers, lenders,</w:t>
      </w:r>
      <w:r>
        <w:t xml:space="preserve"> </w:t>
      </w:r>
      <w:r>
        <w:t xml:space="preserve">and recyclers, the parties whose verification demand drives adoption, are</w:t>
      </w:r>
      <w:r>
        <w:t xml:space="preserve"> </w:t>
      </w:r>
      <w:r>
        <w:t xml:space="preserve">all portfolio parties by construction. Interoperability is therefore not</w:t>
      </w:r>
      <w:r>
        <w:t xml:space="preserve"> </w:t>
      </w:r>
      <w:r>
        <w:t xml:space="preserve">a phase-two nicety; it is the adoption engine’s fuel line. Three</w:t>
      </w:r>
      <w:r>
        <w:t xml:space="preserve"> </w:t>
      </w:r>
      <w:r>
        <w:t xml:space="preserve">interoperability layers, in order of difficulty:</w:t>
      </w:r>
    </w:p>
    <w:p>
      <w:pPr>
        <w:pStyle w:val="BodyText"/>
      </w:pPr>
      <w:r>
        <w:rPr>
          <w:bCs/>
          <w:b/>
        </w:rPr>
        <w:t xml:space="preserve">Table 12.2</w:t>
      </w:r>
      <w:r>
        <w:t xml:space="preserve"> </w:t>
      </w:r>
      <w:r>
        <w:t xml:space="preserve">Interoperability layers and their current state. The rows</w:t>
      </w:r>
      <w:r>
        <w:t xml:space="preserve"> </w:t>
      </w:r>
      <w:r>
        <w:t xml:space="preserve">order by difficulty is also their order of consequence: an envelope</w:t>
      </w:r>
      <w:r>
        <w:t xml:space="preserve"> </w:t>
      </w:r>
      <w:r>
        <w:t xml:space="preserve">mismatch costs an adapter; a vocabulary mismatch costs analytics; a</w:t>
      </w:r>
      <w:r>
        <w:t xml:space="preserve"> </w:t>
      </w:r>
      <w:r>
        <w:t xml:space="preserve">binding mismatch costs the ability to verify at 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event envelope, one DID resolution path across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book’s schema; W3C DID/VC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Achievable now by design discipline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vocabularies per domain (SoH, fatigue, degradation)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delegated acts; IEC TC82/TC88/TC21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Fragmentary; passports forcing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Cross-vendor template &amp; threshold standards (§11.7 problem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genuine gap (→ Ch. 14)</w:t>
            </w:r>
          </w:p>
        </w:tc>
      </w:tr>
    </w:tbl>
    <w:p>
      <w:pPr>
        <w:pStyle w:val="BodyText"/>
      </w:pPr>
      <w:r>
        <w:t xml:space="preserve">The envelope layer is the argument for the federated topology one more time:</w:t>
      </w:r>
      <w:r>
        <w:t xml:space="preserve"> </w:t>
      </w:r>
      <w:r>
        <w:t xml:space="preserve">class- or jurisdiction-specific consortium ledgers, mutually anchored, sharing</w:t>
      </w:r>
      <w:r>
        <w:t xml:space="preserve"> </w:t>
      </w:r>
      <w:r>
        <w:t xml:space="preserve">the envelope and DID method — so a portfolio verifier runs one Step-1/Step-2</w:t>
      </w:r>
      <w:r>
        <w:t xml:space="preserve"> </w:t>
      </w:r>
      <w:r>
        <w:t xml:space="preserve">client against all of them (the third independent requirement to land on</w:t>
      </w:r>
      <w:r>
        <w:t xml:space="preserve"> </w:t>
      </w:r>
      <w:r>
        <w:t xml:space="preserve">federation, after scalability in Section 7.4 and data residency in Section 10.4;</w:t>
      </w:r>
      <w:r>
        <w:t xml:space="preserve"> </w:t>
      </w:r>
      <w:r>
        <w:t xml:space="preserve">by now the pattern has earned its place as the default deployment shape). The</w:t>
      </w:r>
      <w:r>
        <w:t xml:space="preserve"> </w:t>
      </w:r>
      <w:r>
        <w:t xml:space="preserve">payload layer is being settled, de facto, by the EU passport delegated acts —</w:t>
      </w:r>
      <w:r>
        <w:t xml:space="preserve"> </w:t>
      </w:r>
      <w:r>
        <w:t xml:space="preserve">whoever writes those data models is writing the sector’s shared vocabulary, a</w:t>
      </w:r>
      <w:r>
        <w:t xml:space="preserve"> </w:t>
      </w:r>
      <w:r>
        <w:t xml:space="preserve">point Chapter 14 makes with some urgency for the PV act still in motion. The</w:t>
      </w:r>
      <w:r>
        <w:t xml:space="preserve"> </w:t>
      </w:r>
      <w:r>
        <w:t xml:space="preserve">binding layer has no standards body engaged at all, and it is where this book’s</w:t>
      </w:r>
      <w:r>
        <w:t xml:space="preserve"> </w:t>
      </w:r>
      <w:r>
        <w:t xml:space="preserve">research community has the most to contribute and the least time to do it: once</w:t>
      </w:r>
      <w:r>
        <w:t xml:space="preserve"> </w:t>
      </w:r>
      <w:r>
        <w:t xml:space="preserve">large fleets enroll under proprietary template formats, the switching costs will</w:t>
      </w:r>
      <w:r>
        <w:t xml:space="preserve"> </w:t>
      </w:r>
      <w:r>
        <w:t xml:space="preserve">entrench whatever shipped first.</w:t>
      </w:r>
    </w:p>
    <w:p>
      <w:pPr>
        <w:pStyle w:val="BodyText"/>
      </w:pPr>
      <w:r>
        <w:t xml:space="preserve">The portfolio verifier’s day, walked once, makes the interoperability</w:t>
      </w:r>
      <w:r>
        <w:t xml:space="preserve"> </w:t>
      </w:r>
      <w:r>
        <w:t xml:space="preserve">stakes concrete — and every reader who manages mixed-asset infrastructure</w:t>
      </w:r>
      <w:r>
        <w:t xml:space="preserve"> </w:t>
      </w:r>
      <w:r>
        <w:t xml:space="preserve">will recognize the translation layer in it, because they are paying for</w:t>
      </w:r>
      <w:r>
        <w:t xml:space="preserve"> </w:t>
      </w:r>
      <w:r>
        <w:t xml:space="preserve">one now under a different name. An infrastructure fund’s monitoring client wakes to</w:t>
      </w:r>
      <w:r>
        <w:t xml:space="preserve"> </w:t>
      </w:r>
      <w:r>
        <w:t xml:space="preserve">verify overnight events across its holdings: solar plants on two national</w:t>
      </w:r>
      <w:r>
        <w:t xml:space="preserve"> </w:t>
      </w:r>
      <w:r>
        <w:t xml:space="preserve">federations, a battery portfolio on a storage-sector consortium, wind</w:t>
      </w:r>
      <w:r>
        <w:t xml:space="preserve"> </w:t>
      </w:r>
      <w:r>
        <w:t xml:space="preserve">assets on the manufacturer-led ledger their turbines shipped with. At the</w:t>
      </w:r>
      <w:r>
        <w:t xml:space="preserve"> </w:t>
      </w:r>
      <w:r>
        <w:t xml:space="preserve">envelope layer, one client verifies all four — same DID resolution, same</w:t>
      </w:r>
      <w:r>
        <w:t xml:space="preserve"> </w:t>
      </w:r>
      <w:r>
        <w:t xml:space="preserve">proof machinery, same anchor checks —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the S1/S2 layers hold; today,</w:t>
      </w:r>
      <w:r>
        <w:t xml:space="preserve"> </w:t>
      </w:r>
      <w:r>
        <w:t xml:space="preserve">with the wind vendor’s ledger using its own event grammar, the fund runs</w:t>
      </w:r>
      <w:r>
        <w:t xml:space="preserve"> </w:t>
      </w:r>
      <w:r>
        <w:t xml:space="preserve">two clients and a translation layer its auditors accept grudgingly. At</w:t>
      </w:r>
      <w:r>
        <w:t xml:space="preserve"> </w:t>
      </w:r>
      <w:r>
        <w:t xml:space="preserve">the payload layer, the fund’s degradation dashboard wants solar</w:t>
      </w:r>
      <w:r>
        <w:t xml:space="preserve"> </w:t>
      </w:r>
      <w:r>
        <w:t xml:space="preserve">condition records, battery SoH attestations, and blade fatigue milestones</w:t>
      </w:r>
      <w:r>
        <w:t xml:space="preserve"> </w:t>
      </w:r>
      <w:r>
        <w:t xml:space="preserve">in comparable form; the passport data models will force the convergence</w:t>
      </w:r>
      <w:r>
        <w:t xml:space="preserve"> </w:t>
      </w:r>
      <w:r>
        <w:t xml:space="preserve">the analytics vendors have not. At the binding layer, the fund’s</w:t>
      </w:r>
      <w:r>
        <w:t xml:space="preserve"> </w:t>
      </w:r>
      <w:r>
        <w:t xml:space="preserve">diligence playbook for acquisitions currently specifies verification</w:t>
      </w:r>
      <w:r>
        <w:t xml:space="preserve"> </w:t>
      </w:r>
      <w:r>
        <w:t xml:space="preserve">procedures</w:t>
      </w:r>
      <w:r>
        <w:t xml:space="preserve"> </w:t>
      </w:r>
      <w:r>
        <w:rPr>
          <w:iCs/>
          <w:i/>
        </w:rPr>
        <w:t xml:space="preserve">per vendor ecosystem</w:t>
      </w:r>
      <w:r>
        <w:t xml:space="preserve"> </w:t>
      </w:r>
      <w:r>
        <w:t xml:space="preserve">— the exact per-relationship cost</w:t>
      </w:r>
      <w:r>
        <w:t xml:space="preserve"> </w:t>
      </w:r>
      <w:r>
        <w:t xml:space="preserve">Chapter 1 diagnosed, reborn one level up. Every layer’s gap is somebody’s</w:t>
      </w:r>
      <w:r>
        <w:t xml:space="preserve"> </w:t>
      </w:r>
      <w:r>
        <w:t xml:space="preserve">integration invoice, and the invoices, not the standards essays, are what</w:t>
      </w:r>
      <w:r>
        <w:t xml:space="preserve"> </w:t>
      </w:r>
      <w:r>
        <w:t xml:space="preserve">will drive the convergence.</w:t>
      </w:r>
    </w:p>
    <w:bookmarkStart w:id="25" w:name="who-convenes-the-convergence"/>
    <w:p>
      <w:pPr>
        <w:pStyle w:val="Heading3"/>
      </w:pPr>
      <w:r>
        <w:t xml:space="preserve">12.5.1 Who Convenes the Convergence</w:t>
      </w:r>
    </w:p>
    <w:p>
      <w:pPr>
        <w:pStyle w:val="FirstParagraph"/>
      </w:pPr>
      <w:r>
        <w:t xml:space="preserve">Naming the venues, because</w:t>
      </w:r>
      <w:r>
        <w:t xml:space="preserve"> </w:t>
      </w:r>
      <w:r>
        <w:t xml:space="preserve">“</w:t>
      </w:r>
      <w:r>
        <w:t xml:space="preserve">standards should exist</w:t>
      </w:r>
      <w:r>
        <w:t xml:space="preserve">”</w:t>
      </w:r>
      <w:r>
        <w:t xml:space="preserve"> </w:t>
      </w:r>
      <w:r>
        <w:t xml:space="preserve">is a sentiment and</w:t>
      </w:r>
      <w:r>
        <w:t xml:space="preserve"> </w:t>
      </w:r>
      <w:r>
        <w:t xml:space="preserve">committee calendars are facts. The</w:t>
      </w:r>
      <w:r>
        <w:t xml:space="preserve"> </w:t>
      </w:r>
      <w:r>
        <w:rPr>
          <w:iCs/>
          <w:i/>
        </w:rPr>
        <w:t xml:space="preserve">envelope and DID method</w:t>
      </w:r>
      <w:r>
        <w:t xml:space="preserve"> </w:t>
      </w:r>
      <w:r>
        <w:t xml:space="preserve">work (S1/S2)</w:t>
      </w:r>
      <w:r>
        <w:t xml:space="preserve"> </w:t>
      </w:r>
      <w:r>
        <w:t xml:space="preserve">has natural homes in ISO/TC 307’s DLT program crossed with the sectoral</w:t>
      </w:r>
      <w:r>
        <w:t xml:space="preserve"> </w:t>
      </w:r>
      <w:r>
        <w:t xml:space="preserve">committees — IEC TC 82 (solar), TC 21 (batteries), TC 88 (wind) — with</w:t>
      </w:r>
      <w:r>
        <w:t xml:space="preserve"> </w:t>
      </w:r>
      <w:r>
        <w:t xml:space="preserve">the practical path running through a joint working group anchored by</w:t>
      </w:r>
      <w:r>
        <w:t xml:space="preserve"> </w:t>
      </w:r>
      <w:r>
        <w:t xml:space="preserve">whichever sector’s consortium ships a working profile first; running</w:t>
      </w:r>
      <w:r>
        <w:t xml:space="preserve"> </w:t>
      </w:r>
      <w:r>
        <w:t xml:space="preserve">code has always outvoted position papers in that room. The</w:t>
      </w:r>
      <w:r>
        <w:t xml:space="preserve"> </w:t>
      </w:r>
      <w:r>
        <w:rPr>
          <w:iCs/>
          <w:i/>
        </w:rPr>
        <w:t xml:space="preserve">payload</w:t>
      </w:r>
      <w:r>
        <w:rPr>
          <w:iCs/>
          <w:i/>
        </w:rPr>
        <w:t xml:space="preserve"> </w:t>
      </w:r>
      <w:r>
        <w:rPr>
          <w:iCs/>
          <w:i/>
        </w:rPr>
        <w:t xml:space="preserve">vocabulary</w:t>
      </w:r>
      <w:r>
        <w:t xml:space="preserve"> </w:t>
      </w:r>
      <w:r>
        <w:t xml:space="preserve">is being convened whether the sector likes it or not by the</w:t>
      </w:r>
      <w:r>
        <w:t xml:space="preserve"> </w:t>
      </w:r>
      <w:r>
        <w:t xml:space="preserve">European Commission’s delegated-act machinery with CEN/CENELEC JTC 24</w:t>
      </w:r>
      <w:r>
        <w:t xml:space="preserve"> </w:t>
      </w:r>
      <w:r>
        <w:t xml:space="preserve">drafting the passport framework standards — which is why this book keeps</w:t>
      </w:r>
      <w:r>
        <w:t xml:space="preserve"> </w:t>
      </w:r>
      <w:r>
        <w:t xml:space="preserve">urging the measurement community to show up there: the acts will cite</w:t>
      </w:r>
      <w:r>
        <w:t xml:space="preserve"> </w:t>
      </w:r>
      <w:r>
        <w:t xml:space="preserve">whatever data models exist when their deadlines arrive. The</w:t>
      </w:r>
      <w:r>
        <w:t xml:space="preserve"> </w:t>
      </w:r>
      <w:r>
        <w:rPr>
          <w:iCs/>
          <w:i/>
        </w:rPr>
        <w:t xml:space="preserve">binding</w:t>
      </w:r>
      <w:r>
        <w:rPr>
          <w:iCs/>
          <w:i/>
        </w:rPr>
        <w:t xml:space="preserve"> </w:t>
      </w:r>
      <w:r>
        <w:rPr>
          <w:iCs/>
          <w:i/>
        </w:rPr>
        <w:t xml:space="preserve">layer</w:t>
      </w:r>
      <w:r>
        <w:t xml:space="preserve"> </w:t>
      </w:r>
      <w:r>
        <w:t xml:space="preserve">has no venue, and Section 14.3’s proposal (metrology institutes</w:t>
      </w:r>
      <w:r>
        <w:t xml:space="preserve"> </w:t>
      </w:r>
      <w:r>
        <w:t xml:space="preserve">hosting reference template formats and proficiency testing) needs a</w:t>
      </w:r>
      <w:r>
        <w:t xml:space="preserve"> </w:t>
      </w:r>
      <w:r>
        <w:t xml:space="preserve">first mover; the concrete suggestion this book can make is that the</w:t>
      </w:r>
      <w:r>
        <w:t xml:space="preserve"> </w:t>
      </w:r>
      <w:r>
        <w:t xml:space="preserve">IEA-PVPS task structure — which already coordinates the international</w:t>
      </w:r>
      <w:r>
        <w:t xml:space="preserve"> </w:t>
      </w:r>
      <w:r>
        <w:t xml:space="preserve">measurement community that would do the work — commission the gap</w:t>
      </w:r>
      <w:r>
        <w:t xml:space="preserve"> </w:t>
      </w:r>
      <w:r>
        <w:t xml:space="preserve">analysis, because its reports have a track record of becoming IEC work</w:t>
      </w:r>
      <w:r>
        <w:t xml:space="preserve"> </w:t>
      </w:r>
      <w:r>
        <w:t xml:space="preserve">items. Industry alliances (the battery-passport consortia, the DER</w:t>
      </w:r>
      <w:r>
        <w:t xml:space="preserve"> </w:t>
      </w:r>
      <w:r>
        <w:t xml:space="preserve">interoperability alliances) matter as</w:t>
      </w:r>
      <w:r>
        <w:t xml:space="preserve"> </w:t>
      </w:r>
      <w:r>
        <w:rPr>
          <w:iCs/>
          <w:i/>
        </w:rPr>
        <w:t xml:space="preserve">profile</w:t>
      </w:r>
      <w:r>
        <w:t xml:space="preserve"> </w:t>
      </w:r>
      <w:r>
        <w:t xml:space="preserve">builders and pilot</w:t>
      </w:r>
      <w:r>
        <w:t xml:space="preserve"> </w:t>
      </w:r>
      <w:r>
        <w:t xml:space="preserve">conveners rather than standards authors — their histories suggest they</w:t>
      </w:r>
      <w:r>
        <w:t xml:space="preserve"> </w:t>
      </w:r>
      <w:r>
        <w:t xml:space="preserve">move fastest and bind least, which is the correct division of labor with</w:t>
      </w:r>
      <w:r>
        <w:t xml:space="preserve"> </w:t>
      </w:r>
      <w:r>
        <w:t xml:space="preserve">the treaty-grade bodies. The convergence’s clock, one last time: fleets</w:t>
      </w:r>
      <w:r>
        <w:t xml:space="preserve"> </w:t>
      </w:r>
      <w:r>
        <w:t xml:space="preserve">are enrolling now, delegated acts are drafting now, and every year of</w:t>
      </w:r>
      <w:r>
        <w:t xml:space="preserve"> </w:t>
      </w:r>
      <w:r>
        <w:t xml:space="preserve">venue-shopping is a year of proprietary formats compounding their</w:t>
      </w:r>
      <w:r>
        <w:t xml:space="preserve"> </w:t>
      </w:r>
      <w:r>
        <w:t xml:space="preserve">switching costs — the S3 window (Section 14.3) does not wait for the</w:t>
      </w:r>
      <w:r>
        <w:t xml:space="preserve"> </w:t>
      </w:r>
      <w:r>
        <w:t xml:space="preserve">committee that would prefer to be thorough.</w:t>
      </w:r>
    </w:p>
    <w:p>
      <w:pPr>
        <w:pStyle w:val="BodyText"/>
      </w:pPr>
      <w:r>
        <w:t xml:space="preserve">Cross-sector event semantics deserve their own caution flag before the</w:t>
      </w:r>
      <w:r>
        <w:t xml:space="preserve"> </w:t>
      </w:r>
      <w:r>
        <w:t xml:space="preserve">section closes: the same word means differently across classes, and naive</w:t>
      </w:r>
      <w:r>
        <w:t xml:space="preserve"> </w:t>
      </w:r>
      <w:r>
        <w:t xml:space="preserve">vocabulary sharing manufactures confusion.</w:t>
      </w:r>
      <w:r>
        <w:t xml:space="preserve"> </w:t>
      </w:r>
      <w:r>
        <w:t xml:space="preserve">“</w:t>
      </w:r>
      <w:r>
        <w:t xml:space="preserve">Commissioning</w:t>
      </w:r>
      <w:r>
        <w:t xml:space="preserve">”</w:t>
      </w:r>
      <w:r>
        <w:t xml:space="preserve"> </w:t>
      </w:r>
      <w:r>
        <w:t xml:space="preserve">starts a solar</w:t>
      </w:r>
      <w:r>
        <w:t xml:space="preserve"> </w:t>
      </w:r>
      <w:r>
        <w:t xml:space="preserve">warranty, but a battery’s warranty typically keys on first charge at the</w:t>
      </w:r>
      <w:r>
        <w:t xml:space="preserve"> </w:t>
      </w:r>
      <w:r>
        <w:t xml:space="preserve">integrator;</w:t>
      </w:r>
      <w:r>
        <w:t xml:space="preserve"> </w:t>
      </w:r>
      <w:r>
        <w:t xml:space="preserve">“</w:t>
      </w:r>
      <w:r>
        <w:t xml:space="preserve">capacity</w:t>
      </w:r>
      <w:r>
        <w:t xml:space="preserve">”</w:t>
      </w:r>
      <w:r>
        <w:t xml:space="preserve"> </w:t>
      </w:r>
      <w:r>
        <w:t xml:space="preserve">is nameplate DC for a module, usable energy under</w:t>
      </w:r>
      <w:r>
        <w:t xml:space="preserve"> </w:t>
      </w:r>
      <w:r>
        <w:t xml:space="preserve">a test protocol for a pack, and a wind-class rating at a reference speed</w:t>
      </w:r>
      <w:r>
        <w:t xml:space="preserve"> </w:t>
      </w:r>
      <w:r>
        <w:t xml:space="preserve">for a turbine. The schema’s answer is namespacing rather than false</w:t>
      </w:r>
      <w:r>
        <w:t xml:space="preserve"> </w:t>
      </w:r>
      <w:r>
        <w:t xml:space="preserve">unification — event types carry their class vocabulary, projections onto</w:t>
      </w:r>
      <w:r>
        <w:t xml:space="preserve"> </w:t>
      </w:r>
      <w:r>
        <w:t xml:space="preserve">shared reporting models (passports, portfolio dashboards) do the</w:t>
      </w:r>
      <w:r>
        <w:t xml:space="preserve"> </w:t>
      </w:r>
      <w:r>
        <w:t xml:space="preserve">translation explicitly and versionably — and the S1 standardization work</w:t>
      </w:r>
      <w:r>
        <w:t xml:space="preserve"> </w:t>
      </w:r>
      <w:r>
        <w:t xml:space="preserve">should resist the committee temptation to define one</w:t>
      </w:r>
      <w:r>
        <w:t xml:space="preserve"> </w:t>
      </w:r>
      <w:r>
        <w:t xml:space="preserve">“</w:t>
      </w:r>
      <w:r>
        <w:t xml:space="preserve">commissioning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all assets, which would be wrong for most of them.</w:t>
      </w:r>
    </w:p>
    <w:bookmarkEnd w:id="25"/>
    <w:bookmarkEnd w:id="26"/>
    <w:bookmarkStart w:id="27" w:name="Xf94e5ac9c3bc6ea877c40c1af5efc42cc29f454"/>
    <w:p>
      <w:pPr>
        <w:pStyle w:val="Heading2"/>
      </w:pPr>
      <w:r>
        <w:t xml:space="preserve">12.6 Beyond the Big Three: The Framework’s Edges</w:t>
      </w:r>
    </w:p>
    <w:p>
      <w:pPr>
        <w:pStyle w:val="FirstParagraph"/>
      </w:pPr>
      <w:r>
        <w:t xml:space="preserve">Generalization claims are tested at their edges, so the chapter closes by</w:t>
      </w:r>
      <w:r>
        <w:t xml:space="preserve"> </w:t>
      </w:r>
      <w:r>
        <w:t xml:space="preserve">running the triple over the asset classes the earlier sections did not</w:t>
      </w:r>
      <w:r>
        <w:t xml:space="preserve"> </w:t>
      </w:r>
      <w:r>
        <w:t xml:space="preserve">reach — and by stating plainly where the framework stops paying, because</w:t>
      </w:r>
      <w:r>
        <w:t xml:space="preserve"> </w:t>
      </w:r>
      <w:r>
        <w:t xml:space="preserve">an architecture that claims to fit everything fits nothing in</w:t>
      </w:r>
      <w:r>
        <w:t xml:space="preserve"> </w:t>
      </w:r>
      <w:r>
        <w:t xml:space="preserve">particular.</w:t>
      </w:r>
    </w:p>
    <w:p>
      <w:pPr>
        <w:pStyle w:val="BodyText"/>
      </w:pPr>
      <w:r>
        <w:rPr>
          <w:bCs/>
          <w:b/>
        </w:rPr>
        <w:t xml:space="preserve">Electrolyzers and fuel-cell systems</w:t>
      </w:r>
      <w:r>
        <w:t xml:space="preserve"> </w:t>
      </w:r>
      <w:r>
        <w:t xml:space="preserve">map almost boringly well: high</w:t>
      </w:r>
      <w:r>
        <w:t xml:space="preserve"> </w:t>
      </w:r>
      <w:r>
        <w:t xml:space="preserve">unit values, active binding trivially available (they are instrumented</w:t>
      </w:r>
      <w:r>
        <w:t xml:space="preserve"> </w:t>
      </w:r>
      <w:r>
        <w:t xml:space="preserve">process plants), stack degradation as the condition record, and an</w:t>
      </w:r>
      <w:r>
        <w:t xml:space="preserve"> </w:t>
      </w:r>
      <w:r>
        <w:t xml:space="preserve">emerging certification demand — renewable-hydrogen guarantee-of-origin</w:t>
      </w:r>
      <w:r>
        <w:t xml:space="preserve"> </w:t>
      </w:r>
      <w:r>
        <w:t xml:space="preserve">schemes, whose additionality and temporal-correlation rules need</w:t>
      </w:r>
      <w:r>
        <w:t xml:space="preserve"> </w:t>
      </w:r>
      <w:r>
        <w:t xml:space="preserve">verifiable equipment identity and commissioning dates as inputs — that</w:t>
      </w:r>
      <w:r>
        <w:t xml:space="preserve"> </w:t>
      </w:r>
      <w:r>
        <w:t xml:space="preserve">needs exactly the equipment truth layer of Section 10.4.</w:t>
      </w:r>
      <w:r>
        <w:t xml:space="preserve"> </w:t>
      </w:r>
      <w:r>
        <w:t xml:space="preserve">The delta is payload vocabulary (stack hours, degradation curves,</w:t>
      </w:r>
      <w:r>
        <w:t xml:space="preserve"> </w:t>
      </w:r>
      <w:r>
        <w:t xml:space="preserve">electrolyte chemistry) and nothing structural; the stack-replacement</w:t>
      </w:r>
      <w:r>
        <w:t xml:space="preserve"> </w:t>
      </w:r>
      <w:r>
        <w:t xml:space="preserve">cycle even reuses the battery remanufacture pattern without alteration.</w:t>
      </w:r>
      <w:r>
        <w:t xml:space="preserve"> </w:t>
      </w:r>
      <w:r>
        <w:rPr>
          <w:bCs/>
          <w:b/>
        </w:rPr>
        <w:t xml:space="preserve">Flow batteries and</w:t>
      </w:r>
      <w:r>
        <w:rPr>
          <w:bCs/>
          <w:b/>
        </w:rPr>
        <w:t xml:space="preserve"> </w:t>
      </w:r>
      <w:r>
        <w:rPr>
          <w:bCs/>
          <w:b/>
        </w:rPr>
        <w:t xml:space="preserve">long-duration storage</w:t>
      </w:r>
      <w:r>
        <w:t xml:space="preserve"> </w:t>
      </w:r>
      <w:r>
        <w:t xml:space="preserve">split cleanly along the framework’s existing</w:t>
      </w:r>
      <w:r>
        <w:t xml:space="preserve"> </w:t>
      </w:r>
      <w:r>
        <w:t xml:space="preserve">seam: the power-conversion and stack hardware follow the electrolyzer</w:t>
      </w:r>
      <w:r>
        <w:t xml:space="preserve"> </w:t>
      </w:r>
      <w:r>
        <w:t xml:space="preserve">pattern, while the electrolyte inventory — a bulk</w:t>
      </w:r>
      <w:r>
        <w:t xml:space="preserve"> </w:t>
      </w:r>
      <w:r>
        <w:rPr>
          <w:iCs/>
          <w:i/>
        </w:rPr>
        <w:t xml:space="preserve">fungible</w:t>
      </w:r>
      <w:r>
        <w:t xml:space="preserve"> </w:t>
      </w:r>
      <w:r>
        <w:t xml:space="preserve">asset,</w:t>
      </w:r>
      <w:r>
        <w:t xml:space="preserve"> </w:t>
      </w:r>
      <w:r>
        <w:t xml:space="preserve">tanker-delivered and blended — does not want unit identity at all but</w:t>
      </w:r>
      <w:r>
        <w:t xml:space="preserve"> </w:t>
      </w:r>
      <w:r>
        <w:rPr>
          <w:iCs/>
          <w:i/>
        </w:rPr>
        <w:t xml:space="preserve">lot</w:t>
      </w:r>
      <w:r>
        <w:t xml:space="preserve"> </w:t>
      </w:r>
      <w:r>
        <w:t xml:space="preserve">provenance, the composition-manifest pattern at tank scale. The</w:t>
      </w:r>
      <w:r>
        <w:t xml:space="preserve"> </w:t>
      </w:r>
      <w:r>
        <w:t xml:space="preserve">electrolyte is the framework’s fungibility lesson in one object:</w:t>
      </w:r>
      <w:r>
        <w:t xml:space="preserve"> </w:t>
      </w:r>
      <w:r>
        <w:t xml:space="preserve">vanadium electrolyte retains value across plant generations and is</w:t>
      </w:r>
      <w:r>
        <w:t xml:space="preserve"> </w:t>
      </w:r>
      <w:r>
        <w:t xml:space="preserve">already leased as a commodity, and a leased, blended, value-bearing</w:t>
      </w:r>
      <w:r>
        <w:t xml:space="preserve"> </w:t>
      </w:r>
      <w:r>
        <w:t xml:space="preserve">fluid is tracked the way custody systems have always tracked fungibles —</w:t>
      </w:r>
      <w:r>
        <w:t xml:space="preserve"> </w:t>
      </w:r>
      <w:r>
        <w:t xml:space="preserve">by lots, transfers, and mass balance — with the ledger adding</w:t>
      </w:r>
      <w:r>
        <w:t xml:space="preserve"> </w:t>
      </w:r>
      <w:r>
        <w:t xml:space="preserve">attributability to a practice, not identity to molecules.</w:t>
      </w:r>
      <w:r>
        <w:t xml:space="preserve"> </w:t>
      </w:r>
      <w:r>
        <w:rPr>
          <w:bCs/>
          <w:b/>
        </w:rPr>
        <w:t xml:space="preserve">Transformers and grid primary equipment</w:t>
      </w:r>
      <w:r>
        <w:t xml:space="preserve"> </w:t>
      </w:r>
      <w:r>
        <w:t xml:space="preserve">are the confounding easy</w:t>
      </w:r>
      <w:r>
        <w:t xml:space="preserve"> </w:t>
      </w:r>
      <w:r>
        <w:t xml:space="preserve">case: high value, low count, stationary, already serialized and</w:t>
      </w:r>
      <w:r>
        <w:t xml:space="preserve"> </w:t>
      </w:r>
      <w:r>
        <w:t xml:space="preserve">registry-tracked by utilities — the framework fits but adds least,</w:t>
      </w:r>
      <w:r>
        <w:t xml:space="preserve"> </w:t>
      </w:r>
      <w:r>
        <w:t xml:space="preserve">because Section 1.3’s distinctive stressors (volume, churn, custody</w:t>
      </w:r>
      <w:r>
        <w:t xml:space="preserve"> </w:t>
      </w:r>
      <w:r>
        <w:t xml:space="preserve">fragmentation) are absent; the honest pitch there is narrow (supply-chain</w:t>
      </w:r>
      <w:r>
        <w:t xml:space="preserve"> </w:t>
      </w:r>
      <w:r>
        <w:t xml:space="preserve">integrity for new procurement, given documented counterfeit-component</w:t>
      </w:r>
      <w:r>
        <w:t xml:space="preserve"> </w:t>
      </w:r>
      <w:r>
        <w:t xml:space="preserve">concerns in grid equipment, plus the composition-manifest treatment of</w:t>
      </w:r>
      <w:r>
        <w:t xml:space="preserve"> </w:t>
      </w:r>
      <w:r>
        <w:t xml:space="preserve">bushings and tap changers, whose counterfeits are the documented entry</w:t>
      </w:r>
      <w:r>
        <w:t xml:space="preserve"> </w:t>
      </w:r>
      <w:r>
        <w:t xml:space="preserve">point) rather than lifecycle-total. Where the calculus shifts is the</w:t>
      </w:r>
      <w:r>
        <w:t xml:space="preserve"> </w:t>
      </w:r>
      <w:r>
        <w:t xml:space="preserve">mobile substation and spare-transformer pools that grid-resilience</w:t>
      </w:r>
      <w:r>
        <w:t xml:space="preserve"> </w:t>
      </w:r>
      <w:r>
        <w:t xml:space="preserve">programs increasingly maintain — shared, custody-churning assets that</w:t>
      </w:r>
      <w:r>
        <w:t xml:space="preserve"> </w:t>
      </w:r>
      <w:r>
        <w:t xml:space="preserve">inherit the sector’s stressors and, with them, the framework’s full</w:t>
      </w:r>
      <w:r>
        <w:t xml:space="preserve"> </w:t>
      </w:r>
      <w:r>
        <w:t xml:space="preserve">case.</w:t>
      </w:r>
      <w:r>
        <w:t xml:space="preserve"> </w:t>
      </w:r>
      <w:r>
        <w:rPr>
          <w:bCs/>
          <w:b/>
        </w:rPr>
        <w:t xml:space="preserve">Mounting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structure, cabling, and commodity BOS</w:t>
      </w:r>
      <w:r>
        <w:t xml:space="preserve"> </w:t>
      </w:r>
      <w:r>
        <w:t xml:space="preserve">sit below the identity</w:t>
      </w:r>
      <w:r>
        <w:t xml:space="preserve"> </w:t>
      </w:r>
      <w:r>
        <w:t xml:space="preserve">floor: unit values in single dollars, failure modes collective rather</w:t>
      </w:r>
      <w:r>
        <w:t xml:space="preserve"> </w:t>
      </w:r>
      <w:r>
        <w:t xml:space="preserve">than individual, and no transaction that ever asks about one bracket.</w:t>
      </w:r>
      <w:r>
        <w:t xml:space="preserve"> </w:t>
      </w:r>
      <w:r>
        <w:t xml:space="preserve">They get batch identity through composition references, and the</w:t>
      </w:r>
      <w:r>
        <w:t xml:space="preserve"> </w:t>
      </w:r>
      <w:r>
        <w:t xml:space="preserve">framework’s discipline is to</w:t>
      </w:r>
      <w:r>
        <w:t xml:space="preserve"> </w:t>
      </w:r>
      <w:r>
        <w:rPr>
          <w:iCs/>
          <w:i/>
        </w:rPr>
        <w:t xml:space="preserve">resist</w:t>
      </w:r>
      <w:r>
        <w:t xml:space="preserve"> </w:t>
      </w:r>
      <w:r>
        <w:t xml:space="preserve">enthusiasts who would enroll every</w:t>
      </w:r>
      <w:r>
        <w:t xml:space="preserve"> </w:t>
      </w:r>
      <w:r>
        <w:t xml:space="preserve">bolt — an identity system’s credibility includes knowing what not to</w:t>
      </w:r>
      <w:r>
        <w:t xml:space="preserve"> </w:t>
      </w:r>
      <w:r>
        <w:t xml:space="preserve">identify.</w:t>
      </w:r>
    </w:p>
    <w:p>
      <w:pPr>
        <w:pStyle w:val="BodyText"/>
      </w:pPr>
      <w:r>
        <w:t xml:space="preserve">Emerging PV chemistries belong in the edges section rather than the solar</w:t>
      </w:r>
      <w:r>
        <w:t xml:space="preserve"> </w:t>
      </w:r>
      <w:r>
        <w:t xml:space="preserve">chapters, because their identity story is genuinely unfinished. Perovskite</w:t>
      </w:r>
      <w:r>
        <w:t xml:space="preserve"> </w:t>
      </w:r>
      <w:r>
        <w:t xml:space="preserve">and tandem modules will arrive with the same passive-binding needs as</w:t>
      </w:r>
      <w:r>
        <w:t xml:space="preserve"> </w:t>
      </w:r>
      <w:r>
        <w:t xml:space="preserve">silicon and none of its accumulated defect phenomenology: the stochastic</w:t>
      </w:r>
      <w:r>
        <w:t xml:space="preserve"> </w:t>
      </w:r>
      <w:r>
        <w:t xml:space="preserve">individuality is certainly present (solution-processed layers are nothing</w:t>
      </w:r>
      <w:r>
        <w:t xml:space="preserve"> </w:t>
      </w:r>
      <w:r>
        <w:t xml:space="preserve">but process stochastics), but which features are stable (R2), how they</w:t>
      </w:r>
      <w:r>
        <w:t xml:space="preserve"> </w:t>
      </w:r>
      <w:r>
        <w:t xml:space="preserve">respond to the challenge protocol (R4), and what legal evolution looks</w:t>
      </w:r>
      <w:r>
        <w:t xml:space="preserve"> </w:t>
      </w:r>
      <w:r>
        <w:t xml:space="preserve">like (R5) are open dossiers — Section 6.8’s problem 5, restated as a</w:t>
      </w:r>
      <w:r>
        <w:t xml:space="preserve"> </w:t>
      </w:r>
      <w:r>
        <w:t xml:space="preserve">deployment gate. The practical sequencing writes itself: these products</w:t>
      </w:r>
      <w:r>
        <w:t xml:space="preserve"> </w:t>
      </w:r>
      <w:r>
        <w:t xml:space="preserve">will launch under accelerated-degradation scrutiny anyway, and the</w:t>
      </w:r>
      <w:r>
        <w:t xml:space="preserve"> </w:t>
      </w:r>
      <w:r>
        <w:t xml:space="preserve">instrumented-cohort programs their qualification already requires are the</w:t>
      </w:r>
      <w:r>
        <w:t xml:space="preserve"> </w:t>
      </w:r>
      <w:r>
        <w:t xml:space="preserve">R-dossier studies wearing different funding labels; the marginal ask is</w:t>
      </w:r>
      <w:r>
        <w:t xml:space="preserve"> </w:t>
      </w:r>
      <w:r>
        <w:t xml:space="preserve">that they enroll their cohorts under the framework’s template discipline</w:t>
      </w:r>
      <w:r>
        <w:t xml:space="preserve"> </w:t>
      </w:r>
      <w:r>
        <w:t xml:space="preserve">from the first wafer, so the binding science and the product mature</w:t>
      </w:r>
      <w:r>
        <w:t xml:space="preserve"> </w:t>
      </w:r>
      <w:r>
        <w:t xml:space="preserve">together rather than a decade apart, as silicon’s did.</w:t>
      </w:r>
    </w:p>
    <w:p>
      <w:pPr>
        <w:pStyle w:val="BodyText"/>
      </w:pPr>
      <w:r>
        <w:rPr>
          <w:bCs/>
          <w:b/>
        </w:rPr>
        <w:t xml:space="preserve">Microgrids and energy communities</w:t>
      </w:r>
      <w:r>
        <w:t xml:space="preserve">, finally, test the aggregate</w:t>
      </w:r>
      <w:r>
        <w:t xml:space="preserve"> </w:t>
      </w:r>
      <w:r>
        <w:t xml:space="preserve">machinery rather than any binding: a microgrid is a plant-like legal</w:t>
      </w:r>
      <w:r>
        <w:t xml:space="preserve"> </w:t>
      </w:r>
      <w:r>
        <w:t xml:space="preserve">object (it holds interconnection and islanding agreements — it passes the</w:t>
      </w:r>
      <w:r>
        <w:t xml:space="preserve"> </w:t>
      </w:r>
      <w:r>
        <w:t xml:space="preserve">Section 3.6.1 test and earns a DID) whose membership is unusually fluid,</w:t>
      </w:r>
      <w:r>
        <w:t xml:space="preserve"> </w:t>
      </w:r>
      <w:r>
        <w:t xml:space="preserve">composed of assets under many small owners, and whose regulatory forms</w:t>
      </w:r>
      <w:r>
        <w:t xml:space="preserve"> </w:t>
      </w:r>
      <w:r>
        <w:t xml:space="preserve">(the EU’s energy-community directives, community-solar programs in US</w:t>
      </w:r>
      <w:r>
        <w:t xml:space="preserve"> </w:t>
      </w:r>
      <w:r>
        <w:t xml:space="preserve">states) are multiplying faster than their record-keeping practices. The framework handles it as a</w:t>
      </w:r>
      <w:r>
        <w:t xml:space="preserve"> </w:t>
      </w:r>
      <w:r>
        <w:t xml:space="preserve">membership register with consent-aware events — an asset’s enrollment</w:t>
      </w:r>
      <w:r>
        <w:t xml:space="preserve"> </w:t>
      </w:r>
      <w:r>
        <w:t xml:space="preserve">into a community is a dual-signed event like any custody act — and the</w:t>
      </w:r>
      <w:r>
        <w:t xml:space="preserve"> </w:t>
      </w:r>
      <w:r>
        <w:t xml:space="preserve">privacy design of Chapter 10 does the heavy lifting, since community</w:t>
      </w:r>
      <w:r>
        <w:t xml:space="preserve"> </w:t>
      </w:r>
      <w:r>
        <w:t xml:space="preserve">composition is precisely the kind of household-adjacent data the</w:t>
      </w:r>
      <w:r>
        <w:t xml:space="preserve"> </w:t>
      </w:r>
      <w:r>
        <w:t xml:space="preserve">three-zone model exists to protect.</w:t>
      </w:r>
    </w:p>
    <w:p>
      <w:pPr>
        <w:pStyle w:val="BodyText"/>
      </w:pPr>
      <w:r>
        <w:t xml:space="preserve">The general boundary rule, extracted from the edges: the framework pays</w:t>
      </w:r>
      <w:r>
        <w:t xml:space="preserve"> </w:t>
      </w:r>
      <w:r>
        <w:t xml:space="preserve">where</w:t>
      </w:r>
      <w:r>
        <w:t xml:space="preserve"> </w:t>
      </w:r>
      <w:r>
        <w:rPr>
          <w:bCs/>
          <w:b/>
        </w:rPr>
        <w:t xml:space="preserve">unit value × information asymmetry × custody churn</w:t>
      </w:r>
      <w:r>
        <w:t xml:space="preserve"> </w:t>
      </w:r>
      <w:r>
        <w:t xml:space="preserve">clears the</w:t>
      </w:r>
      <w:r>
        <w:t xml:space="preserve"> </w:t>
      </w:r>
      <w:r>
        <w:t xml:space="preserve">enrollment-plus-governance cost, and the product is a better screen than</w:t>
      </w:r>
      <w:r>
        <w:t xml:space="preserve"> </w:t>
      </w:r>
      <w:r>
        <w:t xml:space="preserve">any single factor. Batteries clear it spectacularly (all three factors</w:t>
      </w:r>
      <w:r>
        <w:t xml:space="preserve"> </w:t>
      </w:r>
      <w:r>
        <w:t xml:space="preserve">high); transformers clear on value alone but with thin margins of</w:t>
      </w:r>
      <w:r>
        <w:t xml:space="preserve"> </w:t>
      </w:r>
      <w:r>
        <w:t xml:space="preserve">benefit; brackets never clear it. Classes that fail the screen still</w:t>
      </w:r>
      <w:r>
        <w:t xml:space="preserve"> </w:t>
      </w:r>
      <w:r>
        <w:t xml:space="preserve">inherit protection</w:t>
      </w:r>
      <w:r>
        <w:t xml:space="preserve"> </w:t>
      </w:r>
      <w:r>
        <w:rPr>
          <w:iCs/>
          <w:i/>
        </w:rPr>
        <w:t xml:space="preserve">indirectly</w:t>
      </w:r>
      <w:r>
        <w:t xml:space="preserve"> </w:t>
      </w:r>
      <w:r>
        <w:t xml:space="preserve">— as composition references inside assets</w:t>
      </w:r>
      <w:r>
        <w:t xml:space="preserve"> </w:t>
      </w:r>
      <w:r>
        <w:t xml:space="preserve">that pass — which is the framework’s graceful floor, and the reason its</w:t>
      </w:r>
      <w:r>
        <w:t xml:space="preserve"> </w:t>
      </w:r>
      <w:r>
        <w:t xml:space="preserve">edges are boundaries rather than cliffs.</w:t>
      </w:r>
    </w:p>
    <w:p>
      <w:pPr>
        <w:pStyle w:val="BodyText"/>
      </w:pPr>
      <w:r>
        <w:t xml:space="preserve">One final generalization runs outward rather than across — a paragraph</w:t>
      </w:r>
      <w:r>
        <w:t xml:space="preserve"> </w:t>
      </w:r>
      <w:r>
        <w:t xml:space="preserve">this book permits itself after a volume’s worth of restraint: nothing</w:t>
      </w:r>
      <w:r>
        <w:t xml:space="preserve"> </w:t>
      </w:r>
      <w:r>
        <w:t xml:space="preserve">in the framework’s core is energy-specific. Manufactured assets with stochastic</w:t>
      </w:r>
      <w:r>
        <w:t xml:space="preserve"> </w:t>
      </w:r>
      <w:r>
        <w:t xml:space="preserve">structure, multi-decade lives, fragmented custody, and value-bearing</w:t>
      </w:r>
      <w:r>
        <w:t xml:space="preserve"> </w:t>
      </w:r>
      <w:r>
        <w:t xml:space="preserve">histories exist in construction equipment, rail rolling stock, medical</w:t>
      </w:r>
      <w:r>
        <w:t xml:space="preserve"> </w:t>
      </w:r>
      <w:r>
        <w:t xml:space="preserve">devices, and aerospace’s cost-pressured lower tiers — and each has its</w:t>
      </w:r>
      <w:r>
        <w:t xml:space="preserve"> </w:t>
      </w:r>
      <w:r>
        <w:t xml:space="preserve">own version of Chapter 1’s memory problem. The energy sector’s claim to</w:t>
      </w:r>
      <w:r>
        <w:t xml:space="preserve"> </w:t>
      </w:r>
      <w:r>
        <w:t xml:space="preserve">go first rests on the conjunction this book has traced (regulatory</w:t>
      </w:r>
      <w:r>
        <w:t xml:space="preserve"> </w:t>
      </w:r>
      <w:r>
        <w:t xml:space="preserve">mandates arriving, unit economics forcing the hard passive-binding</w:t>
      </w:r>
      <w:r>
        <w:t xml:space="preserve"> </w:t>
      </w:r>
      <w:r>
        <w:t xml:space="preserve">research, decarbonization stakes funding the institutions); the export</w:t>
      </w:r>
      <w:r>
        <w:t xml:space="preserve"> </w:t>
      </w:r>
      <w:r>
        <w:t xml:space="preserve">of the resulting patterns to adjacent industries is left as the</w:t>
      </w:r>
      <w:r>
        <w:t xml:space="preserve"> </w:t>
      </w:r>
      <w:r>
        <w:t xml:space="preserve">literature’s exercise, with the R1–R6 requirements and the</w:t>
      </w:r>
      <w:r>
        <w:t xml:space="preserve"> </w:t>
      </w:r>
      <w:r>
        <w:t xml:space="preserve">value-screen rule as the transferable core.</w:t>
      </w:r>
    </w:p>
    <w:bookmarkEnd w:id="27"/>
    <w:bookmarkStart w:id="28" w:name="chapter-summary"/>
    <w:p>
      <w:pPr>
        <w:pStyle w:val="Heading2"/>
      </w:pPr>
      <w:r>
        <w:t xml:space="preserve">12.7 Chapter Summary</w:t>
      </w:r>
    </w:p>
    <w:p>
      <w:pPr>
        <w:pStyle w:val="FirstParagraph"/>
      </w:pPr>
      <w:r>
        <w:t xml:space="preserve">The generalization test passes with informative strain, measured in diffs</w:t>
      </w:r>
      <w:r>
        <w:t xml:space="preserve"> </w:t>
      </w:r>
      <w:r>
        <w:t xml:space="preserve">against a solar baseline recapped at the chapter’s head so every delta had</w:t>
      </w:r>
      <w:r>
        <w:t xml:space="preserve"> </w:t>
      </w:r>
      <w:r>
        <w:t xml:space="preserve">its referent.</w:t>
      </w:r>
      <w:r>
        <w:t xml:space="preserve"> </w:t>
      </w:r>
      <w:r>
        <w:t xml:space="preserve">Batteries keep the whole</w:t>
      </w:r>
      <w:r>
        <w:t xml:space="preserve"> </w:t>
      </w:r>
      <w:r>
        <w:t xml:space="preserve">apparatus but shift its center of gravity from identity toward condition —</w:t>
      </w:r>
      <w:r>
        <w:t xml:space="preserve"> </w:t>
      </w:r>
      <w:r>
        <w:t xml:space="preserve">pack-level active binding is easy; cell-level binding fails R2 or R6 in</w:t>
      </w:r>
      <w:r>
        <w:t xml:space="preserve"> </w:t>
      </w:r>
      <w:r>
        <w:t xml:space="preserve">every published modality, with the failure modes now stated precisely</w:t>
      </w:r>
      <w:r>
        <w:t xml:space="preserve"> </w:t>
      </w:r>
      <w:r>
        <w:t xml:space="preserve">enough to aim research at; SoH enters as a method-graded estimate under</w:t>
      </w:r>
      <w:r>
        <w:t xml:space="preserve"> </w:t>
      </w:r>
      <w:r>
        <w:t xml:space="preserve">the full oracle discipline; the lifecycle forks (second life,</w:t>
      </w:r>
      <w:r>
        <w:t xml:space="preserve"> </w:t>
      </w:r>
      <w:r>
        <w:t xml:space="preserve">remanufacture, recycling, warranty return) all parse in the base</w:t>
      </w:r>
      <w:r>
        <w:t xml:space="preserve"> </w:t>
      </w:r>
      <w:r>
        <w:t xml:space="preserve">grammar; and the EU</w:t>
      </w:r>
      <w:r>
        <w:t xml:space="preserve"> </w:t>
      </w:r>
      <w:r>
        <w:t xml:space="preserve">passport regime converts the architecture from proposal into compliance</w:t>
      </w:r>
      <w:r>
        <w:t xml:space="preserve"> </w:t>
      </w:r>
      <w:r>
        <w:t xml:space="preserve">infrastructure with a verification upgrade whose field-by-field mapping</w:t>
      </w:r>
      <w:r>
        <w:t xml:space="preserve"> </w:t>
      </w:r>
      <w:r>
        <w:t xml:space="preserve">Table 12.3 exhibits and whose commercial meaning the worked second-life</w:t>
      </w:r>
      <w:r>
        <w:t xml:space="preserve"> </w:t>
      </w:r>
      <w:r>
        <w:t xml:space="preserve">transaction demonstrates. Wind keeps the apparatus and relaxes</w:t>
      </w:r>
      <w:r>
        <w:t xml:space="preserve"> </w:t>
      </w:r>
      <w:r>
        <w:t xml:space="preserve">its economics — component DAGs with the gearbox as the instructive</w:t>
      </w:r>
      <w:r>
        <w:t xml:space="preserve"> </w:t>
      </w:r>
      <w:r>
        <w:t xml:space="preserve">boundary case, blade fingerprints whose R-dossier reads easier than</w:t>
      </w:r>
      <w:r>
        <w:t xml:space="preserve"> </w:t>
      </w:r>
      <w:r>
        <w:t xml:space="preserve">solar’s, load-milestone aggregates, and a repair loop whose two-item</w:t>
      </w:r>
      <w:r>
        <w:t xml:space="preserve"> </w:t>
      </w:r>
      <w:r>
        <w:t xml:space="preserve">delta serves a sector whose provenance disputes predate solar’s</w:t>
      </w:r>
      <w:r>
        <w:t xml:space="preserve"> </w:t>
      </w:r>
      <w:r>
        <w:t xml:space="preserve">existence. The IoT tail</w:t>
      </w:r>
      <w:r>
        <w:t xml:space="preserve"> </w:t>
      </w:r>
      <w:r>
        <w:t xml:space="preserve">contributes the firmware problem, its config-change event class with</w:t>
      </w:r>
      <w:r>
        <w:t xml:space="preserve"> </w:t>
      </w:r>
      <w:r>
        <w:t xml:space="preserve">campaign-scale batching, the legal-metrology intersection at chargers,</w:t>
      </w:r>
      <w:r>
        <w:t xml:space="preserve"> </w:t>
      </w:r>
      <w:r>
        <w:t xml:space="preserve">and the aggregation-layer boundary that keeps this framework out of the</w:t>
      </w:r>
      <w:r>
        <w:t xml:space="preserve"> </w:t>
      </w:r>
      <w:r>
        <w:t xml:space="preserve">market-settlement business. The edges — hydrogen, flow batteries, grid</w:t>
      </w:r>
      <w:r>
        <w:t xml:space="preserve"> </w:t>
      </w:r>
      <w:r>
        <w:t xml:space="preserve">primary equipment, commodity BOS — locate the value screen (unit value ×</w:t>
      </w:r>
      <w:r>
        <w:t xml:space="preserve"> </w:t>
      </w:r>
      <w:r>
        <w:t xml:space="preserve">information asymmetry × custody churn) below which identity is</w:t>
      </w:r>
      <w:r>
        <w:t xml:space="preserve"> </w:t>
      </w:r>
      <w:r>
        <w:t xml:space="preserve">composition reference, not enrollment. Across all</w:t>
      </w:r>
      <w:r>
        <w:t xml:space="preserve"> </w:t>
      </w:r>
      <w:r>
        <w:t xml:space="preserve">classes the deltas were payload schemas, a few event types, and binding</w:t>
      </w:r>
      <w:r>
        <w:t xml:space="preserve"> </w:t>
      </w:r>
      <w:r>
        <w:t xml:space="preserve">modalities — the envelope, state machine, tiering, zones, and governance carried</w:t>
      </w:r>
      <w:r>
        <w:t xml:space="preserve"> </w:t>
      </w:r>
      <w:r>
        <w:t xml:space="preserve">unchanged, which is what</w:t>
      </w:r>
      <w:r>
        <w:t xml:space="preserve"> </w:t>
      </w:r>
      <w:r>
        <w:t xml:space="preserve">“</w:t>
      </w:r>
      <w:r>
        <w:t xml:space="preserve">framework</w:t>
      </w:r>
      <w:r>
        <w:t xml:space="preserve">”</w:t>
      </w:r>
      <w:r>
        <w:t xml:space="preserve"> </w:t>
      </w:r>
      <w:r>
        <w:t xml:space="preserve">is supposed to mean. The unresolved</w:t>
      </w:r>
      <w:r>
        <w:t xml:space="preserve"> </w:t>
      </w:r>
      <w:r>
        <w:t xml:space="preserve">frontier is interoperability’s third layer, cross-vendor binding</w:t>
      </w:r>
      <w:r>
        <w:t xml:space="preserve"> </w:t>
      </w:r>
      <w:r>
        <w:t xml:space="preserve">verification, where standardization has not begun and where Section 12.5.1</w:t>
      </w:r>
      <w:r>
        <w:t xml:space="preserve"> </w:t>
      </w:r>
      <w:r>
        <w:t xml:space="preserve">names the venues that could begin it. And the framework’s core, tested across four</w:t>
      </w:r>
      <w:r>
        <w:t xml:space="preserve"> </w:t>
      </w:r>
      <w:r>
        <w:t xml:space="preserve">asset classes and its own edges, turns out to owe nothing to energy at</w:t>
      </w:r>
      <w:r>
        <w:t xml:space="preserve"> </w:t>
      </w:r>
      <w:r>
        <w:t xml:space="preserve">all — the export to other manufactured-asset industries waits on nothing</w:t>
      </w:r>
      <w:r>
        <w:t xml:space="preserve"> </w:t>
      </w:r>
      <w:r>
        <w:t xml:space="preserve">but their own versions of the forcing conditions. What generality earns,</w:t>
      </w:r>
      <w:r>
        <w:t xml:space="preserve"> </w:t>
      </w:r>
      <w:r>
        <w:t xml:space="preserve">economics must</w:t>
      </w:r>
      <w:r>
        <w:t xml:space="preserve"> </w:t>
      </w:r>
      <w:r>
        <w:t xml:space="preserve">justify — Chapter 13 prices it.</w:t>
      </w:r>
    </w:p>
    <w:bookmarkEnd w:id="28"/>
    <w:bookmarkStart w:id="29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2"/>
        </w:numPr>
        <w:pStyle w:val="Compact"/>
      </w:pPr>
      <w:r>
        <w:t xml:space="preserve">Regulation (EU) 2023/1542, Annex XIII (battery passport data requirements)</w:t>
      </w:r>
      <w:r>
        <w:t xml:space="preserve"> </w:t>
      </w:r>
      <w:r>
        <w:t xml:space="preserve">and Articles 73–74 (repurposing responsibilities).</w:t>
      </w:r>
    </w:p>
    <w:p>
      <w:pPr>
        <w:numPr>
          <w:ilvl w:val="0"/>
          <w:numId w:val="1002"/>
        </w:numPr>
        <w:pStyle w:val="Compact"/>
      </w:pPr>
      <w:r>
        <w:t xml:space="preserve">Neubauer, J., and A. Pesaran.</w:t>
      </w:r>
      <w:r>
        <w:t xml:space="preserve"> </w:t>
      </w:r>
      <w:r>
        <w:t xml:space="preserve">“</w:t>
      </w:r>
      <w:r>
        <w:t xml:space="preserve">The Ability of Battery Second Use Strategies</w:t>
      </w:r>
      <w:r>
        <w:t xml:space="preserve"> </w:t>
      </w:r>
      <w:r>
        <w:t xml:space="preserve">to Impact Plug-in Electric Vehicle Prices and Serve Utility Energy Storage</w:t>
      </w:r>
      <w:r>
        <w:t xml:space="preserve"> </w:t>
      </w:r>
      <w:r>
        <w:t xml:space="preserve">Applications.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 </w:t>
      </w:r>
      <w:r>
        <w:t xml:space="preserve">196, no. 23 (2011): 10351–10358.</w:t>
      </w:r>
    </w:p>
    <w:p>
      <w:pPr>
        <w:numPr>
          <w:ilvl w:val="0"/>
          <w:numId w:val="1002"/>
        </w:numPr>
        <w:pStyle w:val="Compact"/>
      </w:pPr>
      <w:r>
        <w:t xml:space="preserve">Birkl, C. R., M. R. Roberts, E. McTurk, P. G. Bruce, and D. A. Howey.</w:t>
      </w:r>
      <w:r>
        <w:t xml:space="preserve"> </w:t>
      </w:r>
      <w:r>
        <w:t xml:space="preserve">“</w:t>
      </w:r>
      <w:r>
        <w:t xml:space="preserve">Degradation Diagnostics for Lithium Ion Cells.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 </w:t>
      </w:r>
      <w:r>
        <w:t xml:space="preserve">341 (2017): 373–386.</w:t>
      </w:r>
    </w:p>
    <w:p>
      <w:pPr>
        <w:numPr>
          <w:ilvl w:val="0"/>
          <w:numId w:val="1002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61400 series: Wind Energy</w:t>
      </w:r>
      <w:r>
        <w:rPr>
          <w:iCs/>
          <w:i/>
        </w:rPr>
        <w:t xml:space="preserve"> </w:t>
      </w:r>
      <w:r>
        <w:rPr>
          <w:iCs/>
          <w:i/>
        </w:rPr>
        <w:t xml:space="preserve">Generation Systems</w:t>
      </w:r>
      <w:r>
        <w:t xml:space="preserve"> </w:t>
      </w:r>
      <w:r>
        <w:t xml:space="preserve">(design and component certification context). Geneva:</w:t>
      </w:r>
      <w:r>
        <w:t xml:space="preserve"> </w:t>
      </w:r>
      <w:r>
        <w:t xml:space="preserve">IEC.</w:t>
      </w:r>
    </w:p>
    <w:p>
      <w:pPr>
        <w:numPr>
          <w:ilvl w:val="0"/>
          <w:numId w:val="1002"/>
        </w:numPr>
        <w:pStyle w:val="Compact"/>
      </w:pPr>
      <w:r>
        <w:t xml:space="preserve">Nielsen, J. S., and J. D. Sørensen.</w:t>
      </w:r>
      <w:r>
        <w:t xml:space="preserve"> </w:t>
      </w:r>
      <w:r>
        <w:t xml:space="preserve">“</w:t>
      </w:r>
      <w:r>
        <w:t xml:space="preserve">On Risk-Based Operation and Maintenance</w:t>
      </w:r>
      <w:r>
        <w:t xml:space="preserve"> </w:t>
      </w:r>
      <w:r>
        <w:t xml:space="preserve">of Offshore Wind Turbine Components.</w:t>
      </w:r>
      <w:r>
        <w:t xml:space="preserve">”</w:t>
      </w:r>
      <w:r>
        <w:t xml:space="preserve"> </w:t>
      </w:r>
      <w:r>
        <w:rPr>
          <w:iCs/>
          <w:i/>
        </w:rPr>
        <w:t xml:space="preserve">Reliability Engineering &amp; System</w:t>
      </w:r>
      <w:r>
        <w:rPr>
          <w:iCs/>
          <w:i/>
        </w:rPr>
        <w:t xml:space="preserve"> </w:t>
      </w:r>
      <w:r>
        <w:rPr>
          <w:iCs/>
          <w:i/>
        </w:rPr>
        <w:t xml:space="preserve">Safety</w:t>
      </w:r>
      <w:r>
        <w:t xml:space="preserve"> </w:t>
      </w:r>
      <w:r>
        <w:t xml:space="preserve">96, no. 1 (2011): 218–229.</w:t>
      </w:r>
    </w:p>
    <w:p>
      <w:pPr>
        <w:numPr>
          <w:ilvl w:val="0"/>
          <w:numId w:val="1002"/>
        </w:numPr>
        <w:pStyle w:val="Compact"/>
      </w:pPr>
      <w:r>
        <w:t xml:space="preserve">IEEE Standards Association.</w:t>
      </w:r>
      <w:r>
        <w:t xml:space="preserve"> </w:t>
      </w:r>
      <w:r>
        <w:rPr>
          <w:iCs/>
          <w:i/>
        </w:rPr>
        <w:t xml:space="preserve">IEEE 1547-2018</w:t>
      </w:r>
      <w:r>
        <w:t xml:space="preserve"> </w:t>
      </w:r>
      <w:r>
        <w:t xml:space="preserve">(DER interconnection settings</w:t>
      </w:r>
      <w:r>
        <w:t xml:space="preserve"> </w:t>
      </w:r>
      <w:r>
        <w:t xml:space="preserve">context for §12.4). IEEE, 2018.</w:t>
      </w:r>
    </w:p>
    <w:p>
      <w:pPr>
        <w:numPr>
          <w:ilvl w:val="0"/>
          <w:numId w:val="1002"/>
        </w:numPr>
        <w:pStyle w:val="Compact"/>
      </w:pPr>
      <w:r>
        <w:t xml:space="preserve">Melin, H. E., et al. </w:t>
      </w:r>
      <w:r>
        <w:t xml:space="preserve">“</w:t>
      </w:r>
      <w:r>
        <w:t xml:space="preserve">Global Implications of the EU Battery Regulation.</w:t>
      </w:r>
      <w:r>
        <w:t xml:space="preserve">”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373, no. 6553 (2021): 384–387. The strictest-common-denominator</w:t>
      </w:r>
      <w:r>
        <w:t xml:space="preserve"> </w:t>
      </w:r>
      <w:r>
        <w:t xml:space="preserve">dynamic of Section 12.2.</w:t>
      </w:r>
    </w:p>
    <w:p>
      <w:pPr>
        <w:numPr>
          <w:ilvl w:val="0"/>
          <w:numId w:val="1002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63056</w:t>
      </w:r>
      <w:r>
        <w:t xml:space="preserve"> </w:t>
      </w:r>
      <w:r>
        <w:t xml:space="preserve">(secondary</w:t>
      </w:r>
      <w:r>
        <w:t xml:space="preserve"> </w:t>
      </w:r>
      <w:r>
        <w:t xml:space="preserve">lithium cells for energy storage) and</w:t>
      </w:r>
      <w:r>
        <w:t xml:space="preserve"> </w:t>
      </w:r>
      <w:r>
        <w:rPr>
          <w:iCs/>
          <w:i/>
        </w:rPr>
        <w:t xml:space="preserve">IEC 62933 series</w:t>
      </w:r>
      <w:r>
        <w:t xml:space="preserve"> </w:t>
      </w:r>
      <w:r>
        <w:t xml:space="preserve">(electrical</w:t>
      </w:r>
      <w:r>
        <w:t xml:space="preserve"> </w:t>
      </w:r>
      <w:r>
        <w:t xml:space="preserve">energy storage systems). Geneva: IEC. The certification context the</w:t>
      </w:r>
      <w:r>
        <w:t xml:space="preserve"> </w:t>
      </w:r>
      <w:r>
        <w:t xml:space="preserve">second-life transaction’s attestations reference.</w:t>
      </w:r>
    </w:p>
    <w:p>
      <w:pPr>
        <w:numPr>
          <w:ilvl w:val="0"/>
          <w:numId w:val="1002"/>
        </w:numPr>
        <w:pStyle w:val="Compact"/>
      </w:pPr>
      <w:r>
        <w:t xml:space="preserve">DNV.</w:t>
      </w:r>
      <w:r>
        <w:t xml:space="preserve"> </w:t>
      </w:r>
      <w:r>
        <w:rPr>
          <w:iCs/>
          <w:i/>
        </w:rPr>
        <w:t xml:space="preserve">Standard DNV-ST-0262: Lifetime Extension of Wind Turbines.</w:t>
      </w:r>
      <w:r>
        <w:t xml:space="preserve"> </w:t>
      </w:r>
      <w:r>
        <w:t xml:space="preserve">The</w:t>
      </w:r>
      <w:r>
        <w:t xml:space="preserve"> </w:t>
      </w:r>
      <w:r>
        <w:t xml:space="preserve">fatigue-budget assessment practice the load-milestone events feed.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2026-07-03T09:17:38Z</dcterms:created>
  <dcterms:modified xsi:type="dcterms:W3CDTF">2026-07-03T09:17:38Z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