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Post-Quantum Cryptography: Enterprise Migration Handbook</w:t>
      </w:r>
    </w:p>
    <w:p>
      <w:pPr>
        <w:pStyle w:val="BodyText"/>
      </w:pPr>
      <w:r>
        <w:t xml:space="preserve">Complete section-level table of contents. Generated from manuscript source (June 2026).</w:t>
      </w:r>
    </w:p>
    <w:p>
      <w:r>
        <w:pict>
          <v:rect style="width:0;height:1.5pt" o:hralign="center" o:hrstd="t" o:hr="t"/>
        </w:pict>
      </w:r>
    </w:p>
    <w:bookmarkStart w:id="20" w:name="front-matter"/>
    <w:p>
      <w:pPr>
        <w:pStyle w:val="Heading2"/>
      </w:pPr>
      <w:r>
        <w:t xml:space="preserve">Front Matter</w:t>
      </w:r>
    </w:p>
    <w:p>
      <w:pPr>
        <w:numPr>
          <w:ilvl w:val="0"/>
          <w:numId w:val="1001"/>
        </w:numPr>
        <w:pStyle w:val="Compact"/>
      </w:pPr>
      <w:r>
        <w:t xml:space="preserve">Preface</w:t>
      </w:r>
    </w:p>
    <w:p>
      <w:pPr>
        <w:numPr>
          <w:ilvl w:val="0"/>
          <w:numId w:val="1001"/>
        </w:numPr>
        <w:pStyle w:val="Compact"/>
      </w:pPr>
      <w:r>
        <w:t xml:space="preserve">Conventions and How to Use This Book</w:t>
      </w:r>
    </w:p>
    <w:p>
      <w:pPr>
        <w:numPr>
          <w:ilvl w:val="0"/>
          <w:numId w:val="1001"/>
        </w:numPr>
        <w:pStyle w:val="Compact"/>
      </w:pPr>
      <w:r>
        <w:t xml:space="preserve">Framework Quick Reference (ARCS · PQ-ADAPT · TRADE · HLM · CDG · CBOM)</w:t>
      </w:r>
    </w:p>
    <w:p>
      <w:r>
        <w:pict>
          <v:rect style="width:0;height:1.5pt" o:hralign="center" o:hrstd="t" o:hr="t"/>
        </w:pict>
      </w:r>
    </w:p>
    <w:bookmarkEnd w:id="20"/>
    <w:bookmarkStart w:id="25" w:name="part-i-the-migration-imperative"/>
    <w:p>
      <w:pPr>
        <w:pStyle w:val="Heading2"/>
      </w:pPr>
      <w:r>
        <w:t xml:space="preserve">Part I — The Migration Imperative</w:t>
      </w:r>
    </w:p>
    <w:p>
      <w:pPr>
        <w:pStyle w:val="FirstParagraph"/>
      </w:pPr>
      <w:r>
        <w:rPr>
          <w:iCs/>
          <w:i/>
        </w:rPr>
        <w:t xml:space="preserve">ARCS: Awareness</w:t>
      </w:r>
    </w:p>
    <w:bookmarkStart w:id="21" w:name="introduction"/>
    <w:p>
      <w:pPr>
        <w:pStyle w:val="Heading3"/>
      </w:pPr>
      <w:r>
        <w:t xml:space="preserve">Introduction</w:t>
      </w:r>
    </w:p>
    <w:p>
      <w:pPr>
        <w:numPr>
          <w:ilvl w:val="0"/>
          <w:numId w:val="1002"/>
        </w:numPr>
        <w:pStyle w:val="Compact"/>
      </w:pPr>
      <w:r>
        <w:t xml:space="preserve">Introduction</w:t>
      </w:r>
    </w:p>
    <w:p>
      <w:pPr>
        <w:numPr>
          <w:ilvl w:val="0"/>
          <w:numId w:val="1002"/>
        </w:numPr>
        <w:pStyle w:val="Compact"/>
      </w:pPr>
      <w:r>
        <w:t xml:space="preserve">What Part I Delivers</w:t>
      </w:r>
    </w:p>
    <w:p>
      <w:pPr>
        <w:numPr>
          <w:ilvl w:val="0"/>
          <w:numId w:val="1002"/>
        </w:numPr>
        <w:pStyle w:val="Compact"/>
      </w:pPr>
      <w:r>
        <w:t xml:space="preserve">Who Should Read Part I</w:t>
      </w:r>
    </w:p>
    <w:p>
      <w:pPr>
        <w:numPr>
          <w:ilvl w:val="0"/>
          <w:numId w:val="1002"/>
        </w:numPr>
        <w:pStyle w:val="Compact"/>
      </w:pPr>
      <w:r>
        <w:t xml:space="preserve">What This Book Is and Is Not</w:t>
      </w:r>
    </w:p>
    <w:p>
      <w:pPr>
        <w:numPr>
          <w:ilvl w:val="0"/>
          <w:numId w:val="1002"/>
        </w:numPr>
        <w:pStyle w:val="Compact"/>
      </w:pPr>
      <w:r>
        <w:t xml:space="preserve">The Teaching Organisations</w:t>
      </w:r>
    </w:p>
    <w:p>
      <w:pPr>
        <w:numPr>
          <w:ilvl w:val="0"/>
          <w:numId w:val="1002"/>
        </w:numPr>
        <w:pStyle w:val="Compact"/>
      </w:pPr>
      <w:r>
        <w:t xml:space="preserve">Conventions</w:t>
      </w:r>
    </w:p>
    <w:bookmarkEnd w:id="21"/>
    <w:bookmarkStart w:id="22" w:name="chapter-1-the-synchronization-problem"/>
    <w:p>
      <w:pPr>
        <w:pStyle w:val="Heading3"/>
      </w:pPr>
      <w:r>
        <w:t xml:space="preserve">Chapter 1 — The Synchronization Problem</w:t>
      </w:r>
    </w:p>
    <w:p>
      <w:pPr>
        <w:numPr>
          <w:ilvl w:val="0"/>
          <w:numId w:val="1003"/>
        </w:numPr>
        <w:pStyle w:val="Compact"/>
      </w:pPr>
      <w:r>
        <w:t xml:space="preserve">1.1 What Changed in August 2024</w:t>
      </w:r>
    </w:p>
    <w:p>
      <w:pPr>
        <w:numPr>
          <w:ilvl w:val="0"/>
          <w:numId w:val="1003"/>
        </w:numPr>
        <w:pStyle w:val="Compact"/>
      </w:pPr>
      <w:r>
        <w:t xml:space="preserve">1.2 Why This Transition Is Not Like the Others</w:t>
      </w:r>
    </w:p>
    <w:p>
      <w:pPr>
        <w:numPr>
          <w:ilvl w:val="0"/>
          <w:numId w:val="1003"/>
        </w:numPr>
        <w:pStyle w:val="Compact"/>
      </w:pPr>
      <w:r>
        <w:t xml:space="preserve">1.3 The Synchronization Problem</w:t>
      </w:r>
    </w:p>
    <w:p>
      <w:pPr>
        <w:numPr>
          <w:ilvl w:val="0"/>
          <w:numId w:val="1003"/>
        </w:numPr>
        <w:pStyle w:val="Compact"/>
      </w:pPr>
      <w:r>
        <w:t xml:space="preserve">1.4 The Enterprise Dependency Iceberg</w:t>
      </w:r>
    </w:p>
    <w:p>
      <w:pPr>
        <w:numPr>
          <w:ilvl w:val="0"/>
          <w:numId w:val="1003"/>
        </w:numPr>
        <w:pStyle w:val="Compact"/>
      </w:pPr>
      <w:r>
        <w:t xml:space="preserve">1.5 Programme Versus Project</w:t>
      </w:r>
    </w:p>
    <w:p>
      <w:pPr>
        <w:numPr>
          <w:ilvl w:val="0"/>
          <w:numId w:val="1003"/>
        </w:numPr>
        <w:pStyle w:val="Compact"/>
      </w:pPr>
      <w:r>
        <w:t xml:space="preserve">1.6 Who Must Be in the Room</w:t>
      </w:r>
    </w:p>
    <w:p>
      <w:pPr>
        <w:numPr>
          <w:ilvl w:val="0"/>
          <w:numId w:val="1003"/>
        </w:numPr>
        <w:pStyle w:val="Compact"/>
      </w:pPr>
      <w:r>
        <w:t xml:space="preserve">1.7 Lessons from Prior Migrations — and Their Limits</w:t>
      </w:r>
    </w:p>
    <w:p>
      <w:pPr>
        <w:numPr>
          <w:ilvl w:val="0"/>
          <w:numId w:val="1003"/>
        </w:numPr>
        <w:pStyle w:val="Compact"/>
      </w:pPr>
      <w:r>
        <w:t xml:space="preserve">1.8 The ARCS Framework</w:t>
      </w:r>
    </w:p>
    <w:p>
      <w:pPr>
        <w:numPr>
          <w:ilvl w:val="0"/>
          <w:numId w:val="1003"/>
        </w:numPr>
        <w:pStyle w:val="Compact"/>
      </w:pPr>
      <w:r>
        <w:t xml:space="preserve">1.9 Communicating With the Board</w:t>
      </w:r>
    </w:p>
    <w:p>
      <w:pPr>
        <w:numPr>
          <w:ilvl w:val="0"/>
          <w:numId w:val="1003"/>
        </w:numPr>
        <w:pStyle w:val="Compact"/>
      </w:pPr>
      <w:r>
        <w:t xml:space="preserve">1.10 The Programme Horizon</w:t>
      </w:r>
    </w:p>
    <w:p>
      <w:pPr>
        <w:numPr>
          <w:ilvl w:val="0"/>
          <w:numId w:val="1003"/>
        </w:numPr>
        <w:pStyle w:val="Compact"/>
      </w:pPr>
      <w:r>
        <w:t xml:space="preserve">1.11 Cryptography as Invisible Infrastructure</w:t>
      </w:r>
    </w:p>
    <w:p>
      <w:pPr>
        <w:numPr>
          <w:ilvl w:val="0"/>
          <w:numId w:val="1003"/>
        </w:numPr>
        <w:pStyle w:val="Compact"/>
      </w:pPr>
      <w:r>
        <w:t xml:space="preserve">1.12 PQC Migration and Zero Trust Modernization</w:t>
      </w:r>
    </w:p>
    <w:p>
      <w:pPr>
        <w:numPr>
          <w:ilvl w:val="0"/>
          <w:numId w:val="1003"/>
        </w:numPr>
        <w:pStyle w:val="Compact"/>
      </w:pPr>
      <w:r>
        <w:t xml:space="preserve">1.13 Common Failure Patterns</w:t>
      </w:r>
    </w:p>
    <w:p>
      <w:pPr>
        <w:numPr>
          <w:ilvl w:val="0"/>
          <w:numId w:val="1003"/>
        </w:numPr>
        <w:pStyle w:val="Compact"/>
      </w:pPr>
      <w:r>
        <w:t xml:space="preserve">1.14 The Cost of Synchronization Failure</w:t>
      </w:r>
    </w:p>
    <w:p>
      <w:pPr>
        <w:numPr>
          <w:ilvl w:val="0"/>
          <w:numId w:val="1003"/>
        </w:numPr>
        <w:pStyle w:val="Compact"/>
      </w:pPr>
      <w:r>
        <w:t xml:space="preserve">1.15 Apply in Your Organisation</w:t>
      </w:r>
    </w:p>
    <w:p>
      <w:pPr>
        <w:numPr>
          <w:ilvl w:val="0"/>
          <w:numId w:val="1003"/>
        </w:numPr>
        <w:pStyle w:val="Compact"/>
      </w:pPr>
      <w:r>
        <w:t xml:space="preserve">1.16 Chapter Summary</w:t>
      </w:r>
    </w:p>
    <w:bookmarkEnd w:id="22"/>
    <w:bookmarkStart w:id="23" w:name="X36ab46191495d603d61e1342297080897a155d4"/>
    <w:p>
      <w:pPr>
        <w:pStyle w:val="Heading3"/>
      </w:pPr>
      <w:r>
        <w:t xml:space="preserve">Chapter 2 — Threat Models That Drive Priorities</w:t>
      </w:r>
    </w:p>
    <w:p>
      <w:pPr>
        <w:numPr>
          <w:ilvl w:val="0"/>
          <w:numId w:val="1004"/>
        </w:numPr>
        <w:pStyle w:val="Compact"/>
      </w:pPr>
      <w:r>
        <w:t xml:space="preserve">2.1 Separating Threat Categories</w:t>
      </w:r>
    </w:p>
    <w:p>
      <w:pPr>
        <w:numPr>
          <w:ilvl w:val="0"/>
          <w:numId w:val="1004"/>
        </w:numPr>
        <w:pStyle w:val="Compact"/>
      </w:pPr>
      <w:r>
        <w:t xml:space="preserve">2.2 The Mathematics Enterprise Leaders Need — and Nothing More</w:t>
      </w:r>
    </w:p>
    <w:p>
      <w:pPr>
        <w:numPr>
          <w:ilvl w:val="0"/>
          <w:numId w:val="1004"/>
        </w:numPr>
        <w:pStyle w:val="Compact"/>
      </w:pPr>
      <w:r>
        <w:t xml:space="preserve">2.3 The Confidentiality Horizon</w:t>
      </w:r>
    </w:p>
    <w:p>
      <w:pPr>
        <w:numPr>
          <w:ilvl w:val="0"/>
          <w:numId w:val="1004"/>
        </w:numPr>
        <w:pStyle w:val="Compact"/>
      </w:pPr>
      <w:r>
        <w:t xml:space="preserve">2.4 Authentication and Integrity Horizons</w:t>
      </w:r>
    </w:p>
    <w:p>
      <w:pPr>
        <w:numPr>
          <w:ilvl w:val="0"/>
          <w:numId w:val="1004"/>
        </w:numPr>
        <w:pStyle w:val="Compact"/>
      </w:pPr>
      <w:r>
        <w:t xml:space="preserve">2.5 The TRADE Threat Dimension</w:t>
      </w:r>
    </w:p>
    <w:p>
      <w:pPr>
        <w:numPr>
          <w:ilvl w:val="0"/>
          <w:numId w:val="1004"/>
        </w:numPr>
        <w:pStyle w:val="Compact"/>
      </w:pPr>
      <w:r>
        <w:t xml:space="preserve">2.6 Sector-Specific Threat Calibration</w:t>
      </w:r>
    </w:p>
    <w:p>
      <w:pPr>
        <w:numPr>
          <w:ilvl w:val="0"/>
          <w:numId w:val="1004"/>
        </w:numPr>
        <w:pStyle w:val="Compact"/>
      </w:pPr>
      <w:r>
        <w:t xml:space="preserve">2.7 Integrating Threat Intelligence and Red Team Findings</w:t>
      </w:r>
    </w:p>
    <w:p>
      <w:pPr>
        <w:numPr>
          <w:ilvl w:val="0"/>
          <w:numId w:val="1004"/>
        </w:numPr>
        <w:pStyle w:val="Compact"/>
      </w:pPr>
      <w:r>
        <w:t xml:space="preserve">2.8 What the Threat Model Does Not Justify</w:t>
      </w:r>
    </w:p>
    <w:p>
      <w:pPr>
        <w:numPr>
          <w:ilvl w:val="0"/>
          <w:numId w:val="1004"/>
        </w:numPr>
        <w:pStyle w:val="Compact"/>
      </w:pPr>
      <w:r>
        <w:t xml:space="preserve">2.9 Northfield Energy: Threat Analysis in Practice</w:t>
      </w:r>
    </w:p>
    <w:p>
      <w:pPr>
        <w:numPr>
          <w:ilvl w:val="0"/>
          <w:numId w:val="1004"/>
        </w:numPr>
        <w:pStyle w:val="Compact"/>
      </w:pPr>
      <w:r>
        <w:t xml:space="preserve">2.10 Apex Defense and GlobalSync: Contrasting Threat Profiles</w:t>
      </w:r>
    </w:p>
    <w:p>
      <w:pPr>
        <w:numPr>
          <w:ilvl w:val="0"/>
          <w:numId w:val="1004"/>
        </w:numPr>
        <w:pStyle w:val="Compact"/>
      </w:pPr>
      <w:r>
        <w:t xml:space="preserve">2.11 From Threat Analysis to Programme Justification</w:t>
      </w:r>
    </w:p>
    <w:p>
      <w:pPr>
        <w:numPr>
          <w:ilvl w:val="0"/>
          <w:numId w:val="1004"/>
        </w:numPr>
        <w:pStyle w:val="Compact"/>
      </w:pPr>
      <w:r>
        <w:t xml:space="preserve">2.12 Conducting a Threat Assessment Workshop</w:t>
      </w:r>
    </w:p>
    <w:p>
      <w:pPr>
        <w:numPr>
          <w:ilvl w:val="0"/>
          <w:numId w:val="1004"/>
        </w:numPr>
        <w:pStyle w:val="Compact"/>
      </w:pPr>
      <w:r>
        <w:t xml:space="preserve">2.13 Composite TRADE Scoring: A Worked Example</w:t>
      </w:r>
    </w:p>
    <w:p>
      <w:pPr>
        <w:numPr>
          <w:ilvl w:val="0"/>
          <w:numId w:val="1004"/>
        </w:numPr>
        <w:pStyle w:val="Compact"/>
      </w:pPr>
      <w:r>
        <w:t xml:space="preserve">2.14 Communicating Threat to Non-Technical Stakeholders</w:t>
      </w:r>
    </w:p>
    <w:p>
      <w:pPr>
        <w:numPr>
          <w:ilvl w:val="0"/>
          <w:numId w:val="1004"/>
        </w:numPr>
        <w:pStyle w:val="Compact"/>
      </w:pPr>
      <w:r>
        <w:t xml:space="preserve">2.15 M&amp;A and Estate Changes</w:t>
      </w:r>
    </w:p>
    <w:p>
      <w:pPr>
        <w:numPr>
          <w:ilvl w:val="0"/>
          <w:numId w:val="1004"/>
        </w:numPr>
        <w:pStyle w:val="Compact"/>
      </w:pPr>
      <w:r>
        <w:t xml:space="preserve">2.16 Symmetric Cryptography and Hash Functions: Scope Boundaries</w:t>
      </w:r>
    </w:p>
    <w:p>
      <w:pPr>
        <w:numPr>
          <w:ilvl w:val="0"/>
          <w:numId w:val="1004"/>
        </w:numPr>
        <w:pStyle w:val="Compact"/>
      </w:pPr>
      <w:r>
        <w:t xml:space="preserve">2.17 Threat-Informed Control Selection</w:t>
      </w:r>
    </w:p>
    <w:p>
      <w:pPr>
        <w:numPr>
          <w:ilvl w:val="0"/>
          <w:numId w:val="1004"/>
        </w:numPr>
        <w:pStyle w:val="Compact"/>
      </w:pPr>
      <w:r>
        <w:t xml:space="preserve">2.18 Documentation, ERM, and Cloud (Cross-References)</w:t>
      </w:r>
    </w:p>
    <w:p>
      <w:pPr>
        <w:numPr>
          <w:ilvl w:val="0"/>
          <w:numId w:val="1004"/>
        </w:numPr>
        <w:pStyle w:val="Compact"/>
      </w:pPr>
      <w:r>
        <w:t xml:space="preserve">2.19 Apply in Your Organisation</w:t>
      </w:r>
    </w:p>
    <w:p>
      <w:pPr>
        <w:numPr>
          <w:ilvl w:val="0"/>
          <w:numId w:val="1004"/>
        </w:numPr>
        <w:pStyle w:val="Compact"/>
      </w:pPr>
      <w:r>
        <w:t xml:space="preserve">2.20 Chapter Summary</w:t>
      </w:r>
    </w:p>
    <w:bookmarkEnd w:id="23"/>
    <w:bookmarkStart w:id="24" w:name="X37e9147aa274ec8a2a2197f57b507d89f85576f"/>
    <w:p>
      <w:pPr>
        <w:pStyle w:val="Heading3"/>
      </w:pPr>
      <w:r>
        <w:t xml:space="preserve">Chapter 3 — The Regulatory and Policy Landscape</w:t>
      </w:r>
    </w:p>
    <w:p>
      <w:pPr>
        <w:numPr>
          <w:ilvl w:val="0"/>
          <w:numId w:val="1005"/>
        </w:numPr>
        <w:pStyle w:val="Compact"/>
      </w:pPr>
      <w:r>
        <w:t xml:space="preserve">3.1 The Regulatory Logic</w:t>
      </w:r>
    </w:p>
    <w:p>
      <w:pPr>
        <w:numPr>
          <w:ilvl w:val="0"/>
          <w:numId w:val="1005"/>
        </w:numPr>
        <w:pStyle w:val="Compact"/>
      </w:pPr>
      <w:r>
        <w:t xml:space="preserve">3.2 United States Federal Framework</w:t>
      </w:r>
    </w:p>
    <w:p>
      <w:pPr>
        <w:numPr>
          <w:ilvl w:val="0"/>
          <w:numId w:val="1005"/>
        </w:numPr>
        <w:pStyle w:val="Compact"/>
      </w:pPr>
      <w:r>
        <w:t xml:space="preserve">3.3 European Union Framework</w:t>
      </w:r>
    </w:p>
    <w:p>
      <w:pPr>
        <w:numPr>
          <w:ilvl w:val="0"/>
          <w:numId w:val="1005"/>
        </w:numPr>
        <w:pStyle w:val="Compact"/>
      </w:pPr>
      <w:r>
        <w:t xml:space="preserve">3.4 GDPR and Data Protection Law</w:t>
      </w:r>
    </w:p>
    <w:p>
      <w:pPr>
        <w:numPr>
          <w:ilvl w:val="0"/>
          <w:numId w:val="1005"/>
        </w:numPr>
        <w:pStyle w:val="Compact"/>
      </w:pPr>
      <w:r>
        <w:t xml:space="preserve">3.5 PCI DSS and Payment Industry Standards</w:t>
      </w:r>
    </w:p>
    <w:p>
      <w:pPr>
        <w:numPr>
          <w:ilvl w:val="0"/>
          <w:numId w:val="1005"/>
        </w:numPr>
        <w:pStyle w:val="Compact"/>
      </w:pPr>
      <w:r>
        <w:t xml:space="preserve">3.6 United Kingdom, Australia, and Other National Frameworks</w:t>
      </w:r>
    </w:p>
    <w:p>
      <w:pPr>
        <w:numPr>
          <w:ilvl w:val="0"/>
          <w:numId w:val="1005"/>
        </w:numPr>
        <w:pStyle w:val="Compact"/>
      </w:pPr>
      <w:r>
        <w:t xml:space="preserve">3.7 What Evidence Satisfies the Obligation</w:t>
      </w:r>
    </w:p>
    <w:p>
      <w:pPr>
        <w:numPr>
          <w:ilvl w:val="0"/>
          <w:numId w:val="1005"/>
        </w:numPr>
        <w:pStyle w:val="Compact"/>
      </w:pPr>
      <w:r>
        <w:t xml:space="preserve">3.8 The PQC Governance Stack</w:t>
      </w:r>
    </w:p>
    <w:p>
      <w:pPr>
        <w:numPr>
          <w:ilvl w:val="0"/>
          <w:numId w:val="1005"/>
        </w:numPr>
        <w:pStyle w:val="Compact"/>
      </w:pPr>
      <w:r>
        <w:t xml:space="preserve">3.9 Regulatory Convergence and Programme Design</w:t>
      </w:r>
    </w:p>
    <w:p>
      <w:pPr>
        <w:numPr>
          <w:ilvl w:val="0"/>
          <w:numId w:val="1005"/>
        </w:numPr>
        <w:pStyle w:val="Compact"/>
      </w:pPr>
      <w:r>
        <w:t xml:space="preserve">3.10 Compliance Failure Modes</w:t>
      </w:r>
    </w:p>
    <w:p>
      <w:pPr>
        <w:numPr>
          <w:ilvl w:val="0"/>
          <w:numId w:val="1005"/>
        </w:numPr>
        <w:pStyle w:val="Compact"/>
      </w:pPr>
      <w:r>
        <w:t xml:space="preserve">3.11 Northfield Energy: Regulatory Context for Critical Infrastructure</w:t>
      </w:r>
    </w:p>
    <w:p>
      <w:pPr>
        <w:numPr>
          <w:ilvl w:val="0"/>
          <w:numId w:val="1005"/>
        </w:numPr>
        <w:pStyle w:val="Compact"/>
      </w:pPr>
      <w:r>
        <w:t xml:space="preserve">3.12 International Standards, Insurance, and Contractual Risk</w:t>
      </w:r>
    </w:p>
    <w:p>
      <w:pPr>
        <w:numPr>
          <w:ilvl w:val="0"/>
          <w:numId w:val="1005"/>
        </w:numPr>
        <w:pStyle w:val="Compact"/>
      </w:pPr>
      <w:r>
        <w:t xml:space="preserve">3.13 Regulatory Timeline Overlay</w:t>
      </w:r>
    </w:p>
    <w:p>
      <w:pPr>
        <w:numPr>
          <w:ilvl w:val="0"/>
          <w:numId w:val="1005"/>
        </w:numPr>
        <w:pStyle w:val="Compact"/>
      </w:pPr>
      <w:r>
        <w:t xml:space="preserve">3.14 Regulatory Engagement Strategy</w:t>
      </w:r>
    </w:p>
    <w:p>
      <w:pPr>
        <w:numPr>
          <w:ilvl w:val="0"/>
          <w:numId w:val="1005"/>
        </w:numPr>
        <w:pStyle w:val="Compact"/>
      </w:pPr>
      <w:r>
        <w:t xml:space="preserve">3.15 GlobalSync Logistics: Multinational Regulatory Complexity</w:t>
      </w:r>
    </w:p>
    <w:p>
      <w:pPr>
        <w:numPr>
          <w:ilvl w:val="0"/>
          <w:numId w:val="1005"/>
        </w:numPr>
        <w:pStyle w:val="Compact"/>
      </w:pPr>
      <w:r>
        <w:t xml:space="preserve">3.16 Auditor and Assessor Engagement</w:t>
      </w:r>
    </w:p>
    <w:p>
      <w:pPr>
        <w:numPr>
          <w:ilvl w:val="0"/>
          <w:numId w:val="1005"/>
        </w:numPr>
        <w:pStyle w:val="Compact"/>
      </w:pPr>
      <w:r>
        <w:t xml:space="preserve">3.17 DORA Deep Dive: Article-by-Article PQC Relevance</w:t>
      </w:r>
    </w:p>
    <w:p>
      <w:pPr>
        <w:numPr>
          <w:ilvl w:val="0"/>
          <w:numId w:val="1005"/>
        </w:numPr>
        <w:pStyle w:val="Compact"/>
      </w:pPr>
      <w:r>
        <w:t xml:space="preserve">3.18 Apply in Your Organisation</w:t>
      </w:r>
    </w:p>
    <w:p>
      <w:pPr>
        <w:numPr>
          <w:ilvl w:val="0"/>
          <w:numId w:val="1005"/>
        </w:numPr>
        <w:pStyle w:val="Compact"/>
      </w:pPr>
      <w:r>
        <w:t xml:space="preserve">3.19 Chapter Summary</w:t>
      </w:r>
    </w:p>
    <w:bookmarkEnd w:id="24"/>
    <w:bookmarkEnd w:id="25"/>
    <w:bookmarkStart w:id="30" w:name="part-ii-standards-as-inputs"/>
    <w:p>
      <w:pPr>
        <w:pStyle w:val="Heading2"/>
      </w:pPr>
      <w:r>
        <w:t xml:space="preserve">Part II — Standards as Inputs</w:t>
      </w:r>
    </w:p>
    <w:p>
      <w:pPr>
        <w:pStyle w:val="FirstParagraph"/>
      </w:pPr>
      <w:r>
        <w:rPr>
          <w:iCs/>
          <w:i/>
        </w:rPr>
        <w:t xml:space="preserve">Standards bridge (inputs to Capability)</w:t>
      </w:r>
    </w:p>
    <w:bookmarkStart w:id="26" w:name="introduction-1"/>
    <w:p>
      <w:pPr>
        <w:pStyle w:val="Heading3"/>
      </w:pPr>
      <w:r>
        <w:t xml:space="preserve">Introduction</w:t>
      </w:r>
    </w:p>
    <w:p>
      <w:pPr>
        <w:numPr>
          <w:ilvl w:val="0"/>
          <w:numId w:val="1006"/>
        </w:numPr>
        <w:pStyle w:val="Compact"/>
      </w:pPr>
      <w:r>
        <w:t xml:space="preserve">Introduction</w:t>
      </w:r>
    </w:p>
    <w:p>
      <w:pPr>
        <w:numPr>
          <w:ilvl w:val="0"/>
          <w:numId w:val="1006"/>
        </w:numPr>
        <w:pStyle w:val="Compact"/>
      </w:pPr>
      <w:r>
        <w:t xml:space="preserve">What Part II Delivers</w:t>
      </w:r>
    </w:p>
    <w:p>
      <w:pPr>
        <w:numPr>
          <w:ilvl w:val="0"/>
          <w:numId w:val="1006"/>
        </w:numPr>
        <w:pStyle w:val="Compact"/>
      </w:pPr>
      <w:r>
        <w:t xml:space="preserve">PQ-ADAPT Level 2→3 Artefacts (Policy Foundation)</w:t>
      </w:r>
    </w:p>
    <w:p>
      <w:pPr>
        <w:numPr>
          <w:ilvl w:val="0"/>
          <w:numId w:val="1006"/>
        </w:numPr>
        <w:pStyle w:val="Compact"/>
      </w:pPr>
      <w:r>
        <w:t xml:space="preserve">Who Should Read Part II</w:t>
      </w:r>
    </w:p>
    <w:p>
      <w:pPr>
        <w:numPr>
          <w:ilvl w:val="0"/>
          <w:numId w:val="1006"/>
        </w:numPr>
        <w:pStyle w:val="Compact"/>
      </w:pPr>
      <w:r>
        <w:t xml:space="preserve">What Part II Is and Is Not</w:t>
      </w:r>
    </w:p>
    <w:p>
      <w:pPr>
        <w:numPr>
          <w:ilvl w:val="0"/>
          <w:numId w:val="1006"/>
        </w:numPr>
        <w:pStyle w:val="Compact"/>
      </w:pPr>
      <w:r>
        <w:t xml:space="preserve">The Teaching Organisations in Part II</w:t>
      </w:r>
    </w:p>
    <w:p>
      <w:pPr>
        <w:numPr>
          <w:ilvl w:val="0"/>
          <w:numId w:val="1006"/>
        </w:numPr>
        <w:pStyle w:val="Compact"/>
      </w:pPr>
      <w:r>
        <w:t xml:space="preserve">The Standards-as-Inputs Principle</w:t>
      </w:r>
    </w:p>
    <w:p>
      <w:pPr>
        <w:numPr>
          <w:ilvl w:val="0"/>
          <w:numId w:val="1006"/>
        </w:numPr>
        <w:pStyle w:val="Compact"/>
      </w:pPr>
      <w:r>
        <w:t xml:space="preserve">Conventions</w:t>
      </w:r>
    </w:p>
    <w:p>
      <w:pPr>
        <w:numPr>
          <w:ilvl w:val="0"/>
          <w:numId w:val="1006"/>
        </w:numPr>
        <w:pStyle w:val="Compact"/>
      </w:pPr>
      <w:r>
        <w:t xml:space="preserve">How Part II Connects to the Book Arc</w:t>
      </w:r>
    </w:p>
    <w:p>
      <w:pPr>
        <w:numPr>
          <w:ilvl w:val="0"/>
          <w:numId w:val="1006"/>
        </w:numPr>
        <w:pStyle w:val="Compact"/>
      </w:pPr>
      <w:r>
        <w:t xml:space="preserve">Suggested Reading Sequences</w:t>
      </w:r>
    </w:p>
    <w:bookmarkEnd w:id="26"/>
    <w:bookmarkStart w:id="27" w:name="X6ecec2e7e64203e08338744610c4230bae57662"/>
    <w:p>
      <w:pPr>
        <w:pStyle w:val="Heading3"/>
      </w:pPr>
      <w:r>
        <w:t xml:space="preserve">Chapter 4 — From NIST Competition to FIPS 203–205</w:t>
      </w:r>
    </w:p>
    <w:p>
      <w:pPr>
        <w:numPr>
          <w:ilvl w:val="0"/>
          <w:numId w:val="1007"/>
        </w:numPr>
        <w:pStyle w:val="Compact"/>
      </w:pPr>
      <w:r>
        <w:t xml:space="preserve">4.1 The Standards-as-Inputs Principle</w:t>
      </w:r>
    </w:p>
    <w:p>
      <w:pPr>
        <w:numPr>
          <w:ilvl w:val="0"/>
          <w:numId w:val="1007"/>
        </w:numPr>
        <w:pStyle w:val="Compact"/>
      </w:pPr>
      <w:r>
        <w:t xml:space="preserve">4.2 The NIST PQC Project: From Competition to Standard</w:t>
      </w:r>
    </w:p>
    <w:p>
      <w:pPr>
        <w:numPr>
          <w:ilvl w:val="0"/>
          <w:numId w:val="1007"/>
        </w:numPr>
        <w:pStyle w:val="Compact"/>
      </w:pPr>
      <w:r>
        <w:t xml:space="preserve">4.3 FIPS 203: ML-KEM (Module-Lattice-Based Key Encapsulation)</w:t>
      </w:r>
    </w:p>
    <w:p>
      <w:pPr>
        <w:numPr>
          <w:ilvl w:val="0"/>
          <w:numId w:val="1007"/>
        </w:numPr>
        <w:pStyle w:val="Compact"/>
      </w:pPr>
      <w:r>
        <w:t xml:space="preserve">4.4 FIPS 204: ML-DSA (Module-Lattice-Based Digital Signatures)</w:t>
      </w:r>
    </w:p>
    <w:p>
      <w:pPr>
        <w:numPr>
          <w:ilvl w:val="0"/>
          <w:numId w:val="1007"/>
        </w:numPr>
        <w:pStyle w:val="Compact"/>
      </w:pPr>
      <w:r>
        <w:t xml:space="preserve">4.5 FIPS 205: SLH-DSA (Stateless Hash-Based Signatures)</w:t>
      </w:r>
    </w:p>
    <w:p>
      <w:pPr>
        <w:numPr>
          <w:ilvl w:val="0"/>
          <w:numId w:val="1007"/>
        </w:numPr>
        <w:pStyle w:val="Compact"/>
      </w:pPr>
      <w:r>
        <w:t xml:space="preserve">4.6 Security Categories and Enterprise Mapping</w:t>
      </w:r>
    </w:p>
    <w:p>
      <w:pPr>
        <w:numPr>
          <w:ilvl w:val="0"/>
          <w:numId w:val="1007"/>
        </w:numPr>
        <w:pStyle w:val="Compact"/>
      </w:pPr>
      <w:r>
        <w:t xml:space="preserve">4.7 Contingency Algorithms: FN-DSA and HQC</w:t>
      </w:r>
    </w:p>
    <w:p>
      <w:pPr>
        <w:numPr>
          <w:ilvl w:val="0"/>
          <w:numId w:val="1007"/>
        </w:numPr>
        <w:pStyle w:val="Compact"/>
      </w:pPr>
      <w:r>
        <w:t xml:space="preserve">4.8 Algorithm Selection Decision Logic</w:t>
      </w:r>
    </w:p>
    <w:p>
      <w:pPr>
        <w:numPr>
          <w:ilvl w:val="0"/>
          <w:numId w:val="1007"/>
        </w:numPr>
        <w:pStyle w:val="Compact"/>
      </w:pPr>
      <w:r>
        <w:t xml:space="preserve">4.9 Northfield Energy: Parameter Size Constraints in OT</w:t>
      </w:r>
    </w:p>
    <w:p>
      <w:pPr>
        <w:numPr>
          <w:ilvl w:val="0"/>
          <w:numId w:val="1007"/>
        </w:numPr>
        <w:pStyle w:val="Compact"/>
      </w:pPr>
      <w:r>
        <w:t xml:space="preserve">4.10 Performance, Size, and Protocol Interdependencies</w:t>
      </w:r>
    </w:p>
    <w:p>
      <w:pPr>
        <w:numPr>
          <w:ilvl w:val="0"/>
          <w:numId w:val="1007"/>
        </w:numPr>
        <w:pStyle w:val="Compact"/>
      </w:pPr>
      <w:r>
        <w:t xml:space="preserve">4.11 International Alignment: ISO, ETSI, and IETF</w:t>
      </w:r>
    </w:p>
    <w:p>
      <w:pPr>
        <w:numPr>
          <w:ilvl w:val="0"/>
          <w:numId w:val="1007"/>
        </w:numPr>
        <w:pStyle w:val="Compact"/>
      </w:pPr>
      <w:r>
        <w:t xml:space="preserve">4.12 Evaluating Vendor PQC Claims</w:t>
      </w:r>
    </w:p>
    <w:p>
      <w:pPr>
        <w:numPr>
          <w:ilvl w:val="0"/>
          <w:numId w:val="1007"/>
        </w:numPr>
        <w:pStyle w:val="Compact"/>
      </w:pPr>
      <w:r>
        <w:t xml:space="preserve">4.13 GlobalSync Logistics: Platform-Wide Algorithm Consistency</w:t>
      </w:r>
    </w:p>
    <w:p>
      <w:pPr>
        <w:numPr>
          <w:ilvl w:val="0"/>
          <w:numId w:val="1007"/>
        </w:numPr>
        <w:pStyle w:val="Compact"/>
      </w:pPr>
      <w:r>
        <w:t xml:space="preserve">4.14 Apex Defense: CNSA 2.0 vs. Commercial Availability</w:t>
      </w:r>
    </w:p>
    <w:p>
      <w:pPr>
        <w:numPr>
          <w:ilvl w:val="0"/>
          <w:numId w:val="1007"/>
        </w:numPr>
        <w:pStyle w:val="Compact"/>
      </w:pPr>
      <w:r>
        <w:t xml:space="preserve">4.15 Meridian and GlobalSync: Standards in Policy Documents</w:t>
      </w:r>
    </w:p>
    <w:p>
      <w:pPr>
        <w:numPr>
          <w:ilvl w:val="0"/>
          <w:numId w:val="1007"/>
        </w:numPr>
        <w:pStyle w:val="Compact"/>
      </w:pPr>
      <w:r>
        <w:t xml:space="preserve">4.16 FIPS 140-3 Validation and the Implementation Gap</w:t>
      </w:r>
    </w:p>
    <w:p>
      <w:pPr>
        <w:numPr>
          <w:ilvl w:val="0"/>
          <w:numId w:val="1007"/>
        </w:numPr>
        <w:pStyle w:val="Compact"/>
      </w:pPr>
      <w:r>
        <w:t xml:space="preserve">4.17 Protocol and Library Readiness</w:t>
      </w:r>
    </w:p>
    <w:p>
      <w:pPr>
        <w:numPr>
          <w:ilvl w:val="0"/>
          <w:numId w:val="1007"/>
        </w:numPr>
        <w:pStyle w:val="Compact"/>
      </w:pPr>
      <w:r>
        <w:t xml:space="preserve">4.18 Conducting an Algorithm Standards Workshop</w:t>
      </w:r>
    </w:p>
    <w:p>
      <w:pPr>
        <w:numPr>
          <w:ilvl w:val="0"/>
          <w:numId w:val="1007"/>
        </w:numPr>
        <w:pStyle w:val="Compact"/>
      </w:pPr>
      <w:r>
        <w:t xml:space="preserve">4.19 Meridian Deep Dive: Payment HSM as Ecosystem Gate</w:t>
      </w:r>
    </w:p>
    <w:p>
      <w:pPr>
        <w:numPr>
          <w:ilvl w:val="0"/>
          <w:numId w:val="1007"/>
        </w:numPr>
        <w:pStyle w:val="Compact"/>
      </w:pPr>
      <w:r>
        <w:t xml:space="preserve">4.20 Worked Example: Meridian Algorithm Standards Matrix</w:t>
      </w:r>
    </w:p>
    <w:p>
      <w:pPr>
        <w:numPr>
          <w:ilvl w:val="0"/>
          <w:numId w:val="1007"/>
        </w:numPr>
        <w:pStyle w:val="Compact"/>
      </w:pPr>
      <w:r>
        <w:t xml:space="preserve">4.21 Common Algorithm Policy Mistakes</w:t>
      </w:r>
    </w:p>
    <w:p>
      <w:pPr>
        <w:numPr>
          <w:ilvl w:val="0"/>
          <w:numId w:val="1007"/>
        </w:numPr>
        <w:pStyle w:val="Compact"/>
      </w:pPr>
      <w:r>
        <w:t xml:space="preserve">4.22 What This Chapter Deliberately Omits</w:t>
      </w:r>
    </w:p>
    <w:p>
      <w:pPr>
        <w:numPr>
          <w:ilvl w:val="0"/>
          <w:numId w:val="1007"/>
        </w:numPr>
        <w:pStyle w:val="Compact"/>
      </w:pPr>
      <w:r>
        <w:t xml:space="preserve">4.23 Key Wrapping and Application-Layer Cryptography</w:t>
      </w:r>
    </w:p>
    <w:p>
      <w:pPr>
        <w:numPr>
          <w:ilvl w:val="0"/>
          <w:numId w:val="1007"/>
        </w:numPr>
        <w:pStyle w:val="Compact"/>
      </w:pPr>
      <w:r>
        <w:t xml:space="preserve">4.24 Algorithm Agility Requirements in Policy</w:t>
      </w:r>
    </w:p>
    <w:p>
      <w:pPr>
        <w:numPr>
          <w:ilvl w:val="0"/>
          <w:numId w:val="1007"/>
        </w:numPr>
        <w:pStyle w:val="Compact"/>
      </w:pPr>
      <w:r>
        <w:t xml:space="preserve">4.25 Apply in Your Organisation</w:t>
      </w:r>
    </w:p>
    <w:p>
      <w:pPr>
        <w:numPr>
          <w:ilvl w:val="0"/>
          <w:numId w:val="1007"/>
        </w:numPr>
        <w:pStyle w:val="Compact"/>
      </w:pPr>
      <w:r>
        <w:t xml:space="preserve">4.26 Validation Coverage Matrix Example</w:t>
      </w:r>
    </w:p>
    <w:p>
      <w:pPr>
        <w:numPr>
          <w:ilvl w:val="0"/>
          <w:numId w:val="1007"/>
        </w:numPr>
        <w:pStyle w:val="Compact"/>
      </w:pPr>
      <w:r>
        <w:t xml:space="preserve">4.27 Communicating Algorithm Standards to Engineering Teams</w:t>
      </w:r>
    </w:p>
    <w:p>
      <w:pPr>
        <w:numPr>
          <w:ilvl w:val="0"/>
          <w:numId w:val="1007"/>
        </w:numPr>
        <w:pStyle w:val="Compact"/>
      </w:pPr>
      <w:r>
        <w:t xml:space="preserve">4.28 Standards Maintenance and Horizon Monitoring</w:t>
      </w:r>
    </w:p>
    <w:p>
      <w:pPr>
        <w:numPr>
          <w:ilvl w:val="0"/>
          <w:numId w:val="1007"/>
        </w:numPr>
        <w:pStyle w:val="Compact"/>
      </w:pPr>
      <w:r>
        <w:t xml:space="preserve">4.29 Chapter Summary</w:t>
      </w:r>
    </w:p>
    <w:bookmarkEnd w:id="27"/>
    <w:bookmarkStart w:id="28" w:name="Xb1d7a5e8eef2ac40ba17edddb129e10ff6cd3a0"/>
    <w:p>
      <w:pPr>
        <w:pStyle w:val="Heading3"/>
      </w:pPr>
      <w:r>
        <w:t xml:space="preserve">Chapter 5 — Transition Timelines and Hybrid Policy</w:t>
      </w:r>
    </w:p>
    <w:p>
      <w:pPr>
        <w:numPr>
          <w:ilvl w:val="0"/>
          <w:numId w:val="1008"/>
        </w:numPr>
        <w:pStyle w:val="Compact"/>
      </w:pPr>
      <w:r>
        <w:t xml:space="preserve">5.1 From Standards Timelines to Enterprise Policy</w:t>
      </w:r>
    </w:p>
    <w:p>
      <w:pPr>
        <w:numPr>
          <w:ilvl w:val="0"/>
          <w:numId w:val="1008"/>
        </w:numPr>
        <w:pStyle w:val="Compact"/>
      </w:pPr>
      <w:r>
        <w:t xml:space="preserve">5.2 NIST IR 8547: Deprecation and Disallowance</w:t>
      </w:r>
    </w:p>
    <w:p>
      <w:pPr>
        <w:numPr>
          <w:ilvl w:val="0"/>
          <w:numId w:val="1008"/>
        </w:numPr>
        <w:pStyle w:val="Compact"/>
      </w:pPr>
      <w:r>
        <w:t xml:space="preserve">5.3 CNSA 2.0 Milestones</w:t>
      </w:r>
    </w:p>
    <w:p>
      <w:pPr>
        <w:numPr>
          <w:ilvl w:val="0"/>
          <w:numId w:val="1008"/>
        </w:numPr>
        <w:pStyle w:val="Compact"/>
      </w:pPr>
      <w:r>
        <w:t xml:space="preserve">5.4 Allied National Timelines</w:t>
      </w:r>
    </w:p>
    <w:p>
      <w:pPr>
        <w:numPr>
          <w:ilvl w:val="0"/>
          <w:numId w:val="1008"/>
        </w:numPr>
        <w:pStyle w:val="Compact"/>
      </w:pPr>
      <w:r>
        <w:t xml:space="preserve">5.5 Deriving Internal Timelines</w:t>
      </w:r>
    </w:p>
    <w:p>
      <w:pPr>
        <w:numPr>
          <w:ilvl w:val="0"/>
          <w:numId w:val="1008"/>
        </w:numPr>
        <w:pStyle w:val="Compact"/>
      </w:pPr>
      <w:r>
        <w:t xml:space="preserve">5.6 The Hybrid Lifecycle Model (HLM)</w:t>
      </w:r>
    </w:p>
    <w:p>
      <w:pPr>
        <w:numPr>
          <w:ilvl w:val="0"/>
          <w:numId w:val="1008"/>
        </w:numPr>
        <w:pStyle w:val="Compact"/>
      </w:pPr>
      <w:r>
        <w:t xml:space="preserve">5.7 Enterprise Hybrid Policy Requirements</w:t>
      </w:r>
    </w:p>
    <w:p>
      <w:pPr>
        <w:numPr>
          <w:ilvl w:val="0"/>
          <w:numId w:val="1008"/>
        </w:numPr>
        <w:pStyle w:val="Compact"/>
      </w:pPr>
      <w:r>
        <w:t xml:space="preserve">5.8 Exceptions and Risk Acceptance</w:t>
      </w:r>
    </w:p>
    <w:p>
      <w:pPr>
        <w:numPr>
          <w:ilvl w:val="0"/>
          <w:numId w:val="1008"/>
        </w:numPr>
        <w:pStyle w:val="Compact"/>
      </w:pPr>
      <w:r>
        <w:t xml:space="preserve">5.9 Sunset Criteria and Deprecation Governance</w:t>
      </w:r>
    </w:p>
    <w:p>
      <w:pPr>
        <w:numPr>
          <w:ilvl w:val="0"/>
          <w:numId w:val="1008"/>
        </w:numPr>
        <w:pStyle w:val="Compact"/>
      </w:pPr>
      <w:r>
        <w:t xml:space="preserve">5.10 GlobalSync: Multinational Policy Variants</w:t>
      </w:r>
    </w:p>
    <w:p>
      <w:pPr>
        <w:numPr>
          <w:ilvl w:val="0"/>
          <w:numId w:val="1008"/>
        </w:numPr>
        <w:pStyle w:val="Compact"/>
      </w:pPr>
      <w:r>
        <w:t xml:space="preserve">5.11 Meridian: DORA-Aligned Timeline Evidence</w:t>
      </w:r>
    </w:p>
    <w:p>
      <w:pPr>
        <w:numPr>
          <w:ilvl w:val="0"/>
          <w:numId w:val="1008"/>
        </w:numPr>
        <w:pStyle w:val="Compact"/>
      </w:pPr>
      <w:r>
        <w:t xml:space="preserve">5.12 PQ-ADAPT and HLM Integration</w:t>
      </w:r>
    </w:p>
    <w:p>
      <w:pPr>
        <w:numPr>
          <w:ilvl w:val="0"/>
          <w:numId w:val="1008"/>
        </w:numPr>
        <w:pStyle w:val="Compact"/>
      </w:pPr>
      <w:r>
        <w:t xml:space="preserve">5.13 Apex Defense: NSS Timeline Floors</w:t>
      </w:r>
    </w:p>
    <w:p>
      <w:pPr>
        <w:numPr>
          <w:ilvl w:val="0"/>
          <w:numId w:val="1008"/>
        </w:numPr>
        <w:pStyle w:val="Compact"/>
      </w:pPr>
      <w:r>
        <w:t xml:space="preserve">5.14 Northfield Energy: Wave 1 Capital and Timeline Anchors</w:t>
      </w:r>
    </w:p>
    <w:p>
      <w:pPr>
        <w:numPr>
          <w:ilvl w:val="0"/>
          <w:numId w:val="1008"/>
        </w:numPr>
        <w:pStyle w:val="Compact"/>
      </w:pPr>
      <w:r>
        <w:t xml:space="preserve">5.15 Meridian: Risk Acceptance Worked Example</w:t>
      </w:r>
    </w:p>
    <w:p>
      <w:pPr>
        <w:numPr>
          <w:ilvl w:val="0"/>
          <w:numId w:val="1008"/>
        </w:numPr>
        <w:pStyle w:val="Compact"/>
      </w:pPr>
      <w:r>
        <w:t xml:space="preserve">5.16 GlobalSync: Tenant Notification and Contractual Sunsets</w:t>
      </w:r>
    </w:p>
    <w:p>
      <w:pPr>
        <w:numPr>
          <w:ilvl w:val="0"/>
          <w:numId w:val="1008"/>
        </w:numPr>
        <w:pStyle w:val="Compact"/>
      </w:pPr>
      <w:r>
        <w:t xml:space="preserve">5.17 Northfield Energy: VPN and IKE Hybrid Transition</w:t>
      </w:r>
    </w:p>
    <w:p>
      <w:pPr>
        <w:numPr>
          <w:ilvl w:val="0"/>
          <w:numId w:val="1008"/>
        </w:numPr>
        <w:pStyle w:val="Compact"/>
      </w:pPr>
      <w:r>
        <w:t xml:space="preserve">5.18 Hybrid TLS: Operational Deep Dive</w:t>
      </w:r>
    </w:p>
    <w:p>
      <w:pPr>
        <w:numPr>
          <w:ilvl w:val="0"/>
          <w:numId w:val="1008"/>
        </w:numPr>
        <w:pStyle w:val="Compact"/>
      </w:pPr>
      <w:r>
        <w:t xml:space="preserve">5.19 Board and Executive Reporting on Timelines</w:t>
      </w:r>
    </w:p>
    <w:p>
      <w:pPr>
        <w:numPr>
          <w:ilvl w:val="0"/>
          <w:numId w:val="1008"/>
        </w:numPr>
        <w:pStyle w:val="Compact"/>
      </w:pPr>
      <w:r>
        <w:t xml:space="preserve">5.20 Integration with Zero Trust and Identity Programmes</w:t>
      </w:r>
    </w:p>
    <w:p>
      <w:pPr>
        <w:numPr>
          <w:ilvl w:val="0"/>
          <w:numId w:val="1008"/>
        </w:numPr>
        <w:pStyle w:val="Compact"/>
      </w:pPr>
      <w:r>
        <w:t xml:space="preserve">5.21 Conducting a Timeline Alignment Workshop</w:t>
      </w:r>
    </w:p>
    <w:p>
      <w:pPr>
        <w:numPr>
          <w:ilvl w:val="0"/>
          <w:numId w:val="1008"/>
        </w:numPr>
        <w:pStyle w:val="Compact"/>
      </w:pPr>
      <w:r>
        <w:t xml:space="preserve">5.22 Common Hybrid Policy Failures</w:t>
      </w:r>
    </w:p>
    <w:p>
      <w:pPr>
        <w:numPr>
          <w:ilvl w:val="0"/>
          <w:numId w:val="1008"/>
        </w:numPr>
        <w:pStyle w:val="Compact"/>
      </w:pPr>
      <w:r>
        <w:t xml:space="preserve">5.23 Apply in Your Organisation</w:t>
      </w:r>
    </w:p>
    <w:p>
      <w:pPr>
        <w:numPr>
          <w:ilvl w:val="0"/>
          <w:numId w:val="1008"/>
        </w:numPr>
        <w:pStyle w:val="Compact"/>
      </w:pPr>
      <w:r>
        <w:t xml:space="preserve">5.24 Procurement and Timeline Alignment</w:t>
      </w:r>
    </w:p>
    <w:p>
      <w:pPr>
        <w:numPr>
          <w:ilvl w:val="0"/>
          <w:numId w:val="1008"/>
        </w:numPr>
        <w:pStyle w:val="Compact"/>
      </w:pPr>
      <w:r>
        <w:t xml:space="preserve">5.25 HLM Governance Cadence</w:t>
      </w:r>
    </w:p>
    <w:p>
      <w:pPr>
        <w:numPr>
          <w:ilvl w:val="0"/>
          <w:numId w:val="1008"/>
        </w:numPr>
        <w:pStyle w:val="Compact"/>
      </w:pPr>
      <w:r>
        <w:t xml:space="preserve">5.26 HLM Metrics and Executive Dashboards</w:t>
      </w:r>
    </w:p>
    <w:p>
      <w:pPr>
        <w:numPr>
          <w:ilvl w:val="0"/>
          <w:numId w:val="1008"/>
        </w:numPr>
        <w:pStyle w:val="Compact"/>
      </w:pPr>
      <w:r>
        <w:t xml:space="preserve">5.27 Exception Lifecycle Management</w:t>
      </w:r>
    </w:p>
    <w:p>
      <w:pPr>
        <w:numPr>
          <w:ilvl w:val="0"/>
          <w:numId w:val="1008"/>
        </w:numPr>
        <w:pStyle w:val="Compact"/>
      </w:pPr>
      <w:r>
        <w:t xml:space="preserve">5.28 Five-Year Programme Phase Model</w:t>
      </w:r>
    </w:p>
    <w:p>
      <w:pPr>
        <w:numPr>
          <w:ilvl w:val="0"/>
          <w:numId w:val="1008"/>
        </w:numPr>
        <w:pStyle w:val="Compact"/>
      </w:pPr>
      <w:r>
        <w:t xml:space="preserve">5.29 Deprecation and Disallowance: Board Narrative Templates</w:t>
      </w:r>
    </w:p>
    <w:p>
      <w:pPr>
        <w:numPr>
          <w:ilvl w:val="0"/>
          <w:numId w:val="1008"/>
        </w:numPr>
        <w:pStyle w:val="Compact"/>
      </w:pPr>
      <w:r>
        <w:t xml:space="preserve">5.30 Auditor and Assessor Engagement on Hybrid Policy</w:t>
      </w:r>
    </w:p>
    <w:p>
      <w:pPr>
        <w:numPr>
          <w:ilvl w:val="0"/>
          <w:numId w:val="1008"/>
        </w:numPr>
        <w:pStyle w:val="Compact"/>
      </w:pPr>
      <w:r>
        <w:t xml:space="preserve">5.31 Coordinating Timeline Policy with Part III Inventory</w:t>
      </w:r>
    </w:p>
    <w:p>
      <w:pPr>
        <w:numPr>
          <w:ilvl w:val="0"/>
          <w:numId w:val="1008"/>
        </w:numPr>
        <w:pStyle w:val="Compact"/>
      </w:pPr>
      <w:r>
        <w:t xml:space="preserve">5.32 Hybrid Policy in M&amp;A and Divestiture</w:t>
      </w:r>
    </w:p>
    <w:p>
      <w:pPr>
        <w:numPr>
          <w:ilvl w:val="0"/>
          <w:numId w:val="1008"/>
        </w:numPr>
        <w:pStyle w:val="Compact"/>
      </w:pPr>
      <w:r>
        <w:t xml:space="preserve">5.33 Document Control and Policy Versioning</w:t>
      </w:r>
    </w:p>
    <w:p>
      <w:pPr>
        <w:numPr>
          <w:ilvl w:val="0"/>
          <w:numId w:val="1008"/>
        </w:numPr>
        <w:pStyle w:val="Compact"/>
      </w:pPr>
      <w:r>
        <w:t xml:space="preserve">5.34 Chapter Summary</w:t>
      </w:r>
    </w:p>
    <w:bookmarkEnd w:id="28"/>
    <w:bookmarkStart w:id="29" w:name="X8363b9fa3b0c22490a654fb210b69f522b8be2a"/>
    <w:p>
      <w:pPr>
        <w:pStyle w:val="Heading3"/>
      </w:pPr>
      <w:r>
        <w:t xml:space="preserve">Chapter 6 — Stateful Signatures, Firmware, and Special Cases</w:t>
      </w:r>
    </w:p>
    <w:p>
      <w:pPr>
        <w:numPr>
          <w:ilvl w:val="0"/>
          <w:numId w:val="1009"/>
        </w:numPr>
        <w:pStyle w:val="Compact"/>
      </w:pPr>
      <w:r>
        <w:t xml:space="preserve">6.1 Why Firmware and Embedded Systems Are Special Cases</w:t>
      </w:r>
    </w:p>
    <w:p>
      <w:pPr>
        <w:numPr>
          <w:ilvl w:val="0"/>
          <w:numId w:val="1009"/>
        </w:numPr>
        <w:pStyle w:val="Compact"/>
      </w:pPr>
      <w:r>
        <w:t xml:space="preserve">6.2 NIST SP 800-208: Stateful Hash-Based Signatures</w:t>
      </w:r>
    </w:p>
    <w:p>
      <w:pPr>
        <w:numPr>
          <w:ilvl w:val="0"/>
          <w:numId w:val="1009"/>
        </w:numPr>
        <w:pStyle w:val="Compact"/>
      </w:pPr>
      <w:r>
        <w:t xml:space="preserve">6.3 CNSA 2.0 and Firmware Signing Requirements</w:t>
      </w:r>
    </w:p>
    <w:p>
      <w:pPr>
        <w:numPr>
          <w:ilvl w:val="0"/>
          <w:numId w:val="1009"/>
        </w:numPr>
        <w:pStyle w:val="Compact"/>
      </w:pPr>
      <w:r>
        <w:t xml:space="preserve">6.4 Signature Scheme Selection Matrix</w:t>
      </w:r>
    </w:p>
    <w:p>
      <w:pPr>
        <w:numPr>
          <w:ilvl w:val="0"/>
          <w:numId w:val="1009"/>
        </w:numPr>
        <w:pStyle w:val="Compact"/>
      </w:pPr>
      <w:r>
        <w:t xml:space="preserve">6.5 ML-DSA for Code and Firmware Signing</w:t>
      </w:r>
    </w:p>
    <w:p>
      <w:pPr>
        <w:numPr>
          <w:ilvl w:val="0"/>
          <w:numId w:val="1009"/>
        </w:numPr>
        <w:pStyle w:val="Compact"/>
      </w:pPr>
      <w:r>
        <w:t xml:space="preserve">6.6 SLH-DSA in Constrained Environments</w:t>
      </w:r>
    </w:p>
    <w:p>
      <w:pPr>
        <w:numPr>
          <w:ilvl w:val="0"/>
          <w:numId w:val="1009"/>
        </w:numPr>
        <w:pStyle w:val="Compact"/>
      </w:pPr>
      <w:r>
        <w:t xml:space="preserve">6.7 LMS and XMSS Operational Design</w:t>
      </w:r>
    </w:p>
    <w:p>
      <w:pPr>
        <w:numPr>
          <w:ilvl w:val="0"/>
          <w:numId w:val="1009"/>
        </w:numPr>
        <w:pStyle w:val="Compact"/>
      </w:pPr>
      <w:r>
        <w:t xml:space="preserve">6.8 Northfield Energy: Three-Vendor Firmware Chain</w:t>
      </w:r>
    </w:p>
    <w:p>
      <w:pPr>
        <w:numPr>
          <w:ilvl w:val="0"/>
          <w:numId w:val="1009"/>
        </w:numPr>
        <w:pStyle w:val="Compact"/>
      </w:pPr>
      <w:r>
        <w:t xml:space="preserve">6.9 Air-Gapped and Offline Signing Workflows</w:t>
      </w:r>
    </w:p>
    <w:p>
      <w:pPr>
        <w:numPr>
          <w:ilvl w:val="0"/>
          <w:numId w:val="1009"/>
        </w:numPr>
        <w:pStyle w:val="Compact"/>
      </w:pPr>
      <w:r>
        <w:t xml:space="preserve">6.10 Sector Overlay: OT Firmware (SOM Preview)</w:t>
      </w:r>
    </w:p>
    <w:p>
      <w:pPr>
        <w:numPr>
          <w:ilvl w:val="0"/>
          <w:numId w:val="1009"/>
        </w:numPr>
        <w:pStyle w:val="Compact"/>
      </w:pPr>
      <w:r>
        <w:t xml:space="preserve">6.11 Supply Chain and Vendor Contracting</w:t>
      </w:r>
    </w:p>
    <w:p>
      <w:pPr>
        <w:numPr>
          <w:ilvl w:val="0"/>
          <w:numId w:val="1009"/>
        </w:numPr>
        <w:pStyle w:val="Compact"/>
      </w:pPr>
      <w:r>
        <w:t xml:space="preserve">6.12 Relationship to Part IV Architecture Chapters</w:t>
      </w:r>
    </w:p>
    <w:p>
      <w:pPr>
        <w:numPr>
          <w:ilvl w:val="0"/>
          <w:numId w:val="1009"/>
        </w:numPr>
        <w:pStyle w:val="Compact"/>
      </w:pPr>
      <w:r>
        <w:t xml:space="preserve">6.13 Meridian Mutual Bank: Payment HSM Firmware Signing</w:t>
      </w:r>
    </w:p>
    <w:p>
      <w:pPr>
        <w:numPr>
          <w:ilvl w:val="0"/>
          <w:numId w:val="1009"/>
        </w:numPr>
        <w:pStyle w:val="Compact"/>
      </w:pPr>
      <w:r>
        <w:t xml:space="preserve">6.14 Apex Defense: Classified and Unclassified Boundaries</w:t>
      </w:r>
    </w:p>
    <w:p>
      <w:pPr>
        <w:numPr>
          <w:ilvl w:val="0"/>
          <w:numId w:val="1009"/>
        </w:numPr>
        <w:pStyle w:val="Compact"/>
      </w:pPr>
      <w:r>
        <w:t xml:space="preserve">6.15 LMS and XMSS Parameter Selection</w:t>
      </w:r>
    </w:p>
    <w:p>
      <w:pPr>
        <w:numPr>
          <w:ilvl w:val="0"/>
          <w:numId w:val="1009"/>
        </w:numPr>
        <w:pStyle w:val="Compact"/>
      </w:pPr>
      <w:r>
        <w:t xml:space="preserve">6.16 Testing and Validation for Firmware Signing</w:t>
      </w:r>
    </w:p>
    <w:p>
      <w:pPr>
        <w:numPr>
          <w:ilvl w:val="0"/>
          <w:numId w:val="1009"/>
        </w:numPr>
        <w:pStyle w:val="Compact"/>
      </w:pPr>
      <w:r>
        <w:t xml:space="preserve">6.17 GlobalSync: Container Image Signing</w:t>
      </w:r>
    </w:p>
    <w:p>
      <w:pPr>
        <w:numPr>
          <w:ilvl w:val="0"/>
          <w:numId w:val="1009"/>
        </w:numPr>
        <w:pStyle w:val="Compact"/>
      </w:pPr>
      <w:r>
        <w:t xml:space="preserve">6.18 Smart Cards, Tokens, and Physical Form Factors</w:t>
      </w:r>
    </w:p>
    <w:p>
      <w:pPr>
        <w:numPr>
          <w:ilvl w:val="0"/>
          <w:numId w:val="1009"/>
        </w:numPr>
        <w:pStyle w:val="Compact"/>
      </w:pPr>
      <w:r>
        <w:t xml:space="preserve">6.19 Compensating Controls When Migration Is Gated</w:t>
      </w:r>
    </w:p>
    <w:p>
      <w:pPr>
        <w:numPr>
          <w:ilvl w:val="0"/>
          <w:numId w:val="1009"/>
        </w:numPr>
        <w:pStyle w:val="Compact"/>
      </w:pPr>
      <w:r>
        <w:t xml:space="preserve">6.20 Cloud-Native vs OT: Comparative Programme Patterns</w:t>
      </w:r>
    </w:p>
    <w:p>
      <w:pPr>
        <w:numPr>
          <w:ilvl w:val="0"/>
          <w:numId w:val="1009"/>
        </w:numPr>
        <w:pStyle w:val="Compact"/>
      </w:pPr>
      <w:r>
        <w:t xml:space="preserve">6.21 Firmware Signing Programme Charter Elements</w:t>
      </w:r>
    </w:p>
    <w:p>
      <w:pPr>
        <w:numPr>
          <w:ilvl w:val="0"/>
          <w:numId w:val="1009"/>
        </w:numPr>
        <w:pStyle w:val="Compact"/>
      </w:pPr>
      <w:r>
        <w:t xml:space="preserve">6.22 Apply in Your Organisation</w:t>
      </w:r>
    </w:p>
    <w:p>
      <w:pPr>
        <w:numPr>
          <w:ilvl w:val="0"/>
          <w:numId w:val="1009"/>
        </w:numPr>
        <w:pStyle w:val="Compact"/>
      </w:pPr>
      <w:r>
        <w:t xml:space="preserve">6.23 Programme Anti-Patterns in Firmware Migration</w:t>
      </w:r>
    </w:p>
    <w:p>
      <w:pPr>
        <w:numPr>
          <w:ilvl w:val="0"/>
          <w:numId w:val="1009"/>
        </w:numPr>
        <w:pStyle w:val="Compact"/>
      </w:pPr>
      <w:r>
        <w:t xml:space="preserve">6.24 Cross-Functional Stakeholder Map for Firmware Signing</w:t>
      </w:r>
    </w:p>
    <w:p>
      <w:pPr>
        <w:numPr>
          <w:ilvl w:val="0"/>
          <w:numId w:val="1009"/>
        </w:numPr>
        <w:pStyle w:val="Compact"/>
      </w:pPr>
      <w:r>
        <w:t xml:space="preserve">6.25 Long-Term Trust Horizons for Firmware Certificates</w:t>
      </w:r>
    </w:p>
    <w:p>
      <w:pPr>
        <w:numPr>
          <w:ilvl w:val="0"/>
          <w:numId w:val="1009"/>
        </w:numPr>
        <w:pStyle w:val="Compact"/>
      </w:pPr>
      <w:r>
        <w:t xml:space="preserve">6.26 Incident Response for Firmware Signing Failures</w:t>
      </w:r>
    </w:p>
    <w:p>
      <w:pPr>
        <w:numPr>
          <w:ilvl w:val="0"/>
          <w:numId w:val="1009"/>
        </w:numPr>
        <w:pStyle w:val="Compact"/>
      </w:pPr>
      <w:r>
        <w:t xml:space="preserve">6.27 Five-Year Firmware Programme Roadmap (Northfield)</w:t>
      </w:r>
    </w:p>
    <w:p>
      <w:pPr>
        <w:numPr>
          <w:ilvl w:val="0"/>
          <w:numId w:val="1009"/>
        </w:numPr>
        <w:pStyle w:val="Compact"/>
      </w:pPr>
      <w:r>
        <w:t xml:space="preserve">6.28 Training and Workforce Development</w:t>
      </w:r>
    </w:p>
    <w:p>
      <w:pPr>
        <w:numPr>
          <w:ilvl w:val="0"/>
          <w:numId w:val="1009"/>
        </w:numPr>
        <w:pStyle w:val="Compact"/>
      </w:pPr>
      <w:r>
        <w:t xml:space="preserve">6.29 Integrating Firmware Programme with TRADE Rescoring</w:t>
      </w:r>
    </w:p>
    <w:p>
      <w:pPr>
        <w:numPr>
          <w:ilvl w:val="0"/>
          <w:numId w:val="1009"/>
        </w:numPr>
        <w:pStyle w:val="Compact"/>
      </w:pPr>
      <w:r>
        <w:t xml:space="preserve">6.30 Warranty, Liability, and Vendor Indemnification</w:t>
      </w:r>
    </w:p>
    <w:p>
      <w:pPr>
        <w:numPr>
          <w:ilvl w:val="0"/>
          <w:numId w:val="1009"/>
        </w:numPr>
        <w:pStyle w:val="Compact"/>
      </w:pPr>
      <w:r>
        <w:t xml:space="preserve">6.31 Warranty and Evidence Retention</w:t>
      </w:r>
    </w:p>
    <w:p>
      <w:pPr>
        <w:numPr>
          <w:ilvl w:val="0"/>
          <w:numId w:val="1009"/>
        </w:numPr>
        <w:pStyle w:val="Compact"/>
      </w:pPr>
      <w:r>
        <w:t xml:space="preserve">6.32 Chapter Summary</w:t>
      </w:r>
    </w:p>
    <w:bookmarkEnd w:id="29"/>
    <w:bookmarkEnd w:id="30"/>
    <w:bookmarkStart w:id="35" w:name="X6f9a321962eaaf894bee2eb6bb77c72c246e3dd"/>
    <w:p>
      <w:pPr>
        <w:pStyle w:val="Heading2"/>
      </w:pPr>
      <w:r>
        <w:t xml:space="preserve">Part III — Knowing Your Cryptographic Estate</w:t>
      </w:r>
    </w:p>
    <w:p>
      <w:pPr>
        <w:pStyle w:val="FirstParagraph"/>
      </w:pPr>
      <w:r>
        <w:rPr>
          <w:iCs/>
          <w:i/>
        </w:rPr>
        <w:t xml:space="preserve">ARCS: Register</w:t>
      </w:r>
    </w:p>
    <w:bookmarkStart w:id="31" w:name="introduction-2"/>
    <w:p>
      <w:pPr>
        <w:pStyle w:val="Heading3"/>
      </w:pPr>
      <w:r>
        <w:t xml:space="preserve">Introduction</w:t>
      </w:r>
    </w:p>
    <w:p>
      <w:pPr>
        <w:numPr>
          <w:ilvl w:val="0"/>
          <w:numId w:val="1010"/>
        </w:numPr>
        <w:pStyle w:val="Compact"/>
      </w:pPr>
      <w:r>
        <w:t xml:space="preserve">Introduction</w:t>
      </w:r>
    </w:p>
    <w:p>
      <w:pPr>
        <w:numPr>
          <w:ilvl w:val="0"/>
          <w:numId w:val="1010"/>
        </w:numPr>
        <w:pStyle w:val="Compact"/>
      </w:pPr>
      <w:r>
        <w:t xml:space="preserve">What Part III Delivers</w:t>
      </w:r>
    </w:p>
    <w:p>
      <w:pPr>
        <w:numPr>
          <w:ilvl w:val="0"/>
          <w:numId w:val="1010"/>
        </w:numPr>
        <w:pStyle w:val="Compact"/>
      </w:pPr>
      <w:r>
        <w:t xml:space="preserve">PQ-ADAPT and ARCS Positioning</w:t>
      </w:r>
    </w:p>
    <w:p>
      <w:pPr>
        <w:numPr>
          <w:ilvl w:val="0"/>
          <w:numId w:val="1010"/>
        </w:numPr>
        <w:pStyle w:val="Compact"/>
      </w:pPr>
      <w:r>
        <w:t xml:space="preserve">Part III Exit Artefacts</w:t>
      </w:r>
    </w:p>
    <w:p>
      <w:pPr>
        <w:numPr>
          <w:ilvl w:val="0"/>
          <w:numId w:val="1010"/>
        </w:numPr>
        <w:pStyle w:val="Compact"/>
      </w:pPr>
      <w:r>
        <w:t xml:space="preserve">Who Should Read Part III</w:t>
      </w:r>
    </w:p>
    <w:p>
      <w:pPr>
        <w:numPr>
          <w:ilvl w:val="0"/>
          <w:numId w:val="1010"/>
        </w:numPr>
        <w:pStyle w:val="Compact"/>
      </w:pPr>
      <w:r>
        <w:t xml:space="preserve">The Teaching Organisations in Part III</w:t>
      </w:r>
    </w:p>
    <w:p>
      <w:pPr>
        <w:numPr>
          <w:ilvl w:val="0"/>
          <w:numId w:val="1010"/>
        </w:numPr>
        <w:pStyle w:val="Compact"/>
      </w:pPr>
      <w:r>
        <w:t xml:space="preserve">What Part III Is and Is Not</w:t>
      </w:r>
    </w:p>
    <w:p>
      <w:pPr>
        <w:numPr>
          <w:ilvl w:val="0"/>
          <w:numId w:val="1010"/>
        </w:numPr>
        <w:pStyle w:val="Compact"/>
      </w:pPr>
      <w:r>
        <w:t xml:space="preserve">Prerequisites</w:t>
      </w:r>
    </w:p>
    <w:p>
      <w:pPr>
        <w:numPr>
          <w:ilvl w:val="0"/>
          <w:numId w:val="1010"/>
        </w:numPr>
        <w:pStyle w:val="Compact"/>
      </w:pPr>
      <w:r>
        <w:t xml:space="preserve">Conventions</w:t>
      </w:r>
    </w:p>
    <w:bookmarkEnd w:id="31"/>
    <w:bookmarkStart w:id="32" w:name="X07c161eb69a986c2c66498a4091005c681dba6a"/>
    <w:p>
      <w:pPr>
        <w:pStyle w:val="Heading3"/>
      </w:pPr>
      <w:r>
        <w:t xml:space="preserve">Chapter 7 — Cryptographic Discovery and the CBOM</w:t>
      </w:r>
    </w:p>
    <w:p>
      <w:pPr>
        <w:numPr>
          <w:ilvl w:val="0"/>
          <w:numId w:val="1011"/>
        </w:numPr>
        <w:pStyle w:val="Compact"/>
      </w:pPr>
      <w:r>
        <w:t xml:space="preserve">7.1 The CBOM as System of Record</w:t>
      </w:r>
    </w:p>
    <w:p>
      <w:pPr>
        <w:numPr>
          <w:ilvl w:val="0"/>
          <w:numId w:val="1011"/>
        </w:numPr>
        <w:pStyle w:val="Compact"/>
      </w:pPr>
      <w:r>
        <w:t xml:space="preserve">7.2 PQ-ADAPT Level 2: Inventoried</w:t>
      </w:r>
    </w:p>
    <w:p>
      <w:pPr>
        <w:numPr>
          <w:ilvl w:val="0"/>
          <w:numId w:val="1011"/>
        </w:numPr>
        <w:pStyle w:val="Compact"/>
      </w:pPr>
      <w:r>
        <w:t xml:space="preserve">7.3 Application-Layer and Non-TLS Cryptography</w:t>
      </w:r>
    </w:p>
    <w:p>
      <w:pPr>
        <w:numPr>
          <w:ilvl w:val="0"/>
          <w:numId w:val="1011"/>
        </w:numPr>
        <w:pStyle w:val="Compact"/>
      </w:pPr>
      <w:r>
        <w:t xml:space="preserve">7.4 CycloneDX and CBOM Structure</w:t>
      </w:r>
    </w:p>
    <w:p>
      <w:pPr>
        <w:numPr>
          <w:ilvl w:val="0"/>
          <w:numId w:val="1011"/>
        </w:numPr>
        <w:pStyle w:val="Compact"/>
      </w:pPr>
      <w:r>
        <w:t xml:space="preserve">7.5 Discovery Methods</w:t>
      </w:r>
    </w:p>
    <w:p>
      <w:pPr>
        <w:numPr>
          <w:ilvl w:val="0"/>
          <w:numId w:val="1011"/>
        </w:numPr>
        <w:pStyle w:val="Compact"/>
      </w:pPr>
      <w:r>
        <w:t xml:space="preserve">7.6 The Unknown Bucket</w:t>
      </w:r>
    </w:p>
    <w:p>
      <w:pPr>
        <w:numPr>
          <w:ilvl w:val="0"/>
          <w:numId w:val="1011"/>
        </w:numPr>
        <w:pStyle w:val="Compact"/>
      </w:pPr>
      <w:r>
        <w:t xml:space="preserve">7.7 Third-Party and SaaS Obscurity</w:t>
      </w:r>
    </w:p>
    <w:p>
      <w:pPr>
        <w:numPr>
          <w:ilvl w:val="0"/>
          <w:numId w:val="1011"/>
        </w:numPr>
        <w:pStyle w:val="Compact"/>
      </w:pPr>
      <w:r>
        <w:t xml:space="preserve">7.8 Transitive Library Dependencies</w:t>
      </w:r>
    </w:p>
    <w:p>
      <w:pPr>
        <w:numPr>
          <w:ilvl w:val="0"/>
          <w:numId w:val="1011"/>
        </w:numPr>
        <w:pStyle w:val="Compact"/>
      </w:pPr>
      <w:r>
        <w:t xml:space="preserve">7.9 OT and Critical Infrastructure Discovery</w:t>
      </w:r>
    </w:p>
    <w:p>
      <w:pPr>
        <w:numPr>
          <w:ilvl w:val="0"/>
          <w:numId w:val="1011"/>
        </w:numPr>
        <w:pStyle w:val="Compact"/>
      </w:pPr>
      <w:r>
        <w:t xml:space="preserve">7.10 CBOM Attribute Schema (Programme Minimum)</w:t>
      </w:r>
    </w:p>
    <w:p>
      <w:pPr>
        <w:numPr>
          <w:ilvl w:val="0"/>
          <w:numId w:val="1011"/>
        </w:numPr>
        <w:pStyle w:val="Compact"/>
      </w:pPr>
      <w:r>
        <w:t xml:space="preserve">7.11 Algorithm Normalisation</w:t>
      </w:r>
    </w:p>
    <w:p>
      <w:pPr>
        <w:numPr>
          <w:ilvl w:val="0"/>
          <w:numId w:val="1011"/>
        </w:numPr>
        <w:pStyle w:val="Compact"/>
      </w:pPr>
      <w:r>
        <w:t xml:space="preserve">7.12 Privacy, Classification, and CBOM Field Handling</w:t>
      </w:r>
    </w:p>
    <w:p>
      <w:pPr>
        <w:numPr>
          <w:ilvl w:val="0"/>
          <w:numId w:val="1011"/>
        </w:numPr>
        <w:pStyle w:val="Compact"/>
      </w:pPr>
      <w:r>
        <w:t xml:space="preserve">7.13 Meridian Phase 1: Programme Execution</w:t>
      </w:r>
    </w:p>
    <w:p>
      <w:pPr>
        <w:numPr>
          <w:ilvl w:val="0"/>
          <w:numId w:val="1011"/>
        </w:numPr>
        <w:pStyle w:val="Compact"/>
      </w:pPr>
      <w:r>
        <w:t xml:space="preserve">7.14 GlobalSync: Cloud-Native CBOM Pipeline</w:t>
      </w:r>
    </w:p>
    <w:p>
      <w:pPr>
        <w:numPr>
          <w:ilvl w:val="0"/>
          <w:numId w:val="1011"/>
        </w:numPr>
        <w:pStyle w:val="Compact"/>
      </w:pPr>
      <w:r>
        <w:t xml:space="preserve">7.15 Apex Defense: Classified and Corporate Inventory Boundaries</w:t>
      </w:r>
    </w:p>
    <w:p>
      <w:pPr>
        <w:numPr>
          <w:ilvl w:val="0"/>
          <w:numId w:val="1011"/>
        </w:numPr>
        <w:pStyle w:val="Compact"/>
      </w:pPr>
      <w:r>
        <w:t xml:space="preserve">7.16 Data Governance, RACI, and Evidence Quality</w:t>
      </w:r>
    </w:p>
    <w:p>
      <w:pPr>
        <w:numPr>
          <w:ilvl w:val="0"/>
          <w:numId w:val="1011"/>
        </w:numPr>
        <w:pStyle w:val="Compact"/>
      </w:pPr>
      <w:r>
        <w:t xml:space="preserve">7.17 Integration with Change Management and CI/CD</w:t>
      </w:r>
    </w:p>
    <w:p>
      <w:pPr>
        <w:numPr>
          <w:ilvl w:val="0"/>
          <w:numId w:val="1011"/>
        </w:numPr>
        <w:pStyle w:val="Compact"/>
      </w:pPr>
      <w:r>
        <w:t xml:space="preserve">7.18 SBOM and CBOM Convergence</w:t>
      </w:r>
    </w:p>
    <w:p>
      <w:pPr>
        <w:numPr>
          <w:ilvl w:val="0"/>
          <w:numId w:val="1011"/>
        </w:numPr>
        <w:pStyle w:val="Compact"/>
      </w:pPr>
      <w:r>
        <w:t xml:space="preserve">7.19 DORA, NIS2, and Supervisory Evidence</w:t>
      </w:r>
    </w:p>
    <w:p>
      <w:pPr>
        <w:numPr>
          <w:ilvl w:val="0"/>
          <w:numId w:val="1011"/>
        </w:numPr>
        <w:pStyle w:val="Compact"/>
      </w:pPr>
      <w:r>
        <w:t xml:space="preserve">7.20 Budget, Tooling, and Team Sizing</w:t>
      </w:r>
    </w:p>
    <w:p>
      <w:pPr>
        <w:numPr>
          <w:ilvl w:val="0"/>
          <w:numId w:val="1011"/>
        </w:numPr>
        <w:pStyle w:val="Compact"/>
      </w:pPr>
      <w:r>
        <w:t xml:space="preserve">7.21 Lessons from Meridian Tranche Execution</w:t>
      </w:r>
    </w:p>
    <w:p>
      <w:pPr>
        <w:numPr>
          <w:ilvl w:val="0"/>
          <w:numId w:val="1011"/>
        </w:numPr>
        <w:pStyle w:val="Compact"/>
      </w:pPr>
      <w:r>
        <w:t xml:space="preserve">7.22 CBOM Maintenance and Ownership</w:t>
      </w:r>
    </w:p>
    <w:p>
      <w:pPr>
        <w:numPr>
          <w:ilvl w:val="0"/>
          <w:numId w:val="1011"/>
        </w:numPr>
        <w:pStyle w:val="Compact"/>
      </w:pPr>
      <w:r>
        <w:t xml:space="preserve">7.23 Conducting a Discovery Scoping Workshop</w:t>
      </w:r>
    </w:p>
    <w:p>
      <w:pPr>
        <w:numPr>
          <w:ilvl w:val="0"/>
          <w:numId w:val="1011"/>
        </w:numPr>
        <w:pStyle w:val="Compact"/>
      </w:pPr>
      <w:r>
        <w:t xml:space="preserve">7.24 Common CBOM Failure Modes</w:t>
      </w:r>
    </w:p>
    <w:p>
      <w:pPr>
        <w:numPr>
          <w:ilvl w:val="0"/>
          <w:numId w:val="1011"/>
        </w:numPr>
        <w:pStyle w:val="Compact"/>
      </w:pPr>
      <w:r>
        <w:t xml:space="preserve">7.25 Apply in Your Organisation</w:t>
      </w:r>
    </w:p>
    <w:p>
      <w:pPr>
        <w:numPr>
          <w:ilvl w:val="0"/>
          <w:numId w:val="1011"/>
        </w:numPr>
        <w:pStyle w:val="Compact"/>
      </w:pPr>
      <w:r>
        <w:t xml:space="preserve">7.26 Executive Reporting and Board Narratives</w:t>
      </w:r>
    </w:p>
    <w:p>
      <w:pPr>
        <w:numPr>
          <w:ilvl w:val="0"/>
          <w:numId w:val="1011"/>
        </w:numPr>
        <w:pStyle w:val="Compact"/>
      </w:pPr>
      <w:r>
        <w:t xml:space="preserve">7.27 CBOM and Zero Trust Programme Alignment</w:t>
      </w:r>
    </w:p>
    <w:p>
      <w:pPr>
        <w:numPr>
          <w:ilvl w:val="0"/>
          <w:numId w:val="1011"/>
        </w:numPr>
        <w:pStyle w:val="Compact"/>
      </w:pPr>
      <w:r>
        <w:t xml:space="preserve">7.28 Discovery Tool Categories (Non-Endorsement)</w:t>
      </w:r>
    </w:p>
    <w:p>
      <w:pPr>
        <w:numPr>
          <w:ilvl w:val="0"/>
          <w:numId w:val="1011"/>
        </w:numPr>
        <w:pStyle w:val="Compact"/>
      </w:pPr>
      <w:r>
        <w:t xml:space="preserve">7.29 Northfield Deep Dive: OT CBOM Extension</w:t>
      </w:r>
    </w:p>
    <w:p>
      <w:pPr>
        <w:numPr>
          <w:ilvl w:val="0"/>
          <w:numId w:val="1011"/>
        </w:numPr>
        <w:pStyle w:val="Compact"/>
      </w:pPr>
      <w:r>
        <w:t xml:space="preserve">7.30 Coordinating CBOM with Part IV Architecture</w:t>
      </w:r>
    </w:p>
    <w:p>
      <w:pPr>
        <w:numPr>
          <w:ilvl w:val="0"/>
          <w:numId w:val="1011"/>
        </w:numPr>
        <w:pStyle w:val="Compact"/>
      </w:pPr>
      <w:r>
        <w:t xml:space="preserve">7.31 Certificate Transparency and External Attack Surface</w:t>
      </w:r>
    </w:p>
    <w:p>
      <w:pPr>
        <w:numPr>
          <w:ilvl w:val="0"/>
          <w:numId w:val="1011"/>
        </w:numPr>
        <w:pStyle w:val="Compact"/>
      </w:pPr>
      <w:r>
        <w:t xml:space="preserve">7.32 HSM and Key Ceremony Documentation</w:t>
      </w:r>
    </w:p>
    <w:p>
      <w:pPr>
        <w:numPr>
          <w:ilvl w:val="0"/>
          <w:numId w:val="1011"/>
        </w:numPr>
        <w:pStyle w:val="Compact"/>
      </w:pPr>
      <w:r>
        <w:t xml:space="preserve">7.33 Sampling Verification Methodology</w:t>
      </w:r>
    </w:p>
    <w:p>
      <w:pPr>
        <w:numPr>
          <w:ilvl w:val="0"/>
          <w:numId w:val="1011"/>
        </w:numPr>
        <w:pStyle w:val="Compact"/>
      </w:pPr>
      <w:r>
        <w:t xml:space="preserve">7.34 Programme Office CBOM Operating Rhythm</w:t>
      </w:r>
    </w:p>
    <w:p>
      <w:pPr>
        <w:numPr>
          <w:ilvl w:val="0"/>
          <w:numId w:val="1011"/>
        </w:numPr>
        <w:pStyle w:val="Compact"/>
      </w:pPr>
      <w:r>
        <w:t xml:space="preserve">7.35 API Gateways and Cryptographic Aggregation</w:t>
      </w:r>
    </w:p>
    <w:p>
      <w:pPr>
        <w:numPr>
          <w:ilvl w:val="0"/>
          <w:numId w:val="1011"/>
        </w:numPr>
        <w:pStyle w:val="Compact"/>
      </w:pPr>
      <w:r>
        <w:t xml:space="preserve">7.36 Mobile, IoT, and Edge Device Discovery</w:t>
      </w:r>
    </w:p>
    <w:p>
      <w:pPr>
        <w:numPr>
          <w:ilvl w:val="0"/>
          <w:numId w:val="1011"/>
        </w:numPr>
        <w:pStyle w:val="Compact"/>
      </w:pPr>
      <w:r>
        <w:t xml:space="preserve">7.37 Worked Example: Single Payment Microservice CBOM Rows</w:t>
      </w:r>
    </w:p>
    <w:p>
      <w:pPr>
        <w:numPr>
          <w:ilvl w:val="0"/>
          <w:numId w:val="1011"/>
        </w:numPr>
        <w:pStyle w:val="Compact"/>
      </w:pPr>
      <w:r>
        <w:t xml:space="preserve">7.38 M&amp;A and Divestiture CBOM Handling</w:t>
      </w:r>
    </w:p>
    <w:p>
      <w:pPr>
        <w:numPr>
          <w:ilvl w:val="0"/>
          <w:numId w:val="1011"/>
        </w:numPr>
        <w:pStyle w:val="Compact"/>
      </w:pPr>
      <w:r>
        <w:t xml:space="preserve">7.39 Communicating Discovery Results to Engineering</w:t>
      </w:r>
    </w:p>
    <w:p>
      <w:pPr>
        <w:numPr>
          <w:ilvl w:val="0"/>
          <w:numId w:val="1011"/>
        </w:numPr>
        <w:pStyle w:val="Compact"/>
      </w:pPr>
      <w:r>
        <w:t xml:space="preserve">7.40 Shadow IT and Cryptographic Surprise</w:t>
      </w:r>
    </w:p>
    <w:p>
      <w:pPr>
        <w:numPr>
          <w:ilvl w:val="0"/>
          <w:numId w:val="1011"/>
        </w:numPr>
        <w:pStyle w:val="Compact"/>
      </w:pPr>
      <w:r>
        <w:t xml:space="preserve">7.41 Baseline Declaration Ceremony</w:t>
      </w:r>
    </w:p>
    <w:p>
      <w:pPr>
        <w:numPr>
          <w:ilvl w:val="0"/>
          <w:numId w:val="1011"/>
        </w:numPr>
        <w:pStyle w:val="Compact"/>
      </w:pPr>
      <w:r>
        <w:t xml:space="preserve">7.42 Auditor Questions and CBOM Evidence Mapping</w:t>
      </w:r>
    </w:p>
    <w:p>
      <w:pPr>
        <w:numPr>
          <w:ilvl w:val="0"/>
          <w:numId w:val="1011"/>
        </w:numPr>
        <w:pStyle w:val="Compact"/>
      </w:pPr>
      <w:r>
        <w:t xml:space="preserve">7.43 Continuous Discovery vs Phase 1</w:t>
      </w:r>
    </w:p>
    <w:p>
      <w:pPr>
        <w:numPr>
          <w:ilvl w:val="0"/>
          <w:numId w:val="1011"/>
        </w:numPr>
        <w:pStyle w:val="Compact"/>
      </w:pPr>
      <w:r>
        <w:t xml:space="preserve">7.44 Figure Production Brief — CBOM Discovery Architecture</w:t>
      </w:r>
    </w:p>
    <w:p>
      <w:pPr>
        <w:numPr>
          <w:ilvl w:val="0"/>
          <w:numId w:val="1011"/>
        </w:numPr>
        <w:pStyle w:val="Compact"/>
      </w:pPr>
      <w:r>
        <w:t xml:space="preserve">7.45 Chapter Summary</w:t>
      </w:r>
    </w:p>
    <w:bookmarkEnd w:id="32"/>
    <w:bookmarkStart w:id="33" w:name="X1aff26cb59061a9e8aeebc7ea2774d74507af60"/>
    <w:p>
      <w:pPr>
        <w:pStyle w:val="Heading3"/>
      </w:pPr>
      <w:r>
        <w:t xml:space="preserve">Chapter 8 — The Cryptographic Dependency Graph</w:t>
      </w:r>
    </w:p>
    <w:p>
      <w:pPr>
        <w:numPr>
          <w:ilvl w:val="0"/>
          <w:numId w:val="1012"/>
        </w:numPr>
        <w:pStyle w:val="Compact"/>
      </w:pPr>
      <w:r>
        <w:t xml:space="preserve">8.1 Why a CBOM Is Not Enough</w:t>
      </w:r>
    </w:p>
    <w:p>
      <w:pPr>
        <w:numPr>
          <w:ilvl w:val="0"/>
          <w:numId w:val="1012"/>
        </w:numPr>
        <w:pStyle w:val="Compact"/>
      </w:pPr>
      <w:r>
        <w:t xml:space="preserve">8.2 CDG Definition</w:t>
      </w:r>
    </w:p>
    <w:p>
      <w:pPr>
        <w:numPr>
          <w:ilvl w:val="0"/>
          <w:numId w:val="1012"/>
        </w:numPr>
        <w:pStyle w:val="Compact"/>
      </w:pPr>
      <w:r>
        <w:t xml:space="preserve">8.3 Blocking Nodes</w:t>
      </w:r>
    </w:p>
    <w:p>
      <w:pPr>
        <w:numPr>
          <w:ilvl w:val="0"/>
          <w:numId w:val="1012"/>
        </w:numPr>
        <w:pStyle w:val="Compact"/>
      </w:pPr>
      <w:r>
        <w:t xml:space="preserve">8.4 GlobalSync: Partner API as Blocking Node</w:t>
      </w:r>
    </w:p>
    <w:p>
      <w:pPr>
        <w:numPr>
          <w:ilvl w:val="0"/>
          <w:numId w:val="1012"/>
        </w:numPr>
        <w:pStyle w:val="Compact"/>
      </w:pPr>
      <w:r>
        <w:t xml:space="preserve">8.5 Meridian: HSM Firmware Signing Chain</w:t>
      </w:r>
    </w:p>
    <w:p>
      <w:pPr>
        <w:numPr>
          <w:ilvl w:val="0"/>
          <w:numId w:val="1012"/>
        </w:numPr>
        <w:pStyle w:val="Compact"/>
      </w:pPr>
      <w:r>
        <w:t xml:space="preserve">8.6 Northfield: OT Gateway as Protocol Translator</w:t>
      </w:r>
    </w:p>
    <w:p>
      <w:pPr>
        <w:numPr>
          <w:ilvl w:val="0"/>
          <w:numId w:val="1012"/>
        </w:numPr>
        <w:pStyle w:val="Compact"/>
      </w:pPr>
      <w:r>
        <w:t xml:space="preserve">8.7 Apex: Classified Boundaries and NSS Isolation</w:t>
      </w:r>
    </w:p>
    <w:p>
      <w:pPr>
        <w:numPr>
          <w:ilvl w:val="0"/>
          <w:numId w:val="1012"/>
        </w:numPr>
        <w:pStyle w:val="Compact"/>
      </w:pPr>
      <w:r>
        <w:t xml:space="preserve">8.8 PKI Dependency Explosion</w:t>
      </w:r>
    </w:p>
    <w:p>
      <w:pPr>
        <w:numPr>
          <w:ilvl w:val="0"/>
          <w:numId w:val="1012"/>
        </w:numPr>
        <w:pStyle w:val="Compact"/>
      </w:pPr>
      <w:r>
        <w:t xml:space="preserve">8.9 Building the CDG: Methodology</w:t>
      </w:r>
    </w:p>
    <w:p>
      <w:pPr>
        <w:numPr>
          <w:ilvl w:val="0"/>
          <w:numId w:val="1012"/>
        </w:numPr>
        <w:pStyle w:val="Compact"/>
      </w:pPr>
      <w:r>
        <w:t xml:space="preserve">8.10 Northfield: VPN Concentrators and WAN Trust</w:t>
      </w:r>
    </w:p>
    <w:p>
      <w:pPr>
        <w:numPr>
          <w:ilvl w:val="0"/>
          <w:numId w:val="1012"/>
        </w:numPr>
        <w:pStyle w:val="Compact"/>
      </w:pPr>
      <w:r>
        <w:t xml:space="preserve">8.11 Meridian: Enterprise PKI Roll-Up Worked Example</w:t>
      </w:r>
    </w:p>
    <w:p>
      <w:pPr>
        <w:numPr>
          <w:ilvl w:val="0"/>
          <w:numId w:val="1012"/>
        </w:numPr>
        <w:pStyle w:val="Compact"/>
      </w:pPr>
      <w:r>
        <w:t xml:space="preserve">8.12 Edge Validation and Evidence Attachments</w:t>
      </w:r>
    </w:p>
    <w:p>
      <w:pPr>
        <w:numPr>
          <w:ilvl w:val="0"/>
          <w:numId w:val="1012"/>
        </w:numPr>
        <w:pStyle w:val="Compact"/>
      </w:pPr>
      <w:r>
        <w:t xml:space="preserve">8.13 Query Patterns for Programme Roles</w:t>
      </w:r>
    </w:p>
    <w:p>
      <w:pPr>
        <w:numPr>
          <w:ilvl w:val="0"/>
          <w:numId w:val="1012"/>
        </w:numPr>
        <w:pStyle w:val="Compact"/>
      </w:pPr>
      <w:r>
        <w:t xml:space="preserve">8.14 CDG Maturity Model</w:t>
      </w:r>
    </w:p>
    <w:p>
      <w:pPr>
        <w:numPr>
          <w:ilvl w:val="0"/>
          <w:numId w:val="1012"/>
        </w:numPr>
        <w:pStyle w:val="Compact"/>
      </w:pPr>
      <w:r>
        <w:t xml:space="preserve">8.15 Partner and Ecosystem Edges</w:t>
      </w:r>
    </w:p>
    <w:p>
      <w:pPr>
        <w:numPr>
          <w:ilvl w:val="0"/>
          <w:numId w:val="1012"/>
        </w:numPr>
        <w:pStyle w:val="Compact"/>
      </w:pPr>
      <w:r>
        <w:t xml:space="preserve">8.16 Tooling and Storage</w:t>
      </w:r>
    </w:p>
    <w:p>
      <w:pPr>
        <w:numPr>
          <w:ilvl w:val="0"/>
          <w:numId w:val="1012"/>
        </w:numPr>
        <w:pStyle w:val="Compact"/>
      </w:pPr>
      <w:r>
        <w:t xml:space="preserve">8.17 CDG and TRADE Integration</w:t>
      </w:r>
    </w:p>
    <w:p>
      <w:pPr>
        <w:numPr>
          <w:ilvl w:val="0"/>
          <w:numId w:val="1012"/>
        </w:numPr>
        <w:pStyle w:val="Compact"/>
      </w:pPr>
      <w:r>
        <w:t xml:space="preserve">8.18 Failure Modes</w:t>
      </w:r>
    </w:p>
    <w:p>
      <w:pPr>
        <w:numPr>
          <w:ilvl w:val="0"/>
          <w:numId w:val="1012"/>
        </w:numPr>
        <w:pStyle w:val="Compact"/>
      </w:pPr>
      <w:r>
        <w:t xml:space="preserve">8.19 Workshop: One Blocking Node Deep Dive</w:t>
      </w:r>
    </w:p>
    <w:p>
      <w:pPr>
        <w:numPr>
          <w:ilvl w:val="0"/>
          <w:numId w:val="1012"/>
        </w:numPr>
        <w:pStyle w:val="Compact"/>
      </w:pPr>
      <w:r>
        <w:t xml:space="preserve">8.20 Apex: Contract Renewal and Cross-Domain Guards</w:t>
      </w:r>
    </w:p>
    <w:p>
      <w:pPr>
        <w:numPr>
          <w:ilvl w:val="0"/>
          <w:numId w:val="1012"/>
        </w:numPr>
        <w:pStyle w:val="Compact"/>
      </w:pPr>
      <w:r>
        <w:t xml:space="preserve">8.21 Dual-Run and Parallel Trust Periods</w:t>
      </w:r>
    </w:p>
    <w:p>
      <w:pPr>
        <w:numPr>
          <w:ilvl w:val="0"/>
          <w:numId w:val="1012"/>
        </w:numPr>
        <w:pStyle w:val="Compact"/>
      </w:pPr>
      <w:r>
        <w:t xml:space="preserve">8.22 CDG Anti-Patterns</w:t>
      </w:r>
    </w:p>
    <w:p>
      <w:pPr>
        <w:numPr>
          <w:ilvl w:val="0"/>
          <w:numId w:val="1012"/>
        </w:numPr>
        <w:pStyle w:val="Compact"/>
      </w:pPr>
      <w:r>
        <w:t xml:space="preserve">8.23 Apply in Your Organisation</w:t>
      </w:r>
    </w:p>
    <w:p>
      <w:pPr>
        <w:numPr>
          <w:ilvl w:val="0"/>
          <w:numId w:val="1012"/>
        </w:numPr>
        <w:pStyle w:val="Compact"/>
      </w:pPr>
      <w:r>
        <w:t xml:space="preserve">8.24 GlobalSync Microservices: Dependency Inversion</w:t>
      </w:r>
    </w:p>
    <w:p>
      <w:pPr>
        <w:numPr>
          <w:ilvl w:val="0"/>
          <w:numId w:val="1012"/>
        </w:numPr>
        <w:pStyle w:val="Compact"/>
      </w:pPr>
      <w:r>
        <w:t xml:space="preserve">8.25 Meridian Payment Chain: Ceremony to Terminal</w:t>
      </w:r>
    </w:p>
    <w:p>
      <w:pPr>
        <w:numPr>
          <w:ilvl w:val="0"/>
          <w:numId w:val="1012"/>
        </w:numPr>
        <w:pStyle w:val="Compact"/>
      </w:pPr>
      <w:r>
        <w:t xml:space="preserve">8.26 CDG Diff and Programme Health Metrics</w:t>
      </w:r>
    </w:p>
    <w:p>
      <w:pPr>
        <w:numPr>
          <w:ilvl w:val="0"/>
          <w:numId w:val="1012"/>
        </w:numPr>
        <w:pStyle w:val="Compact"/>
      </w:pPr>
      <w:r>
        <w:t xml:space="preserve">8.27 Executive CDG Dashboard</w:t>
      </w:r>
    </w:p>
    <w:p>
      <w:pPr>
        <w:numPr>
          <w:ilvl w:val="0"/>
          <w:numId w:val="1012"/>
        </w:numPr>
        <w:pStyle w:val="Compact"/>
      </w:pPr>
      <w:r>
        <w:t xml:space="preserve">8.28 Time-Boxing CDG Construction</w:t>
      </w:r>
    </w:p>
    <w:p>
      <w:pPr>
        <w:numPr>
          <w:ilvl w:val="0"/>
          <w:numId w:val="1012"/>
        </w:numPr>
        <w:pStyle w:val="Compact"/>
      </w:pPr>
      <w:r>
        <w:t xml:space="preserve">8.29 CDG and Procurement</w:t>
      </w:r>
    </w:p>
    <w:p>
      <w:pPr>
        <w:numPr>
          <w:ilvl w:val="0"/>
          <w:numId w:val="1012"/>
        </w:numPr>
        <w:pStyle w:val="Compact"/>
      </w:pPr>
      <w:r>
        <w:t xml:space="preserve">8.30 Trust Store and JVM Classpath Discovery</w:t>
      </w:r>
    </w:p>
    <w:p>
      <w:pPr>
        <w:numPr>
          <w:ilvl w:val="0"/>
          <w:numId w:val="1012"/>
        </w:numPr>
        <w:pStyle w:val="Compact"/>
      </w:pPr>
      <w:r>
        <w:t xml:space="preserve">8.31 Mutual TLS Bidirectional Modelling</w:t>
      </w:r>
    </w:p>
    <w:p>
      <w:pPr>
        <w:numPr>
          <w:ilvl w:val="0"/>
          <w:numId w:val="1012"/>
        </w:numPr>
        <w:pStyle w:val="Compact"/>
      </w:pPr>
      <w:r>
        <w:t xml:space="preserve">8.32 Firmware and Boot Chain CDG Patterns</w:t>
      </w:r>
    </w:p>
    <w:p>
      <w:pPr>
        <w:numPr>
          <w:ilvl w:val="0"/>
          <w:numId w:val="1012"/>
        </w:numPr>
        <w:pStyle w:val="Compact"/>
      </w:pPr>
      <w:r>
        <w:t xml:space="preserve">8.33 CDG Versioning and Change Control</w:t>
      </w:r>
    </w:p>
    <w:p>
      <w:pPr>
        <w:numPr>
          <w:ilvl w:val="0"/>
          <w:numId w:val="1012"/>
        </w:numPr>
        <w:pStyle w:val="Compact"/>
      </w:pPr>
      <w:r>
        <w:t xml:space="preserve">8.34 Multi-Organisation CDG Merge Patterns</w:t>
      </w:r>
    </w:p>
    <w:p>
      <w:pPr>
        <w:numPr>
          <w:ilvl w:val="0"/>
          <w:numId w:val="1012"/>
        </w:numPr>
        <w:pStyle w:val="Compact"/>
      </w:pPr>
      <w:r>
        <w:t xml:space="preserve">8.35 CDG for Cloud Shared Responsibility</w:t>
      </w:r>
    </w:p>
    <w:p>
      <w:pPr>
        <w:numPr>
          <w:ilvl w:val="0"/>
          <w:numId w:val="1012"/>
        </w:numPr>
        <w:pStyle w:val="Compact"/>
      </w:pPr>
      <w:r>
        <w:t xml:space="preserve">8.36 Facilitating CDG Enrichment Interviews</w:t>
      </w:r>
    </w:p>
    <w:p>
      <w:pPr>
        <w:numPr>
          <w:ilvl w:val="0"/>
          <w:numId w:val="1012"/>
        </w:numPr>
        <w:pStyle w:val="Compact"/>
      </w:pPr>
      <w:r>
        <w:t xml:space="preserve">8.37 CDG Deliverables Checklist</w:t>
      </w:r>
    </w:p>
    <w:p>
      <w:pPr>
        <w:numPr>
          <w:ilvl w:val="0"/>
          <w:numId w:val="1012"/>
        </w:numPr>
        <w:pStyle w:val="Compact"/>
      </w:pPr>
      <w:r>
        <w:t xml:space="preserve">8.38 Service Mesh and East-West Trust</w:t>
      </w:r>
    </w:p>
    <w:p>
      <w:pPr>
        <w:numPr>
          <w:ilvl w:val="0"/>
          <w:numId w:val="1012"/>
        </w:numPr>
        <w:pStyle w:val="Compact"/>
      </w:pPr>
      <w:r>
        <w:t xml:space="preserve">8.39 Worked Blast-Radius Exercise: Manufacturing Root Rotation</w:t>
      </w:r>
    </w:p>
    <w:p>
      <w:pPr>
        <w:numPr>
          <w:ilvl w:val="0"/>
          <w:numId w:val="1012"/>
        </w:numPr>
        <w:pStyle w:val="Compact"/>
      </w:pPr>
      <w:r>
        <w:t xml:space="preserve">8.40 Code Signing and CI/CD Pipeline CDG</w:t>
      </w:r>
    </w:p>
    <w:p>
      <w:pPr>
        <w:numPr>
          <w:ilvl w:val="0"/>
          <w:numId w:val="1012"/>
        </w:numPr>
        <w:pStyle w:val="Compact"/>
      </w:pPr>
      <w:r>
        <w:t xml:space="preserve">8.41 Database and KMS Dependency Chains</w:t>
      </w:r>
    </w:p>
    <w:p>
      <w:pPr>
        <w:numPr>
          <w:ilvl w:val="0"/>
          <w:numId w:val="1012"/>
        </w:numPr>
        <w:pStyle w:val="Compact"/>
      </w:pPr>
      <w:r>
        <w:t xml:space="preserve">8.42 CDN and Third-Party Edge Termination</w:t>
      </w:r>
    </w:p>
    <w:p>
      <w:pPr>
        <w:numPr>
          <w:ilvl w:val="0"/>
          <w:numId w:val="1012"/>
        </w:numPr>
        <w:pStyle w:val="Compact"/>
      </w:pPr>
      <w:r>
        <w:t xml:space="preserve">8.43 CDG for Disaster Recovery and Standby Sites</w:t>
      </w:r>
    </w:p>
    <w:p>
      <w:pPr>
        <w:numPr>
          <w:ilvl w:val="0"/>
          <w:numId w:val="1012"/>
        </w:numPr>
        <w:pStyle w:val="Compact"/>
      </w:pPr>
      <w:r>
        <w:t xml:space="preserve">8.44 Apex NSS: Cross-Domain Guard Edge Cases</w:t>
      </w:r>
    </w:p>
    <w:p>
      <w:pPr>
        <w:numPr>
          <w:ilvl w:val="0"/>
          <w:numId w:val="1012"/>
        </w:numPr>
        <w:pStyle w:val="Compact"/>
      </w:pPr>
      <w:r>
        <w:t xml:space="preserve">8.45 CDG Maintenance Operating Rhythm</w:t>
      </w:r>
    </w:p>
    <w:p>
      <w:pPr>
        <w:numPr>
          <w:ilvl w:val="0"/>
          <w:numId w:val="1012"/>
        </w:numPr>
        <w:pStyle w:val="Compact"/>
      </w:pPr>
      <w:r>
        <w:t xml:space="preserve">8.46 Common CDG Interview Questions</w:t>
      </w:r>
    </w:p>
    <w:p>
      <w:pPr>
        <w:numPr>
          <w:ilvl w:val="0"/>
          <w:numId w:val="1012"/>
        </w:numPr>
        <w:pStyle w:val="Compact"/>
      </w:pPr>
      <w:r>
        <w:t xml:space="preserve">8.47 Identity Provider and SSO Federation CDG</w:t>
      </w:r>
    </w:p>
    <w:p>
      <w:pPr>
        <w:numPr>
          <w:ilvl w:val="0"/>
          <w:numId w:val="1012"/>
        </w:numPr>
        <w:pStyle w:val="Compact"/>
      </w:pPr>
      <w:r>
        <w:t xml:space="preserve">8.48 Email, Document Signing, and S/MIME Chains</w:t>
      </w:r>
    </w:p>
    <w:p>
      <w:pPr>
        <w:numPr>
          <w:ilvl w:val="0"/>
          <w:numId w:val="1012"/>
        </w:numPr>
        <w:pStyle w:val="Compact"/>
      </w:pPr>
      <w:r>
        <w:t xml:space="preserve">8.49 Wireless, IoT Radio, and Non-IP Cryptography</w:t>
      </w:r>
    </w:p>
    <w:p>
      <w:pPr>
        <w:numPr>
          <w:ilvl w:val="0"/>
          <w:numId w:val="1012"/>
        </w:numPr>
        <w:pStyle w:val="Compact"/>
      </w:pPr>
      <w:r>
        <w:t xml:space="preserve">8.50 Blockchain and Ledger Dependencies (Meridian)</w:t>
      </w:r>
    </w:p>
    <w:p>
      <w:pPr>
        <w:numPr>
          <w:ilvl w:val="0"/>
          <w:numId w:val="1012"/>
        </w:numPr>
        <w:pStyle w:val="Compact"/>
      </w:pPr>
      <w:r>
        <w:t xml:space="preserve">8.51 Quantifying Blocking Strength</w:t>
      </w:r>
    </w:p>
    <w:p>
      <w:pPr>
        <w:numPr>
          <w:ilvl w:val="0"/>
          <w:numId w:val="1012"/>
        </w:numPr>
        <w:pStyle w:val="Compact"/>
      </w:pPr>
      <w:r>
        <w:t xml:space="preserve">8.52 CDG Tooling Comparison (Non-Endorsement)</w:t>
      </w:r>
    </w:p>
    <w:p>
      <w:pPr>
        <w:numPr>
          <w:ilvl w:val="0"/>
          <w:numId w:val="1012"/>
        </w:numPr>
        <w:pStyle w:val="Compact"/>
      </w:pPr>
      <w:r>
        <w:t xml:space="preserve">8.53 Legal Hold and eDiscovery Trust Dependencies</w:t>
      </w:r>
    </w:p>
    <w:p>
      <w:pPr>
        <w:numPr>
          <w:ilvl w:val="0"/>
          <w:numId w:val="1012"/>
        </w:numPr>
        <w:pStyle w:val="Compact"/>
      </w:pPr>
      <w:r>
        <w:t xml:space="preserve">8.54 Northfield OT Gateway Deep Dive</w:t>
      </w:r>
    </w:p>
    <w:p>
      <w:pPr>
        <w:numPr>
          <w:ilvl w:val="0"/>
          <w:numId w:val="1012"/>
        </w:numPr>
        <w:pStyle w:val="Compact"/>
      </w:pPr>
      <w:r>
        <w:t xml:space="preserve">8.55 CDG Quality Assurance Before Wave Planning</w:t>
      </w:r>
    </w:p>
    <w:p>
      <w:pPr>
        <w:numPr>
          <w:ilvl w:val="0"/>
          <w:numId w:val="1012"/>
        </w:numPr>
        <w:pStyle w:val="Compact"/>
      </w:pPr>
      <w:r>
        <w:t xml:space="preserve">8.56 Applying CDG in Regulated Assessments</w:t>
      </w:r>
    </w:p>
    <w:p>
      <w:pPr>
        <w:numPr>
          <w:ilvl w:val="0"/>
          <w:numId w:val="1012"/>
        </w:numPr>
        <w:pStyle w:val="Compact"/>
      </w:pPr>
      <w:r>
        <w:t xml:space="preserve">8.57 Integrating CDG with Enterprise Architecture Repositories</w:t>
      </w:r>
    </w:p>
    <w:p>
      <w:pPr>
        <w:numPr>
          <w:ilvl w:val="0"/>
          <w:numId w:val="1012"/>
        </w:numPr>
        <w:pStyle w:val="Compact"/>
      </w:pPr>
      <w:r>
        <w:t xml:space="preserve">8.58 References and Further Reading</w:t>
      </w:r>
    </w:p>
    <w:p>
      <w:pPr>
        <w:numPr>
          <w:ilvl w:val="0"/>
          <w:numId w:val="1012"/>
        </w:numPr>
        <w:pStyle w:val="Compact"/>
      </w:pPr>
      <w:r>
        <w:t xml:space="preserve">8.59 Chapter Summary</w:t>
      </w:r>
    </w:p>
    <w:bookmarkEnd w:id="33"/>
    <w:bookmarkStart w:id="34" w:name="X5fa2e5744e63c78e8a67ed40f9c3cc3b1416576"/>
    <w:p>
      <w:pPr>
        <w:pStyle w:val="Heading3"/>
      </w:pPr>
      <w:r>
        <w:t xml:space="preserve">Chapter 9 — Risk Tiering and Migration Wave Planning</w:t>
      </w:r>
    </w:p>
    <w:p>
      <w:pPr>
        <w:numPr>
          <w:ilvl w:val="0"/>
          <w:numId w:val="1013"/>
        </w:numPr>
        <w:pStyle w:val="Compact"/>
      </w:pPr>
      <w:r>
        <w:t xml:space="preserve">9.1 From Inventory to Action</w:t>
      </w:r>
    </w:p>
    <w:p>
      <w:pPr>
        <w:numPr>
          <w:ilvl w:val="0"/>
          <w:numId w:val="1013"/>
        </w:numPr>
        <w:pStyle w:val="Compact"/>
      </w:pPr>
      <w:r>
        <w:t xml:space="preserve">9.2 The TRADE Decision Engine (Full Specification)</w:t>
      </w:r>
    </w:p>
    <w:p>
      <w:pPr>
        <w:numPr>
          <w:ilvl w:val="0"/>
          <w:numId w:val="1013"/>
        </w:numPr>
        <w:pStyle w:val="Compact"/>
      </w:pPr>
      <w:r>
        <w:t xml:space="preserve">9.3 Dimension Scoring Rubrics</w:t>
      </w:r>
    </w:p>
    <w:p>
      <w:pPr>
        <w:numPr>
          <w:ilvl w:val="0"/>
          <w:numId w:val="1013"/>
        </w:numPr>
        <w:pStyle w:val="Compact"/>
      </w:pPr>
      <w:r>
        <w:t xml:space="preserve">9.4 Worked MPI Examples</w:t>
      </w:r>
    </w:p>
    <w:p>
      <w:pPr>
        <w:numPr>
          <w:ilvl w:val="0"/>
          <w:numId w:val="1013"/>
        </w:numPr>
        <w:pStyle w:val="Compact"/>
      </w:pPr>
      <w:r>
        <w:t xml:space="preserve">9.5 Wave Taxonomy</w:t>
      </w:r>
    </w:p>
    <w:p>
      <w:pPr>
        <w:numPr>
          <w:ilvl w:val="0"/>
          <w:numId w:val="1013"/>
        </w:numPr>
        <w:pStyle w:val="Compact"/>
      </w:pPr>
      <w:r>
        <w:t xml:space="preserve">9.6 Sequencing Rules</w:t>
      </w:r>
    </w:p>
    <w:p>
      <w:pPr>
        <w:numPr>
          <w:ilvl w:val="0"/>
          <w:numId w:val="1013"/>
        </w:numPr>
        <w:pStyle w:val="Compact"/>
      </w:pPr>
      <w:r>
        <w:t xml:space="preserve">9.7</w:t>
      </w:r>
      <w:r>
        <w:t xml:space="preserve"> </w:t>
      </w:r>
      <w:r>
        <w:t xml:space="preserve">“</w:t>
      </w:r>
      <w:r>
        <w:t xml:space="preserve">Do Not Migrate Yet</w:t>
      </w:r>
      <w:r>
        <w:t xml:space="preserve">”</w:t>
      </w:r>
      <w:r>
        <w:t xml:space="preserve"> </w:t>
      </w:r>
      <w:r>
        <w:t xml:space="preserve">Conditions</w:t>
      </w:r>
    </w:p>
    <w:p>
      <w:pPr>
        <w:numPr>
          <w:ilvl w:val="0"/>
          <w:numId w:val="1013"/>
        </w:numPr>
        <w:pStyle w:val="Compact"/>
      </w:pPr>
      <w:r>
        <w:t xml:space="preserve">9.8 Wave Sizing and Capacity</w:t>
      </w:r>
    </w:p>
    <w:p>
      <w:pPr>
        <w:numPr>
          <w:ilvl w:val="0"/>
          <w:numId w:val="1013"/>
        </w:numPr>
        <w:pStyle w:val="Compact"/>
      </w:pPr>
      <w:r>
        <w:t xml:space="preserve">9.9 Table 9.1 — TRADE Scoring Worksheet</w:t>
      </w:r>
    </w:p>
    <w:p>
      <w:pPr>
        <w:numPr>
          <w:ilvl w:val="0"/>
          <w:numId w:val="1013"/>
        </w:numPr>
        <w:pStyle w:val="Compact"/>
      </w:pPr>
      <w:r>
        <w:t xml:space="preserve">9.10 Table 9.2 — Wave Definition Template</w:t>
      </w:r>
    </w:p>
    <w:p>
      <w:pPr>
        <w:numPr>
          <w:ilvl w:val="0"/>
          <w:numId w:val="1013"/>
        </w:numPr>
        <w:pStyle w:val="Compact"/>
      </w:pPr>
      <w:r>
        <w:t xml:space="preserve">9.11 Apex Defense: Contract-Aligned Waves</w:t>
      </w:r>
    </w:p>
    <w:p>
      <w:pPr>
        <w:numPr>
          <w:ilvl w:val="0"/>
          <w:numId w:val="1013"/>
        </w:numPr>
        <w:pStyle w:val="Compact"/>
      </w:pPr>
      <w:r>
        <w:t xml:space="preserve">9.12 Meridian Mutual Bank: Wave Plan Summary</w:t>
      </w:r>
    </w:p>
    <w:p>
      <w:pPr>
        <w:numPr>
          <w:ilvl w:val="0"/>
          <w:numId w:val="1013"/>
        </w:numPr>
        <w:pStyle w:val="Compact"/>
      </w:pPr>
      <w:r>
        <w:t xml:space="preserve">9.13 GlobalSync Logistics: Partner-First Sequencing</w:t>
      </w:r>
    </w:p>
    <w:p>
      <w:pPr>
        <w:numPr>
          <w:ilvl w:val="0"/>
          <w:numId w:val="1013"/>
        </w:numPr>
        <w:pStyle w:val="Compact"/>
      </w:pPr>
      <w:r>
        <w:t xml:space="preserve">9.14 Northfield Energy Systems: OT and Threat Waves</w:t>
      </w:r>
    </w:p>
    <w:p>
      <w:pPr>
        <w:numPr>
          <w:ilvl w:val="0"/>
          <w:numId w:val="1013"/>
        </w:numPr>
        <w:pStyle w:val="Compact"/>
      </w:pPr>
      <w:r>
        <w:t xml:space="preserve">9.15 Board Approval Package</w:t>
      </w:r>
    </w:p>
    <w:p>
      <w:pPr>
        <w:numPr>
          <w:ilvl w:val="0"/>
          <w:numId w:val="1013"/>
        </w:numPr>
        <w:pStyle w:val="Compact"/>
      </w:pPr>
      <w:r>
        <w:t xml:space="preserve">9.16 Wave Reassessment</w:t>
      </w:r>
    </w:p>
    <w:p>
      <w:pPr>
        <w:numPr>
          <w:ilvl w:val="0"/>
          <w:numId w:val="1013"/>
        </w:numPr>
        <w:pStyle w:val="Compact"/>
      </w:pPr>
      <w:r>
        <w:t xml:space="preserve">9.17 TRADE and HLM Interaction</w:t>
      </w:r>
    </w:p>
    <w:p>
      <w:pPr>
        <w:numPr>
          <w:ilvl w:val="0"/>
          <w:numId w:val="1013"/>
        </w:numPr>
        <w:pStyle w:val="Compact"/>
      </w:pPr>
      <w:r>
        <w:t xml:space="preserve">9.18 Common Wave Planning Failure Modes</w:t>
      </w:r>
    </w:p>
    <w:p>
      <w:pPr>
        <w:numPr>
          <w:ilvl w:val="0"/>
          <w:numId w:val="1013"/>
        </w:numPr>
        <w:pStyle w:val="Compact"/>
      </w:pPr>
      <w:r>
        <w:t xml:space="preserve">9.19 Workshop: Building Wave 0</w:t>
      </w:r>
    </w:p>
    <w:p>
      <w:pPr>
        <w:numPr>
          <w:ilvl w:val="0"/>
          <w:numId w:val="1013"/>
        </w:numPr>
        <w:pStyle w:val="Compact"/>
      </w:pPr>
      <w:r>
        <w:t xml:space="preserve">9.20 Apply in Your Organisation</w:t>
      </w:r>
    </w:p>
    <w:p>
      <w:pPr>
        <w:numPr>
          <w:ilvl w:val="0"/>
          <w:numId w:val="1013"/>
        </w:numPr>
        <w:pStyle w:val="Compact"/>
      </w:pPr>
      <w:r>
        <w:t xml:space="preserve">9.21 Reconciling TRADE with Business Priority</w:t>
      </w:r>
    </w:p>
    <w:p>
      <w:pPr>
        <w:numPr>
          <w:ilvl w:val="0"/>
          <w:numId w:val="1013"/>
        </w:numPr>
        <w:pStyle w:val="Compact"/>
      </w:pPr>
      <w:r>
        <w:t xml:space="preserve">9.22 Sector Overlay Preview (Part VI)</w:t>
      </w:r>
    </w:p>
    <w:p>
      <w:pPr>
        <w:numPr>
          <w:ilvl w:val="0"/>
          <w:numId w:val="1013"/>
        </w:numPr>
        <w:pStyle w:val="Compact"/>
      </w:pPr>
      <w:r>
        <w:t xml:space="preserve">9.23 Five-Year Programme Phase Model Integration</w:t>
      </w:r>
    </w:p>
    <w:p>
      <w:pPr>
        <w:numPr>
          <w:ilvl w:val="0"/>
          <w:numId w:val="1013"/>
        </w:numPr>
        <w:pStyle w:val="Compact"/>
      </w:pPr>
      <w:r>
        <w:t xml:space="preserve">9.24 Procurement and Wave Funding Gates</w:t>
      </w:r>
    </w:p>
    <w:p>
      <w:pPr>
        <w:numPr>
          <w:ilvl w:val="0"/>
          <w:numId w:val="1013"/>
        </w:numPr>
        <w:pStyle w:val="Compact"/>
      </w:pPr>
      <w:r>
        <w:t xml:space="preserve">9.25 Wave Governance Cadence</w:t>
      </w:r>
    </w:p>
    <w:p>
      <w:pPr>
        <w:numPr>
          <w:ilvl w:val="0"/>
          <w:numId w:val="1013"/>
        </w:numPr>
        <w:pStyle w:val="Compact"/>
      </w:pPr>
      <w:r>
        <w:t xml:space="preserve">9.26 Executive MPI Dashboard</w:t>
      </w:r>
    </w:p>
    <w:p>
      <w:pPr>
        <w:numPr>
          <w:ilvl w:val="0"/>
          <w:numId w:val="1013"/>
        </w:numPr>
        <w:pStyle w:val="Compact"/>
      </w:pPr>
      <w:r>
        <w:t xml:space="preserve">9.27 Risk Acceptance Integration</w:t>
      </w:r>
    </w:p>
    <w:p>
      <w:pPr>
        <w:numPr>
          <w:ilvl w:val="0"/>
          <w:numId w:val="1013"/>
        </w:numPr>
        <w:pStyle w:val="Compact"/>
      </w:pPr>
      <w:r>
        <w:t xml:space="preserve">9.28 Communicating Waves to Engineering</w:t>
      </w:r>
    </w:p>
    <w:p>
      <w:pPr>
        <w:numPr>
          <w:ilvl w:val="0"/>
          <w:numId w:val="1013"/>
        </w:numPr>
        <w:pStyle w:val="Compact"/>
      </w:pPr>
      <w:r>
        <w:t xml:space="preserve">9.29 Auditor and Assessor Engagement</w:t>
      </w:r>
    </w:p>
    <w:p>
      <w:pPr>
        <w:numPr>
          <w:ilvl w:val="0"/>
          <w:numId w:val="1013"/>
        </w:numPr>
        <w:pStyle w:val="Compact"/>
      </w:pPr>
      <w:r>
        <w:t xml:space="preserve">9.30 Conducting a TRADE Scoring Workshop</w:t>
      </w:r>
    </w:p>
    <w:p>
      <w:pPr>
        <w:numPr>
          <w:ilvl w:val="0"/>
          <w:numId w:val="1013"/>
        </w:numPr>
        <w:pStyle w:val="Compact"/>
      </w:pPr>
      <w:r>
        <w:t xml:space="preserve">9.31 Wave Plan Document Structure</w:t>
      </w:r>
    </w:p>
    <w:p>
      <w:pPr>
        <w:numPr>
          <w:ilvl w:val="0"/>
          <w:numId w:val="1013"/>
        </w:numPr>
        <w:pStyle w:val="Compact"/>
      </w:pPr>
      <w:r>
        <w:t xml:space="preserve">9.32 Decommission vs Migrate Decision Tree</w:t>
      </w:r>
    </w:p>
    <w:p>
      <w:pPr>
        <w:numPr>
          <w:ilvl w:val="0"/>
          <w:numId w:val="1013"/>
        </w:numPr>
        <w:pStyle w:val="Compact"/>
      </w:pPr>
      <w:r>
        <w:t xml:space="preserve">9.33 Hybrid Quick Wins vs Structural Waves</w:t>
      </w:r>
    </w:p>
    <w:p>
      <w:pPr>
        <w:numPr>
          <w:ilvl w:val="0"/>
          <w:numId w:val="1013"/>
        </w:numPr>
        <w:pStyle w:val="Compact"/>
      </w:pPr>
      <w:r>
        <w:t xml:space="preserve">9.34 MPI Sensitivity Analysis</w:t>
      </w:r>
    </w:p>
    <w:p>
      <w:pPr>
        <w:numPr>
          <w:ilvl w:val="0"/>
          <w:numId w:val="1013"/>
        </w:numPr>
        <w:pStyle w:val="Compact"/>
      </w:pPr>
      <w:r>
        <w:t xml:space="preserve">9.35 Regulatory Dimension Deep Dive</w:t>
      </w:r>
    </w:p>
    <w:p>
      <w:pPr>
        <w:numPr>
          <w:ilvl w:val="0"/>
          <w:numId w:val="1013"/>
        </w:numPr>
        <w:pStyle w:val="Compact"/>
      </w:pPr>
      <w:r>
        <w:t xml:space="preserve">9.36 Architectural Dependency Deep Dive</w:t>
      </w:r>
    </w:p>
    <w:p>
      <w:pPr>
        <w:numPr>
          <w:ilvl w:val="0"/>
          <w:numId w:val="1013"/>
        </w:numPr>
        <w:pStyle w:val="Compact"/>
      </w:pPr>
      <w:r>
        <w:t xml:space="preserve">9.37 Ecosystem Readiness Deep Dive</w:t>
      </w:r>
    </w:p>
    <w:p>
      <w:pPr>
        <w:numPr>
          <w:ilvl w:val="0"/>
          <w:numId w:val="1013"/>
        </w:numPr>
        <w:pStyle w:val="Compact"/>
      </w:pPr>
      <w:r>
        <w:t xml:space="preserve">9.38 Wave Exit Criteria and Completion Gates</w:t>
      </w:r>
    </w:p>
    <w:p>
      <w:pPr>
        <w:numPr>
          <w:ilvl w:val="0"/>
          <w:numId w:val="1013"/>
        </w:numPr>
        <w:pStyle w:val="Compact"/>
      </w:pPr>
      <w:r>
        <w:t xml:space="preserve">9.39 Threat and Data Longevity Dimension Deep Dives</w:t>
      </w:r>
    </w:p>
    <w:p>
      <w:pPr>
        <w:numPr>
          <w:ilvl w:val="0"/>
          <w:numId w:val="1013"/>
        </w:numPr>
        <w:pStyle w:val="Compact"/>
      </w:pPr>
      <w:r>
        <w:t xml:space="preserve">9.40 Worked Example: Northfield VPN Concentrator Wave 0</w:t>
      </w:r>
    </w:p>
    <w:p>
      <w:pPr>
        <w:numPr>
          <w:ilvl w:val="0"/>
          <w:numId w:val="1013"/>
        </w:numPr>
        <w:pStyle w:val="Compact"/>
      </w:pPr>
      <w:r>
        <w:t xml:space="preserve">9.41 Worked Example: Apex NSS Deliverable Signing</w:t>
      </w:r>
    </w:p>
    <w:p>
      <w:pPr>
        <w:numPr>
          <w:ilvl w:val="0"/>
          <w:numId w:val="1013"/>
        </w:numPr>
        <w:pStyle w:val="Compact"/>
      </w:pPr>
      <w:r>
        <w:t xml:space="preserve">9.42 Board and Executive Narrative Templates</w:t>
      </w:r>
    </w:p>
    <w:p>
      <w:pPr>
        <w:numPr>
          <w:ilvl w:val="0"/>
          <w:numId w:val="1013"/>
        </w:numPr>
        <w:pStyle w:val="Compact"/>
      </w:pPr>
      <w:r>
        <w:t xml:space="preserve">9.43 Wave Capacity and Portfolio Management</w:t>
      </w:r>
    </w:p>
    <w:p>
      <w:pPr>
        <w:numPr>
          <w:ilvl w:val="0"/>
          <w:numId w:val="1013"/>
        </w:numPr>
        <w:pStyle w:val="Compact"/>
      </w:pPr>
      <w:r>
        <w:t xml:space="preserve">9.44 TRADE Score Decay and Re-Scoring Triggers</w:t>
      </w:r>
    </w:p>
    <w:p>
      <w:pPr>
        <w:numPr>
          <w:ilvl w:val="0"/>
          <w:numId w:val="1013"/>
        </w:numPr>
        <w:pStyle w:val="Compact"/>
      </w:pPr>
      <w:r>
        <w:t xml:space="preserve">9.45 Integrating Waves with HLM and CBOM Attributes</w:t>
      </w:r>
    </w:p>
    <w:p>
      <w:pPr>
        <w:numPr>
          <w:ilvl w:val="0"/>
          <w:numId w:val="1013"/>
        </w:numPr>
        <w:pStyle w:val="Compact"/>
      </w:pPr>
      <w:r>
        <w:t xml:space="preserve">9.46 GlobalSync Tenant Segmentation for TRADE</w:t>
      </w:r>
    </w:p>
    <w:p>
      <w:pPr>
        <w:numPr>
          <w:ilvl w:val="0"/>
          <w:numId w:val="1013"/>
        </w:numPr>
        <w:pStyle w:val="Compact"/>
      </w:pPr>
      <w:r>
        <w:t xml:space="preserve">9.47 Meridian Wave 2–4 Sketch</w:t>
      </w:r>
    </w:p>
    <w:p>
      <w:pPr>
        <w:numPr>
          <w:ilvl w:val="0"/>
          <w:numId w:val="1013"/>
        </w:numPr>
        <w:pStyle w:val="Compact"/>
      </w:pPr>
      <w:r>
        <w:t xml:space="preserve">9.48 Measuring Programme Success Beyond MPI</w:t>
      </w:r>
    </w:p>
    <w:p>
      <w:pPr>
        <w:numPr>
          <w:ilvl w:val="0"/>
          <w:numId w:val="1013"/>
        </w:numPr>
        <w:pStyle w:val="Compact"/>
      </w:pPr>
      <w:r>
        <w:t xml:space="preserve">9.49 What Wave Planning Deliberately Omits</w:t>
      </w:r>
    </w:p>
    <w:p>
      <w:pPr>
        <w:numPr>
          <w:ilvl w:val="0"/>
          <w:numId w:val="1013"/>
        </w:numPr>
        <w:pStyle w:val="Compact"/>
      </w:pPr>
      <w:r>
        <w:t xml:space="preserve">9.50 Part III Exit Checklist</w:t>
      </w:r>
    </w:p>
    <w:p>
      <w:pPr>
        <w:numPr>
          <w:ilvl w:val="0"/>
          <w:numId w:val="1013"/>
        </w:numPr>
        <w:pStyle w:val="Compact"/>
      </w:pPr>
      <w:r>
        <w:t xml:space="preserve">9.51 Escalation Paths When Waves Stall</w:t>
      </w:r>
    </w:p>
    <w:p>
      <w:pPr>
        <w:numPr>
          <w:ilvl w:val="0"/>
          <w:numId w:val="1013"/>
        </w:numPr>
        <w:pStyle w:val="Compact"/>
      </w:pPr>
      <w:r>
        <w:t xml:space="preserve">9.52 Wave Plan Anti-Patterns Catalogue</w:t>
      </w:r>
    </w:p>
    <w:p>
      <w:pPr>
        <w:numPr>
          <w:ilvl w:val="0"/>
          <w:numId w:val="1013"/>
        </w:numPr>
        <w:pStyle w:val="Compact"/>
      </w:pPr>
      <w:r>
        <w:t xml:space="preserve">9.53 Figure Production Brief — Migration Wave Gantt</w:t>
      </w:r>
    </w:p>
    <w:p>
      <w:pPr>
        <w:numPr>
          <w:ilvl w:val="0"/>
          <w:numId w:val="1013"/>
        </w:numPr>
        <w:pStyle w:val="Compact"/>
      </w:pPr>
      <w:r>
        <w:t xml:space="preserve">9.54 Cross-Functional Wave Ownership</w:t>
      </w:r>
    </w:p>
    <w:p>
      <w:pPr>
        <w:numPr>
          <w:ilvl w:val="0"/>
          <w:numId w:val="1013"/>
        </w:numPr>
        <w:pStyle w:val="Compact"/>
      </w:pPr>
      <w:r>
        <w:t xml:space="preserve">9.55 Chapter Summary</w:t>
      </w:r>
    </w:p>
    <w:bookmarkEnd w:id="34"/>
    <w:bookmarkEnd w:id="35"/>
    <w:bookmarkStart w:id="42" w:name="part-iv-architecting-for-transition"/>
    <w:p>
      <w:pPr>
        <w:pStyle w:val="Heading2"/>
      </w:pPr>
      <w:r>
        <w:t xml:space="preserve">Part IV — Architecting for Transition</w:t>
      </w:r>
    </w:p>
    <w:p>
      <w:pPr>
        <w:pStyle w:val="FirstParagraph"/>
      </w:pPr>
      <w:r>
        <w:rPr>
          <w:iCs/>
          <w:i/>
        </w:rPr>
        <w:t xml:space="preserve">ARCS: Capability</w:t>
      </w:r>
    </w:p>
    <w:bookmarkStart w:id="36" w:name="introduction-3"/>
    <w:p>
      <w:pPr>
        <w:pStyle w:val="Heading3"/>
      </w:pPr>
      <w:r>
        <w:t xml:space="preserve">Introduction</w:t>
      </w:r>
    </w:p>
    <w:p>
      <w:pPr>
        <w:numPr>
          <w:ilvl w:val="0"/>
          <w:numId w:val="1014"/>
        </w:numPr>
        <w:pStyle w:val="Compact"/>
      </w:pPr>
      <w:r>
        <w:t xml:space="preserve">Introduction</w:t>
      </w:r>
    </w:p>
    <w:p>
      <w:pPr>
        <w:numPr>
          <w:ilvl w:val="0"/>
          <w:numId w:val="1014"/>
        </w:numPr>
        <w:pStyle w:val="Compact"/>
      </w:pPr>
      <w:r>
        <w:t xml:space="preserve">What Part IV Delivers</w:t>
      </w:r>
    </w:p>
    <w:p>
      <w:pPr>
        <w:numPr>
          <w:ilvl w:val="0"/>
          <w:numId w:val="1014"/>
        </w:numPr>
        <w:pStyle w:val="Compact"/>
      </w:pPr>
      <w:r>
        <w:t xml:space="preserve">ARCS and PQ-ADAPT Positioning</w:t>
      </w:r>
    </w:p>
    <w:p>
      <w:pPr>
        <w:numPr>
          <w:ilvl w:val="0"/>
          <w:numId w:val="1014"/>
        </w:numPr>
        <w:pStyle w:val="Compact"/>
      </w:pPr>
      <w:r>
        <w:t xml:space="preserve">Part IV Exit Artefacts</w:t>
      </w:r>
    </w:p>
    <w:p>
      <w:pPr>
        <w:numPr>
          <w:ilvl w:val="0"/>
          <w:numId w:val="1014"/>
        </w:numPr>
        <w:pStyle w:val="Compact"/>
      </w:pPr>
      <w:r>
        <w:t xml:space="preserve">Prerequisites</w:t>
      </w:r>
    </w:p>
    <w:p>
      <w:pPr>
        <w:numPr>
          <w:ilvl w:val="0"/>
          <w:numId w:val="1014"/>
        </w:numPr>
        <w:pStyle w:val="Compact"/>
      </w:pPr>
      <w:r>
        <w:t xml:space="preserve">Who Should Read Part IV</w:t>
      </w:r>
    </w:p>
    <w:p>
      <w:pPr>
        <w:numPr>
          <w:ilvl w:val="0"/>
          <w:numId w:val="1014"/>
        </w:numPr>
        <w:pStyle w:val="Compact"/>
      </w:pPr>
      <w:r>
        <w:t xml:space="preserve">The Teaching Organisations in Part IV</w:t>
      </w:r>
    </w:p>
    <w:p>
      <w:pPr>
        <w:numPr>
          <w:ilvl w:val="0"/>
          <w:numId w:val="1014"/>
        </w:numPr>
        <w:pStyle w:val="Compact"/>
      </w:pPr>
      <w:r>
        <w:t xml:space="preserve">What Part IV Is and Is Not</w:t>
      </w:r>
    </w:p>
    <w:p>
      <w:pPr>
        <w:numPr>
          <w:ilvl w:val="0"/>
          <w:numId w:val="1014"/>
        </w:numPr>
        <w:pStyle w:val="Compact"/>
      </w:pPr>
      <w:r>
        <w:t xml:space="preserve">How Part IV Connects to the Book Arc</w:t>
      </w:r>
    </w:p>
    <w:p>
      <w:pPr>
        <w:numPr>
          <w:ilvl w:val="0"/>
          <w:numId w:val="1014"/>
        </w:numPr>
        <w:pStyle w:val="Compact"/>
      </w:pPr>
      <w:r>
        <w:t xml:space="preserve">Suggested Reading Sequences</w:t>
      </w:r>
    </w:p>
    <w:p>
      <w:pPr>
        <w:numPr>
          <w:ilvl w:val="0"/>
          <w:numId w:val="1014"/>
        </w:numPr>
        <w:pStyle w:val="Compact"/>
      </w:pPr>
      <w:r>
        <w:t xml:space="preserve">Conventions</w:t>
      </w:r>
    </w:p>
    <w:bookmarkEnd w:id="36"/>
    <w:bookmarkStart w:id="37" w:name="Xad36fcb32632b31fdec97f425cbc9ea7f88d57a"/>
    <w:p>
      <w:pPr>
        <w:pStyle w:val="Heading3"/>
      </w:pPr>
      <w:r>
        <w:t xml:space="preserve">Chapter 10 — Cryptographic Agility as Architecture</w:t>
      </w:r>
    </w:p>
    <w:p>
      <w:pPr>
        <w:numPr>
          <w:ilvl w:val="0"/>
          <w:numId w:val="1015"/>
        </w:numPr>
        <w:pStyle w:val="Compact"/>
      </w:pPr>
      <w:r>
        <w:t xml:space="preserve">10.1 ARCS Decide Phase and PQ-ADAPT Level 3</w:t>
      </w:r>
    </w:p>
    <w:p>
      <w:pPr>
        <w:numPr>
          <w:ilvl w:val="0"/>
          <w:numId w:val="1015"/>
        </w:numPr>
        <w:pStyle w:val="Compact"/>
      </w:pPr>
      <w:r>
        <w:t xml:space="preserve">10.2 What Cryptographic Agility Is — and Is Not</w:t>
      </w:r>
    </w:p>
    <w:p>
      <w:pPr>
        <w:numPr>
          <w:ilvl w:val="0"/>
          <w:numId w:val="1015"/>
        </w:numPr>
        <w:pStyle w:val="Compact"/>
      </w:pPr>
      <w:r>
        <w:t xml:space="preserve">10.3 The Core Principle: Policy Separated from Implementation</w:t>
      </w:r>
    </w:p>
    <w:p>
      <w:pPr>
        <w:numPr>
          <w:ilvl w:val="0"/>
          <w:numId w:val="1015"/>
        </w:numPr>
        <w:pStyle w:val="Compact"/>
      </w:pPr>
      <w:r>
        <w:t xml:space="preserve">10.4 The Cryptographic Agility Maturity Model</w:t>
      </w:r>
    </w:p>
    <w:p>
      <w:pPr>
        <w:numPr>
          <w:ilvl w:val="0"/>
          <w:numId w:val="1015"/>
        </w:numPr>
        <w:pStyle w:val="Compact"/>
      </w:pPr>
      <w:r>
        <w:t xml:space="preserve">10.5 Crypto-Agility Non-Functional Requirements</w:t>
      </w:r>
    </w:p>
    <w:p>
      <w:pPr>
        <w:numPr>
          <w:ilvl w:val="0"/>
          <w:numId w:val="1015"/>
        </w:numPr>
        <w:pStyle w:val="Compact"/>
      </w:pPr>
      <w:r>
        <w:t xml:space="preserve">10.6 NFR Variants by System Class</w:t>
      </w:r>
    </w:p>
    <w:p>
      <w:pPr>
        <w:numPr>
          <w:ilvl w:val="0"/>
          <w:numId w:val="1015"/>
        </w:numPr>
        <w:pStyle w:val="Compact"/>
      </w:pPr>
      <w:r>
        <w:t xml:space="preserve">10.7 GlobalSync: Platform Engineering Agility Standards</w:t>
      </w:r>
    </w:p>
    <w:p>
      <w:pPr>
        <w:numPr>
          <w:ilvl w:val="0"/>
          <w:numId w:val="1015"/>
        </w:numPr>
        <w:pStyle w:val="Compact"/>
      </w:pPr>
      <w:r>
        <w:t xml:space="preserve">10.8 Provider Abstraction</w:t>
      </w:r>
    </w:p>
    <w:p>
      <w:pPr>
        <w:numPr>
          <w:ilvl w:val="0"/>
          <w:numId w:val="1015"/>
        </w:numPr>
        <w:pStyle w:val="Compact"/>
      </w:pPr>
      <w:r>
        <w:t xml:space="preserve">10.9 Config-Driven Algorithm Selection</w:t>
      </w:r>
    </w:p>
    <w:p>
      <w:pPr>
        <w:numPr>
          <w:ilvl w:val="0"/>
          <w:numId w:val="1015"/>
        </w:numPr>
        <w:pStyle w:val="Compact"/>
      </w:pPr>
      <w:r>
        <w:t xml:space="preserve">10.10 Algorithm Negotiation</w:t>
      </w:r>
    </w:p>
    <w:p>
      <w:pPr>
        <w:numPr>
          <w:ilvl w:val="0"/>
          <w:numId w:val="1015"/>
        </w:numPr>
        <w:pStyle w:val="Compact"/>
      </w:pPr>
      <w:r>
        <w:t xml:space="preserve">10.11 Meridian: SDLC Gates for Agility</w:t>
      </w:r>
    </w:p>
    <w:p>
      <w:pPr>
        <w:numPr>
          <w:ilvl w:val="0"/>
          <w:numId w:val="1015"/>
        </w:numPr>
        <w:pStyle w:val="Compact"/>
      </w:pPr>
      <w:r>
        <w:t xml:space="preserve">10.12 Apex: NSS Agility Constraints</w:t>
      </w:r>
    </w:p>
    <w:p>
      <w:pPr>
        <w:numPr>
          <w:ilvl w:val="0"/>
          <w:numId w:val="1015"/>
        </w:numPr>
        <w:pStyle w:val="Compact"/>
      </w:pPr>
      <w:r>
        <w:t xml:space="preserve">10.13 Northfield: OT Agility Limitations</w:t>
      </w:r>
    </w:p>
    <w:p>
      <w:pPr>
        <w:numPr>
          <w:ilvl w:val="0"/>
          <w:numId w:val="1015"/>
        </w:numPr>
        <w:pStyle w:val="Compact"/>
      </w:pPr>
      <w:r>
        <w:t xml:space="preserve">10.14 The Enterprise Crypto Agility Test Harness</w:t>
      </w:r>
    </w:p>
    <w:p>
      <w:pPr>
        <w:numPr>
          <w:ilvl w:val="0"/>
          <w:numId w:val="1015"/>
        </w:numPr>
        <w:pStyle w:val="Compact"/>
      </w:pPr>
      <w:r>
        <w:t xml:space="preserve">10.15 CBOM Integration for Agility</w:t>
      </w:r>
    </w:p>
    <w:p>
      <w:pPr>
        <w:numPr>
          <w:ilvl w:val="0"/>
          <w:numId w:val="1015"/>
        </w:numPr>
        <w:pStyle w:val="Compact"/>
      </w:pPr>
      <w:r>
        <w:t xml:space="preserve">10.16 HLM and Agility Co-Design</w:t>
      </w:r>
    </w:p>
    <w:p>
      <w:pPr>
        <w:numPr>
          <w:ilvl w:val="0"/>
          <w:numId w:val="1015"/>
        </w:numPr>
        <w:pStyle w:val="Compact"/>
      </w:pPr>
      <w:r>
        <w:t xml:space="preserve">10.17 DORA, Operational Resilience, and Agility Evidence</w:t>
      </w:r>
    </w:p>
    <w:p>
      <w:pPr>
        <w:numPr>
          <w:ilvl w:val="0"/>
          <w:numId w:val="1015"/>
        </w:numPr>
        <w:pStyle w:val="Compact"/>
      </w:pPr>
      <w:r>
        <w:t xml:space="preserve">10.18 PQC Governance Stack — Architecture Layer</w:t>
      </w:r>
    </w:p>
    <w:p>
      <w:pPr>
        <w:numPr>
          <w:ilvl w:val="0"/>
          <w:numId w:val="1015"/>
        </w:numPr>
        <w:pStyle w:val="Compact"/>
      </w:pPr>
      <w:r>
        <w:t xml:space="preserve">10.18.1 Zero Trust and agility co-programming</w:t>
      </w:r>
    </w:p>
    <w:p>
      <w:pPr>
        <w:numPr>
          <w:ilvl w:val="0"/>
          <w:numId w:val="1015"/>
        </w:numPr>
        <w:pStyle w:val="Compact"/>
      </w:pPr>
      <w:r>
        <w:t xml:space="preserve">10.19 Anti-Patterns Catalogue</w:t>
      </w:r>
    </w:p>
    <w:p>
      <w:pPr>
        <w:numPr>
          <w:ilvl w:val="0"/>
          <w:numId w:val="1015"/>
        </w:numPr>
        <w:pStyle w:val="Compact"/>
      </w:pPr>
      <w:r>
        <w:t xml:space="preserve">10.20 Retrofit Patterns for Existing Systems</w:t>
      </w:r>
    </w:p>
    <w:p>
      <w:pPr>
        <w:numPr>
          <w:ilvl w:val="0"/>
          <w:numId w:val="1015"/>
        </w:numPr>
        <w:pStyle w:val="Compact"/>
      </w:pPr>
      <w:r>
        <w:t xml:space="preserve">10.21 Cross-References and Prerequisites</w:t>
      </w:r>
    </w:p>
    <w:p>
      <w:pPr>
        <w:numPr>
          <w:ilvl w:val="0"/>
          <w:numId w:val="1015"/>
        </w:numPr>
        <w:pStyle w:val="Compact"/>
      </w:pPr>
      <w:r>
        <w:t xml:space="preserve">10.22 Platform Engineering Operating Model</w:t>
      </w:r>
    </w:p>
    <w:p>
      <w:pPr>
        <w:numPr>
          <w:ilvl w:val="0"/>
          <w:numId w:val="1015"/>
        </w:numPr>
        <w:pStyle w:val="Compact"/>
      </w:pPr>
      <w:r>
        <w:t xml:space="preserve">10.23 Agility Metrics for Steering Committee</w:t>
      </w:r>
    </w:p>
    <w:p>
      <w:pPr>
        <w:numPr>
          <w:ilvl w:val="0"/>
          <w:numId w:val="1015"/>
        </w:numPr>
        <w:pStyle w:val="Compact"/>
      </w:pPr>
      <w:r>
        <w:t xml:space="preserve">10.24 Editorial Consistency with Programme Artefacts</w:t>
      </w:r>
    </w:p>
    <w:p>
      <w:pPr>
        <w:numPr>
          <w:ilvl w:val="0"/>
          <w:numId w:val="1015"/>
        </w:numPr>
        <w:pStyle w:val="Compact"/>
      </w:pPr>
      <w:r>
        <w:t xml:space="preserve">10.25 Figure Production Brief — Agility Layer Model</w:t>
      </w:r>
    </w:p>
    <w:p>
      <w:pPr>
        <w:numPr>
          <w:ilvl w:val="0"/>
          <w:numId w:val="1015"/>
        </w:numPr>
        <w:pStyle w:val="Compact"/>
      </w:pPr>
      <w:r>
        <w:t xml:space="preserve">10.26 PQ-ADAPT Level 3 Exit Checklist</w:t>
      </w:r>
    </w:p>
    <w:p>
      <w:pPr>
        <w:numPr>
          <w:ilvl w:val="0"/>
          <w:numId w:val="1015"/>
        </w:numPr>
        <w:pStyle w:val="Compact"/>
      </w:pPr>
      <w:r>
        <w:t xml:space="preserve">10.27 Apply in Your Organisation</w:t>
      </w:r>
    </w:p>
    <w:p>
      <w:pPr>
        <w:numPr>
          <w:ilvl w:val="0"/>
          <w:numId w:val="1015"/>
        </w:numPr>
        <w:pStyle w:val="Compact"/>
      </w:pPr>
      <w:r>
        <w:t xml:space="preserve">10.28 Chapter Summary</w:t>
      </w:r>
    </w:p>
    <w:bookmarkEnd w:id="37"/>
    <w:bookmarkStart w:id="38" w:name="chapter-11-hybrid-deployment-patterns"/>
    <w:p>
      <w:pPr>
        <w:pStyle w:val="Heading3"/>
      </w:pPr>
      <w:r>
        <w:t xml:space="preserve">Chapter 11 — Hybrid Deployment Patterns</w:t>
      </w:r>
    </w:p>
    <w:p>
      <w:pPr>
        <w:numPr>
          <w:ilvl w:val="0"/>
          <w:numId w:val="1016"/>
        </w:numPr>
        <w:pStyle w:val="Compact"/>
      </w:pPr>
      <w:r>
        <w:t xml:space="preserve">11.1 The Hybrid Lifecycle Model: Full Deployment Specification</w:t>
      </w:r>
    </w:p>
    <w:p>
      <w:pPr>
        <w:numPr>
          <w:ilvl w:val="0"/>
          <w:numId w:val="1016"/>
        </w:numPr>
        <w:pStyle w:val="Compact"/>
      </w:pPr>
      <w:r>
        <w:t xml:space="preserve">11.2 Pattern Selection: When Hybrid Is Mandatory, Optional, or Prohibited</w:t>
      </w:r>
    </w:p>
    <w:p>
      <w:pPr>
        <w:numPr>
          <w:ilvl w:val="0"/>
          <w:numId w:val="1016"/>
        </w:numPr>
        <w:pStyle w:val="Compact"/>
      </w:pPr>
      <w:r>
        <w:t xml:space="preserve">11.3 Hybrid TLS: X25519 + ML-KEM-768</w:t>
      </w:r>
    </w:p>
    <w:p>
      <w:pPr>
        <w:numPr>
          <w:ilvl w:val="0"/>
          <w:numId w:val="1016"/>
        </w:numPr>
        <w:pStyle w:val="Compact"/>
      </w:pPr>
      <w:r>
        <w:t xml:space="preserve">11.4 Combiner Security and Construction Requirements</w:t>
      </w:r>
    </w:p>
    <w:p>
      <w:pPr>
        <w:numPr>
          <w:ilvl w:val="0"/>
          <w:numId w:val="1016"/>
        </w:numPr>
        <w:pStyle w:val="Compact"/>
      </w:pPr>
      <w:r>
        <w:t xml:space="preserve">11.5 Performance, Bandwidth, and Handshake Size</w:t>
      </w:r>
    </w:p>
    <w:p>
      <w:pPr>
        <w:numPr>
          <w:ilvl w:val="0"/>
          <w:numId w:val="1016"/>
        </w:numPr>
        <w:pStyle w:val="Compact"/>
      </w:pPr>
      <w:r>
        <w:t xml:space="preserve">11.6 VPN Hybrid IKE</w:t>
      </w:r>
    </w:p>
    <w:p>
      <w:pPr>
        <w:numPr>
          <w:ilvl w:val="0"/>
          <w:numId w:val="1016"/>
        </w:numPr>
        <w:pStyle w:val="Compact"/>
      </w:pPr>
      <w:r>
        <w:t xml:space="preserve">11.7 Dual Code Signing and Firmware Hybrids</w:t>
      </w:r>
    </w:p>
    <w:p>
      <w:pPr>
        <w:numPr>
          <w:ilvl w:val="0"/>
          <w:numId w:val="1016"/>
        </w:numPr>
        <w:pStyle w:val="Compact"/>
      </w:pPr>
      <w:r>
        <w:t xml:space="preserve">11.8 Application-Layer Hybrids</w:t>
      </w:r>
    </w:p>
    <w:p>
      <w:pPr>
        <w:numPr>
          <w:ilvl w:val="0"/>
          <w:numId w:val="1016"/>
        </w:numPr>
        <w:pStyle w:val="Compact"/>
      </w:pPr>
      <w:r>
        <w:t xml:space="preserve">11.9 Hybrid Pattern Catalog</w:t>
      </w:r>
    </w:p>
    <w:p>
      <w:pPr>
        <w:numPr>
          <w:ilvl w:val="0"/>
          <w:numId w:val="1016"/>
        </w:numPr>
        <w:pStyle w:val="Compact"/>
      </w:pPr>
      <w:r>
        <w:t xml:space="preserve">11.10 CBOM Attributes and HLM Tracking</w:t>
      </w:r>
    </w:p>
    <w:p>
      <w:pPr>
        <w:numPr>
          <w:ilvl w:val="0"/>
          <w:numId w:val="1016"/>
        </w:numPr>
        <w:pStyle w:val="Compact"/>
      </w:pPr>
      <w:r>
        <w:t xml:space="preserve">11.11 CDG Blocking, Waves, and Hybrid Sequencing</w:t>
      </w:r>
    </w:p>
    <w:p>
      <w:pPr>
        <w:numPr>
          <w:ilvl w:val="0"/>
          <w:numId w:val="1016"/>
        </w:numPr>
        <w:pStyle w:val="Compact"/>
      </w:pPr>
      <w:r>
        <w:t xml:space="preserve">11.12 Case Study: Meridian Hybrid TLS Pilot</w:t>
      </w:r>
    </w:p>
    <w:p>
      <w:pPr>
        <w:numPr>
          <w:ilvl w:val="0"/>
          <w:numId w:val="1016"/>
        </w:numPr>
        <w:pStyle w:val="Compact"/>
      </w:pPr>
      <w:r>
        <w:t xml:space="preserve">11.13 GlobalSync: Tiered Endpoints and Tenant Cohorts</w:t>
      </w:r>
    </w:p>
    <w:p>
      <w:pPr>
        <w:numPr>
          <w:ilvl w:val="0"/>
          <w:numId w:val="1016"/>
        </w:numPr>
        <w:pStyle w:val="Compact"/>
      </w:pPr>
      <w:r>
        <w:t xml:space="preserve">11.14 HLM and Hybrid Failure Modes</w:t>
      </w:r>
    </w:p>
    <w:p>
      <w:pPr>
        <w:numPr>
          <w:ilvl w:val="0"/>
          <w:numId w:val="1016"/>
        </w:numPr>
        <w:pStyle w:val="Compact"/>
      </w:pPr>
      <w:r>
        <w:t xml:space="preserve">11.15 Validation and Interoperability Testing</w:t>
      </w:r>
    </w:p>
    <w:p>
      <w:pPr>
        <w:numPr>
          <w:ilvl w:val="0"/>
          <w:numId w:val="1016"/>
        </w:numPr>
        <w:pStyle w:val="Compact"/>
      </w:pPr>
      <w:r>
        <w:t xml:space="preserve">11.16 Governance Integration</w:t>
      </w:r>
    </w:p>
    <w:p>
      <w:pPr>
        <w:numPr>
          <w:ilvl w:val="0"/>
          <w:numId w:val="1016"/>
        </w:numPr>
        <w:pStyle w:val="Compact"/>
      </w:pPr>
      <w:r>
        <w:t xml:space="preserve">11.17 Cross-Reference Map</w:t>
      </w:r>
    </w:p>
    <w:p>
      <w:pPr>
        <w:numPr>
          <w:ilvl w:val="0"/>
          <w:numId w:val="1016"/>
        </w:numPr>
        <w:pStyle w:val="Compact"/>
      </w:pPr>
      <w:r>
        <w:t xml:space="preserve">11.18 Apply in Your Organisation</w:t>
      </w:r>
    </w:p>
    <w:p>
      <w:pPr>
        <w:numPr>
          <w:ilvl w:val="0"/>
          <w:numId w:val="1016"/>
        </w:numPr>
        <w:pStyle w:val="Compact"/>
      </w:pPr>
      <w:r>
        <w:t xml:space="preserve">11.19 Chapter Summary</w:t>
      </w:r>
    </w:p>
    <w:bookmarkEnd w:id="38"/>
    <w:bookmarkStart w:id="39" w:name="X635d29d6f6dd5e11951a58c84f6a0447dd72c83"/>
    <w:p>
      <w:pPr>
        <w:pStyle w:val="Heading3"/>
      </w:pPr>
      <w:r>
        <w:t xml:space="preserve">Chapter 12 — Protocol Transition — TLS, IPsec, SSH, and Messaging</w:t>
      </w:r>
    </w:p>
    <w:p>
      <w:pPr>
        <w:numPr>
          <w:ilvl w:val="0"/>
          <w:numId w:val="1017"/>
        </w:numPr>
        <w:pStyle w:val="Compact"/>
      </w:pPr>
      <w:r>
        <w:t xml:space="preserve">12.1 Protocol Transition as Ecosystem Synchronisation</w:t>
      </w:r>
    </w:p>
    <w:p>
      <w:pPr>
        <w:numPr>
          <w:ilvl w:val="0"/>
          <w:numId w:val="1017"/>
        </w:numPr>
        <w:pStyle w:val="Compact"/>
      </w:pPr>
      <w:r>
        <w:t xml:space="preserve">12.2 A Unified Protocol Transition Methodology</w:t>
      </w:r>
    </w:p>
    <w:p>
      <w:pPr>
        <w:numPr>
          <w:ilvl w:val="0"/>
          <w:numId w:val="1017"/>
        </w:numPr>
        <w:pStyle w:val="Compact"/>
      </w:pPr>
      <w:r>
        <w:t xml:space="preserve">12.3 TLS 1.3 Migration</w:t>
      </w:r>
    </w:p>
    <w:p>
      <w:pPr>
        <w:numPr>
          <w:ilvl w:val="0"/>
          <w:numId w:val="1017"/>
        </w:numPr>
        <w:pStyle w:val="Compact"/>
      </w:pPr>
      <w:r>
        <w:t xml:space="preserve">12.4 Client Compatibility and Cohort Analysis</w:t>
      </w:r>
    </w:p>
    <w:p>
      <w:pPr>
        <w:numPr>
          <w:ilvl w:val="0"/>
          <w:numId w:val="1017"/>
        </w:numPr>
        <w:pStyle w:val="Compact"/>
      </w:pPr>
      <w:r>
        <w:t xml:space="preserve">12.5 Middlebox Interference and Infrastructure Buffers</w:t>
      </w:r>
    </w:p>
    <w:p>
      <w:pPr>
        <w:numPr>
          <w:ilvl w:val="0"/>
          <w:numId w:val="1017"/>
        </w:numPr>
        <w:pStyle w:val="Compact"/>
      </w:pPr>
      <w:r>
        <w:t xml:space="preserve">12.6 OpenSSL and Library Readiness</w:t>
      </w:r>
    </w:p>
    <w:p>
      <w:pPr>
        <w:numPr>
          <w:ilvl w:val="0"/>
          <w:numId w:val="1017"/>
        </w:numPr>
        <w:pStyle w:val="Compact"/>
      </w:pPr>
      <w:r>
        <w:t xml:space="preserve">12.7 IPsec and IKEv2 Hybrid Transition</w:t>
      </w:r>
    </w:p>
    <w:p>
      <w:pPr>
        <w:numPr>
          <w:ilvl w:val="0"/>
          <w:numId w:val="1017"/>
        </w:numPr>
        <w:pStyle w:val="Compact"/>
      </w:pPr>
      <w:r>
        <w:t xml:space="preserve">12.8 SSH Host Keys and Certificates</w:t>
      </w:r>
    </w:p>
    <w:p>
      <w:pPr>
        <w:numPr>
          <w:ilvl w:val="0"/>
          <w:numId w:val="1017"/>
        </w:numPr>
        <w:pStyle w:val="Compact"/>
      </w:pPr>
      <w:r>
        <w:t xml:space="preserve">12.9 Messaging Protocols: Kafka, AMQP, and Event Backbones</w:t>
      </w:r>
    </w:p>
    <w:p>
      <w:pPr>
        <w:numPr>
          <w:ilvl w:val="0"/>
          <w:numId w:val="1017"/>
        </w:numPr>
        <w:pStyle w:val="Compact"/>
      </w:pPr>
      <w:r>
        <w:t xml:space="preserve">12.10 API Mutual TLS: Recap and Integration</w:t>
      </w:r>
    </w:p>
    <w:p>
      <w:pPr>
        <w:numPr>
          <w:ilvl w:val="0"/>
          <w:numId w:val="1017"/>
        </w:numPr>
        <w:pStyle w:val="Compact"/>
      </w:pPr>
      <w:r>
        <w:t xml:space="preserve">12.11 Email: S/MIME and PKI Implications</w:t>
      </w:r>
    </w:p>
    <w:p>
      <w:pPr>
        <w:numPr>
          <w:ilvl w:val="0"/>
          <w:numId w:val="1017"/>
        </w:numPr>
        <w:pStyle w:val="Compact"/>
      </w:pPr>
      <w:r>
        <w:t xml:space="preserve">12.12 Apex Defense: NSS Protocol Requirements</w:t>
      </w:r>
    </w:p>
    <w:p>
      <w:pPr>
        <w:numPr>
          <w:ilvl w:val="0"/>
          <w:numId w:val="1017"/>
        </w:numPr>
        <w:pStyle w:val="Compact"/>
      </w:pPr>
      <w:r>
        <w:t xml:space="preserve">12.13 Partner Synchronisation: The Slowest Critical Partner Sets Pace</w:t>
      </w:r>
    </w:p>
    <w:p>
      <w:pPr>
        <w:numPr>
          <w:ilvl w:val="0"/>
          <w:numId w:val="1017"/>
        </w:numPr>
        <w:pStyle w:val="Compact"/>
      </w:pPr>
      <w:r>
        <w:t xml:space="preserve">12.14 Protocol × Algorithm × Readiness Matrix</w:t>
      </w:r>
    </w:p>
    <w:p>
      <w:pPr>
        <w:numPr>
          <w:ilvl w:val="0"/>
          <w:numId w:val="1017"/>
        </w:numPr>
        <w:pStyle w:val="Compact"/>
      </w:pPr>
      <w:r>
        <w:t xml:space="preserve">12.15 Protocol Readiness Radar</w:t>
      </w:r>
    </w:p>
    <w:p>
      <w:pPr>
        <w:numPr>
          <w:ilvl w:val="0"/>
          <w:numId w:val="1017"/>
        </w:numPr>
        <w:pStyle w:val="Compact"/>
      </w:pPr>
      <w:r>
        <w:t xml:space="preserve">12.16 Phased Protocol Rollout</w:t>
      </w:r>
    </w:p>
    <w:p>
      <w:pPr>
        <w:numPr>
          <w:ilvl w:val="0"/>
          <w:numId w:val="1017"/>
        </w:numPr>
        <w:pStyle w:val="Compact"/>
      </w:pPr>
      <w:r>
        <w:t xml:space="preserve">12.17 Observability and CBOM Integration</w:t>
      </w:r>
    </w:p>
    <w:p>
      <w:pPr>
        <w:numPr>
          <w:ilvl w:val="0"/>
          <w:numId w:val="1017"/>
        </w:numPr>
        <w:pStyle w:val="Compact"/>
      </w:pPr>
      <w:r>
        <w:t xml:space="preserve">12.18 Testing Protocol Transitions</w:t>
      </w:r>
    </w:p>
    <w:p>
      <w:pPr>
        <w:numPr>
          <w:ilvl w:val="0"/>
          <w:numId w:val="1017"/>
        </w:numPr>
        <w:pStyle w:val="Compact"/>
      </w:pPr>
      <w:r>
        <w:t xml:space="preserve">12.19 Failure Modes and Recovery</w:t>
      </w:r>
    </w:p>
    <w:p>
      <w:pPr>
        <w:numPr>
          <w:ilvl w:val="0"/>
          <w:numId w:val="1017"/>
        </w:numPr>
        <w:pStyle w:val="Compact"/>
      </w:pPr>
      <w:r>
        <w:t xml:space="preserve">12.20 Cross-Reference Map</w:t>
      </w:r>
    </w:p>
    <w:p>
      <w:pPr>
        <w:numPr>
          <w:ilvl w:val="0"/>
          <w:numId w:val="1017"/>
        </w:numPr>
        <w:pStyle w:val="Compact"/>
      </w:pPr>
      <w:r>
        <w:t xml:space="preserve">12.21 Apply in Your Organisation</w:t>
      </w:r>
    </w:p>
    <w:p>
      <w:pPr>
        <w:numPr>
          <w:ilvl w:val="0"/>
          <w:numId w:val="1017"/>
        </w:numPr>
        <w:pStyle w:val="Compact"/>
      </w:pPr>
      <w:r>
        <w:t xml:space="preserve">12.22 Chapter Summary</w:t>
      </w:r>
    </w:p>
    <w:bookmarkEnd w:id="39"/>
    <w:bookmarkStart w:id="40" w:name="X7d1bd0e0b1f99ea905fcf0cc9d3b0ab2752defa"/>
    <w:p>
      <w:pPr>
        <w:pStyle w:val="Heading3"/>
      </w:pPr>
      <w:r>
        <w:t xml:space="preserve">Chapter 13 — PKI Evolution and Certificate Lifecycle</w:t>
      </w:r>
    </w:p>
    <w:p>
      <w:pPr>
        <w:numPr>
          <w:ilvl w:val="0"/>
          <w:numId w:val="1018"/>
        </w:numPr>
        <w:pStyle w:val="Compact"/>
      </w:pPr>
      <w:r>
        <w:t xml:space="preserve">13.1 PKI as the Dominant Wave 0 Blocking Domain</w:t>
      </w:r>
    </w:p>
    <w:p>
      <w:pPr>
        <w:numPr>
          <w:ilvl w:val="0"/>
          <w:numId w:val="1018"/>
        </w:numPr>
        <w:pStyle w:val="Compact"/>
      </w:pPr>
      <w:r>
        <w:t xml:space="preserve">13.2 PQC-Capable PKI Hierarchy Architecture</w:t>
      </w:r>
    </w:p>
    <w:p>
      <w:pPr>
        <w:numPr>
          <w:ilvl w:val="0"/>
          <w:numId w:val="1018"/>
        </w:numPr>
        <w:pStyle w:val="Compact"/>
      </w:pPr>
      <w:r>
        <w:t xml:space="preserve">13.3 Root and Subordinate CA Strategy</w:t>
      </w:r>
    </w:p>
    <w:p>
      <w:pPr>
        <w:numPr>
          <w:ilvl w:val="0"/>
          <w:numId w:val="1018"/>
        </w:numPr>
        <w:pStyle w:val="Compact"/>
      </w:pPr>
      <w:r>
        <w:t xml:space="preserve">13.4 Meridian: Ten-Year Root Overlap Strategy</w:t>
      </w:r>
    </w:p>
    <w:p>
      <w:pPr>
        <w:numPr>
          <w:ilvl w:val="0"/>
          <w:numId w:val="1018"/>
        </w:numPr>
        <w:pStyle w:val="Compact"/>
      </w:pPr>
      <w:r>
        <w:t xml:space="preserve">13.5 ML-DSA Certificate Sizes, Chain Length, and Trust Store Updates</w:t>
      </w:r>
    </w:p>
    <w:p>
      <w:pPr>
        <w:numPr>
          <w:ilvl w:val="0"/>
          <w:numId w:val="1018"/>
        </w:numPr>
        <w:pStyle w:val="Compact"/>
      </w:pPr>
      <w:r>
        <w:t xml:space="preserve">13.6 Certificate Profiles: Server TLS, Client mTLS, Code Signing, Email</w:t>
      </w:r>
    </w:p>
    <w:p>
      <w:pPr>
        <w:numPr>
          <w:ilvl w:val="0"/>
          <w:numId w:val="1018"/>
        </w:numPr>
        <w:pStyle w:val="Compact"/>
      </w:pPr>
      <w:r>
        <w:t xml:space="preserve">13.7 Table 13.6 — Certificate Profile Comparison: RSA vs ML-DSA</w:t>
      </w:r>
    </w:p>
    <w:p>
      <w:pPr>
        <w:numPr>
          <w:ilvl w:val="0"/>
          <w:numId w:val="1018"/>
        </w:numPr>
        <w:pStyle w:val="Compact"/>
      </w:pPr>
      <w:r>
        <w:t xml:space="preserve">13.8 Validity Period Policy</w:t>
      </w:r>
    </w:p>
    <w:p>
      <w:pPr>
        <w:numPr>
          <w:ilvl w:val="0"/>
          <w:numId w:val="1018"/>
        </w:numPr>
        <w:pStyle w:val="Compact"/>
      </w:pPr>
      <w:r>
        <w:t xml:space="preserve">13.9 ACME Automation and Certificate Lifecycle Operations</w:t>
      </w:r>
    </w:p>
    <w:p>
      <w:pPr>
        <w:numPr>
          <w:ilvl w:val="0"/>
          <w:numId w:val="1018"/>
        </w:numPr>
        <w:pStyle w:val="Compact"/>
      </w:pPr>
      <w:r>
        <w:t xml:space="preserve">13.10 Cross-Certification and Federation</w:t>
      </w:r>
    </w:p>
    <w:p>
      <w:pPr>
        <w:numPr>
          <w:ilvl w:val="0"/>
          <w:numId w:val="1018"/>
        </w:numPr>
        <w:pStyle w:val="Compact"/>
      </w:pPr>
      <w:r>
        <w:t xml:space="preserve">13.11 CA/Browser Forum Context (Not Reproduced)</w:t>
      </w:r>
    </w:p>
    <w:p>
      <w:pPr>
        <w:numPr>
          <w:ilvl w:val="0"/>
          <w:numId w:val="1018"/>
        </w:numPr>
        <w:pStyle w:val="Compact"/>
      </w:pPr>
      <w:r>
        <w:t xml:space="preserve">13.12 Trust Store Mechanics: Distribution, Verification, and Rollback</w:t>
      </w:r>
    </w:p>
    <w:p>
      <w:pPr>
        <w:numPr>
          <w:ilvl w:val="0"/>
          <w:numId w:val="1018"/>
        </w:numPr>
        <w:pStyle w:val="Compact"/>
      </w:pPr>
      <w:r>
        <w:t xml:space="preserve">13.13 Mobile Pinning and Application Trust Bundles</w:t>
      </w:r>
    </w:p>
    <w:p>
      <w:pPr>
        <w:numPr>
          <w:ilvl w:val="0"/>
          <w:numId w:val="1018"/>
        </w:numPr>
        <w:pStyle w:val="Compact"/>
      </w:pPr>
      <w:r>
        <w:t xml:space="preserve">13.14 Partner Chains and Ecosystem Trust</w:t>
      </w:r>
    </w:p>
    <w:p>
      <w:pPr>
        <w:numPr>
          <w:ilvl w:val="0"/>
          <w:numId w:val="1018"/>
        </w:numPr>
        <w:pStyle w:val="Compact"/>
      </w:pPr>
      <w:r>
        <w:t xml:space="preserve">13.15 GlobalSync: Service Mesh CA and Tenant Trust Boundaries</w:t>
      </w:r>
    </w:p>
    <w:p>
      <w:pPr>
        <w:numPr>
          <w:ilvl w:val="0"/>
          <w:numId w:val="1018"/>
        </w:numPr>
        <w:pStyle w:val="Compact"/>
      </w:pPr>
      <w:r>
        <w:t xml:space="preserve">13.16 Apex: NSS vs Commercial PKI Separation</w:t>
      </w:r>
    </w:p>
    <w:p>
      <w:pPr>
        <w:numPr>
          <w:ilvl w:val="0"/>
          <w:numId w:val="1018"/>
        </w:numPr>
        <w:pStyle w:val="Compact"/>
      </w:pPr>
      <w:r>
        <w:t xml:space="preserve">13.17 Northfield: OT PKI and Long-Validity Constraints</w:t>
      </w:r>
    </w:p>
    <w:p>
      <w:pPr>
        <w:numPr>
          <w:ilvl w:val="0"/>
          <w:numId w:val="1018"/>
        </w:numPr>
        <w:pStyle w:val="Compact"/>
      </w:pPr>
      <w:r>
        <w:t xml:space="preserve">13.18 CDG Integration: PKI as Blocking Hub</w:t>
      </w:r>
    </w:p>
    <w:p>
      <w:pPr>
        <w:numPr>
          <w:ilvl w:val="0"/>
          <w:numId w:val="1018"/>
        </w:numPr>
        <w:pStyle w:val="Compact"/>
      </w:pPr>
      <w:r>
        <w:t xml:space="preserve">13.19 CBOM Certificate Attributes</w:t>
      </w:r>
    </w:p>
    <w:p>
      <w:pPr>
        <w:numPr>
          <w:ilvl w:val="0"/>
          <w:numId w:val="1018"/>
        </w:numPr>
        <w:pStyle w:val="Compact"/>
      </w:pPr>
      <w:r>
        <w:t xml:space="preserve">13.20 Governance, Audit, and Steering Metrics</w:t>
      </w:r>
    </w:p>
    <w:p>
      <w:pPr>
        <w:numPr>
          <w:ilvl w:val="0"/>
          <w:numId w:val="1018"/>
        </w:numPr>
        <w:pStyle w:val="Compact"/>
      </w:pPr>
      <w:r>
        <w:t xml:space="preserve">13.21 Cross-Reference Map</w:t>
      </w:r>
    </w:p>
    <w:p>
      <w:pPr>
        <w:numPr>
          <w:ilvl w:val="0"/>
          <w:numId w:val="1018"/>
        </w:numPr>
        <w:pStyle w:val="Compact"/>
      </w:pPr>
      <w:r>
        <w:t xml:space="preserve">13.22 Apply in Your Organisation</w:t>
      </w:r>
    </w:p>
    <w:p>
      <w:pPr>
        <w:numPr>
          <w:ilvl w:val="0"/>
          <w:numId w:val="1018"/>
        </w:numPr>
        <w:pStyle w:val="Compact"/>
      </w:pPr>
      <w:r>
        <w:t xml:space="preserve">13.23 Chapter Summary</w:t>
      </w:r>
    </w:p>
    <w:bookmarkEnd w:id="40"/>
    <w:bookmarkStart w:id="41" w:name="X3c408ba2376fc1e7899952d88a3e14b078891bf"/>
    <w:p>
      <w:pPr>
        <w:pStyle w:val="Heading3"/>
      </w:pPr>
      <w:r>
        <w:t xml:space="preserve">Chapter 14 — Key Management, HSMs, and Cloud Cryptography</w:t>
      </w:r>
    </w:p>
    <w:p>
      <w:pPr>
        <w:numPr>
          <w:ilvl w:val="0"/>
          <w:numId w:val="1019"/>
        </w:numPr>
        <w:pStyle w:val="Compact"/>
      </w:pPr>
      <w:r>
        <w:t xml:space="preserve">14.1 Key Management as the Migration Bottleneck</w:t>
      </w:r>
    </w:p>
    <w:p>
      <w:pPr>
        <w:numPr>
          <w:ilvl w:val="0"/>
          <w:numId w:val="1019"/>
        </w:numPr>
        <w:pStyle w:val="Compact"/>
      </w:pPr>
      <w:r>
        <w:t xml:space="preserve">14.2 KMS Migration Architecture</w:t>
      </w:r>
    </w:p>
    <w:p>
      <w:pPr>
        <w:numPr>
          <w:ilvl w:val="0"/>
          <w:numId w:val="1019"/>
        </w:numPr>
        <w:pStyle w:val="Compact"/>
      </w:pPr>
      <w:r>
        <w:t xml:space="preserve">14.3 Key Lifecycle: Generate, Wrap, Rotate, Destroy</w:t>
      </w:r>
    </w:p>
    <w:p>
      <w:pPr>
        <w:numPr>
          <w:ilvl w:val="0"/>
          <w:numId w:val="1019"/>
        </w:numPr>
        <w:pStyle w:val="Compact"/>
      </w:pPr>
      <w:r>
        <w:t xml:space="preserve">14.4 HSM Partitioning and Logical Isolation</w:t>
      </w:r>
    </w:p>
    <w:p>
      <w:pPr>
        <w:numPr>
          <w:ilvl w:val="0"/>
          <w:numId w:val="1019"/>
        </w:numPr>
        <w:pStyle w:val="Compact"/>
      </w:pPr>
      <w:r>
        <w:t xml:space="preserve">14.5 FIPS 140-3 Validation and Module Selection</w:t>
      </w:r>
    </w:p>
    <w:p>
      <w:pPr>
        <w:numPr>
          <w:ilvl w:val="0"/>
          <w:numId w:val="1019"/>
        </w:numPr>
        <w:pStyle w:val="Compact"/>
      </w:pPr>
      <w:r>
        <w:t xml:space="preserve">14.6 Performance with Larger PQC Keys</w:t>
      </w:r>
    </w:p>
    <w:p>
      <w:pPr>
        <w:numPr>
          <w:ilvl w:val="0"/>
          <w:numId w:val="1019"/>
        </w:numPr>
        <w:pStyle w:val="Compact"/>
      </w:pPr>
      <w:r>
        <w:t xml:space="preserve">14.7 HSM/KMS Capability Assessment Matrix</w:t>
      </w:r>
    </w:p>
    <w:p>
      <w:pPr>
        <w:numPr>
          <w:ilvl w:val="0"/>
          <w:numId w:val="1019"/>
        </w:numPr>
        <w:pStyle w:val="Compact"/>
      </w:pPr>
      <w:r>
        <w:t xml:space="preserve">14.8 Apex: HSM Partition Strategy for Classified and Unclassified Zones</w:t>
      </w:r>
    </w:p>
    <w:p>
      <w:pPr>
        <w:numPr>
          <w:ilvl w:val="0"/>
          <w:numId w:val="1019"/>
        </w:numPr>
        <w:pStyle w:val="Compact"/>
      </w:pPr>
      <w:r>
        <w:t xml:space="preserve">14.9 Meridian: Payment HSM and ML-DSA Ceremony Adaptation</w:t>
      </w:r>
    </w:p>
    <w:p>
      <w:pPr>
        <w:numPr>
          <w:ilvl w:val="0"/>
          <w:numId w:val="1019"/>
        </w:numPr>
        <w:pStyle w:val="Compact"/>
      </w:pPr>
      <w:r>
        <w:t xml:space="preserve">14.10 Multi-Cloud KMS Patterns</w:t>
      </w:r>
    </w:p>
    <w:p>
      <w:pPr>
        <w:numPr>
          <w:ilvl w:val="0"/>
          <w:numId w:val="1019"/>
        </w:numPr>
        <w:pStyle w:val="Compact"/>
      </w:pPr>
      <w:r>
        <w:t xml:space="preserve">14.11 Shared Responsibility, BYOK, and HYOK</w:t>
      </w:r>
    </w:p>
    <w:p>
      <w:pPr>
        <w:numPr>
          <w:ilvl w:val="0"/>
          <w:numId w:val="1019"/>
        </w:numPr>
        <w:pStyle w:val="Compact"/>
      </w:pPr>
      <w:r>
        <w:t xml:space="preserve">14.12 CNSA Parameter Profiles for NSS</w:t>
      </w:r>
    </w:p>
    <w:p>
      <w:pPr>
        <w:numPr>
          <w:ilvl w:val="0"/>
          <w:numId w:val="1019"/>
        </w:numPr>
        <w:pStyle w:val="Compact"/>
      </w:pPr>
      <w:r>
        <w:t xml:space="preserve">14.13 GlobalSync: Tenant-Scoped KMS and Crypto Service Integration</w:t>
      </w:r>
    </w:p>
    <w:p>
      <w:pPr>
        <w:numPr>
          <w:ilvl w:val="0"/>
          <w:numId w:val="1019"/>
        </w:numPr>
        <w:pStyle w:val="Compact"/>
      </w:pPr>
      <w:r>
        <w:t xml:space="preserve">14.14 Integration with PKI and Firmware Signing</w:t>
      </w:r>
    </w:p>
    <w:p>
      <w:pPr>
        <w:numPr>
          <w:ilvl w:val="0"/>
          <w:numId w:val="1019"/>
        </w:numPr>
        <w:pStyle w:val="Compact"/>
      </w:pPr>
      <w:r>
        <w:t xml:space="preserve">14.15 CDG Blocking Nodes and Wave Sequencing</w:t>
      </w:r>
    </w:p>
    <w:p>
      <w:pPr>
        <w:numPr>
          <w:ilvl w:val="0"/>
          <w:numId w:val="1019"/>
        </w:numPr>
        <w:pStyle w:val="Compact"/>
      </w:pPr>
      <w:r>
        <w:t xml:space="preserve">14.16 Confidential Computing and Key Custody</w:t>
      </w:r>
    </w:p>
    <w:p>
      <w:pPr>
        <w:numPr>
          <w:ilvl w:val="0"/>
          <w:numId w:val="1019"/>
        </w:numPr>
        <w:pStyle w:val="Compact"/>
      </w:pPr>
      <w:r>
        <w:t xml:space="preserve">14.17 Ceremony Governance, DR, and Assurance</w:t>
      </w:r>
    </w:p>
    <w:p>
      <w:pPr>
        <w:numPr>
          <w:ilvl w:val="0"/>
          <w:numId w:val="1019"/>
        </w:numPr>
        <w:pStyle w:val="Compact"/>
      </w:pPr>
      <w:r>
        <w:t xml:space="preserve">14.18 Northfield: OT Custody Realism</w:t>
      </w:r>
    </w:p>
    <w:p>
      <w:pPr>
        <w:numPr>
          <w:ilvl w:val="0"/>
          <w:numId w:val="1019"/>
        </w:numPr>
        <w:pStyle w:val="Compact"/>
      </w:pPr>
      <w:r>
        <w:t xml:space="preserve">14.19 Cross-Reference Map</w:t>
      </w:r>
    </w:p>
    <w:p>
      <w:pPr>
        <w:numPr>
          <w:ilvl w:val="0"/>
          <w:numId w:val="1019"/>
        </w:numPr>
        <w:pStyle w:val="Compact"/>
      </w:pPr>
      <w:r>
        <w:t xml:space="preserve">14.20 Apply in Your Organisation</w:t>
      </w:r>
    </w:p>
    <w:p>
      <w:pPr>
        <w:numPr>
          <w:ilvl w:val="0"/>
          <w:numId w:val="1019"/>
        </w:numPr>
        <w:pStyle w:val="Compact"/>
      </w:pPr>
      <w:r>
        <w:t xml:space="preserve">14.21 Chapter Summary</w:t>
      </w:r>
    </w:p>
    <w:bookmarkEnd w:id="41"/>
    <w:bookmarkEnd w:id="42"/>
    <w:bookmarkStart w:id="48" w:name="part-v-running-the-migration-programme"/>
    <w:p>
      <w:pPr>
        <w:pStyle w:val="Heading2"/>
      </w:pPr>
      <w:r>
        <w:t xml:space="preserve">Part V — Running the Migration Programme</w:t>
      </w:r>
    </w:p>
    <w:p>
      <w:pPr>
        <w:pStyle w:val="FirstParagraph"/>
      </w:pPr>
      <w:r>
        <w:rPr>
          <w:iCs/>
          <w:i/>
        </w:rPr>
        <w:t xml:space="preserve">ARCS: Synchronize</w:t>
      </w:r>
    </w:p>
    <w:bookmarkStart w:id="43" w:name="introduction-4"/>
    <w:p>
      <w:pPr>
        <w:pStyle w:val="Heading3"/>
      </w:pPr>
      <w:r>
        <w:t xml:space="preserve">Introduction</w:t>
      </w:r>
    </w:p>
    <w:p>
      <w:pPr>
        <w:numPr>
          <w:ilvl w:val="0"/>
          <w:numId w:val="1020"/>
        </w:numPr>
        <w:pStyle w:val="Compact"/>
      </w:pPr>
      <w:r>
        <w:t xml:space="preserve">Introduction</w:t>
      </w:r>
    </w:p>
    <w:p>
      <w:pPr>
        <w:numPr>
          <w:ilvl w:val="0"/>
          <w:numId w:val="1020"/>
        </w:numPr>
        <w:pStyle w:val="Compact"/>
      </w:pPr>
      <w:r>
        <w:t xml:space="preserve">What Part V Delivers</w:t>
      </w:r>
    </w:p>
    <w:p>
      <w:pPr>
        <w:numPr>
          <w:ilvl w:val="0"/>
          <w:numId w:val="1020"/>
        </w:numPr>
        <w:pStyle w:val="Compact"/>
      </w:pPr>
      <w:r>
        <w:t xml:space="preserve">ARCS and PQ-ADAPT Positioning</w:t>
      </w:r>
    </w:p>
    <w:p>
      <w:pPr>
        <w:numPr>
          <w:ilvl w:val="0"/>
          <w:numId w:val="1020"/>
        </w:numPr>
        <w:pStyle w:val="Compact"/>
      </w:pPr>
      <w:r>
        <w:t xml:space="preserve">Part V Exit Artefacts</w:t>
      </w:r>
    </w:p>
    <w:p>
      <w:pPr>
        <w:numPr>
          <w:ilvl w:val="0"/>
          <w:numId w:val="1020"/>
        </w:numPr>
        <w:pStyle w:val="Compact"/>
      </w:pPr>
      <w:r>
        <w:t xml:space="preserve">Prerequisites</w:t>
      </w:r>
    </w:p>
    <w:p>
      <w:pPr>
        <w:numPr>
          <w:ilvl w:val="0"/>
          <w:numId w:val="1020"/>
        </w:numPr>
        <w:pStyle w:val="Compact"/>
      </w:pPr>
      <w:r>
        <w:t xml:space="preserve">Who Should Read Part V</w:t>
      </w:r>
    </w:p>
    <w:p>
      <w:pPr>
        <w:numPr>
          <w:ilvl w:val="0"/>
          <w:numId w:val="1020"/>
        </w:numPr>
        <w:pStyle w:val="Compact"/>
      </w:pPr>
      <w:r>
        <w:t xml:space="preserve">The Teaching Organisations in Part V</w:t>
      </w:r>
    </w:p>
    <w:p>
      <w:pPr>
        <w:numPr>
          <w:ilvl w:val="0"/>
          <w:numId w:val="1020"/>
        </w:numPr>
        <w:pStyle w:val="Compact"/>
      </w:pPr>
      <w:r>
        <w:t xml:space="preserve">What Part V Is and Is Not</w:t>
      </w:r>
    </w:p>
    <w:p>
      <w:pPr>
        <w:numPr>
          <w:ilvl w:val="0"/>
          <w:numId w:val="1020"/>
        </w:numPr>
        <w:pStyle w:val="Compact"/>
      </w:pPr>
      <w:r>
        <w:t xml:space="preserve">How Part V Connects to the Book Arc</w:t>
      </w:r>
    </w:p>
    <w:p>
      <w:pPr>
        <w:numPr>
          <w:ilvl w:val="0"/>
          <w:numId w:val="1020"/>
        </w:numPr>
        <w:pStyle w:val="Compact"/>
      </w:pPr>
      <w:r>
        <w:t xml:space="preserve">Suggested Reading Sequences</w:t>
      </w:r>
    </w:p>
    <w:p>
      <w:pPr>
        <w:numPr>
          <w:ilvl w:val="0"/>
          <w:numId w:val="1020"/>
        </w:numPr>
        <w:pStyle w:val="Compact"/>
      </w:pPr>
      <w:r>
        <w:t xml:space="preserve">Conventions</w:t>
      </w:r>
    </w:p>
    <w:bookmarkEnd w:id="43"/>
    <w:bookmarkStart w:id="44" w:name="X4ca11ba5108d4e453d8f46a46d8c2572530a53c"/>
    <w:p>
      <w:pPr>
        <w:pStyle w:val="Heading3"/>
      </w:pPr>
      <w:r>
        <w:t xml:space="preserve">Chapter 15 — Programme Governance and Operating Model</w:t>
      </w:r>
    </w:p>
    <w:p>
      <w:pPr>
        <w:numPr>
          <w:ilvl w:val="0"/>
          <w:numId w:val="1021"/>
        </w:numPr>
        <w:pStyle w:val="Compact"/>
      </w:pPr>
      <w:r>
        <w:t xml:space="preserve">15.1 ARCS Synchronize and PQ-ADAPT Level 4 Entry</w:t>
      </w:r>
    </w:p>
    <w:p>
      <w:pPr>
        <w:numPr>
          <w:ilvl w:val="0"/>
          <w:numId w:val="1021"/>
        </w:numPr>
        <w:pStyle w:val="Compact"/>
      </w:pPr>
      <w:r>
        <w:t xml:space="preserve">15.2 From Governance Stack to Operating Model</w:t>
      </w:r>
    </w:p>
    <w:p>
      <w:pPr>
        <w:numPr>
          <w:ilvl w:val="0"/>
          <w:numId w:val="1021"/>
        </w:numPr>
        <w:pStyle w:val="Compact"/>
      </w:pPr>
      <w:r>
        <w:t xml:space="preserve">15.3 Strategic Layer: Board Integration and Risk Appetite</w:t>
      </w:r>
    </w:p>
    <w:p>
      <w:pPr>
        <w:numPr>
          <w:ilvl w:val="0"/>
          <w:numId w:val="1021"/>
        </w:numPr>
        <w:pStyle w:val="Compact"/>
      </w:pPr>
      <w:r>
        <w:t xml:space="preserve">15.4 Programme Layer: Charter, Authority, and Scope</w:t>
      </w:r>
    </w:p>
    <w:p>
      <w:pPr>
        <w:numPr>
          <w:ilvl w:val="0"/>
          <w:numId w:val="1021"/>
        </w:numPr>
        <w:pStyle w:val="Compact"/>
      </w:pPr>
      <w:r>
        <w:t xml:space="preserve">15.5 Migration Authority and Decision Rights</w:t>
      </w:r>
    </w:p>
    <w:p>
      <w:pPr>
        <w:numPr>
          <w:ilvl w:val="0"/>
          <w:numId w:val="1021"/>
        </w:numPr>
        <w:pStyle w:val="Compact"/>
      </w:pPr>
      <w:r>
        <w:t xml:space="preserve">15.6 Steering Committee Design</w:t>
      </w:r>
    </w:p>
    <w:p>
      <w:pPr>
        <w:numPr>
          <w:ilvl w:val="0"/>
          <w:numId w:val="1021"/>
        </w:numPr>
        <w:pStyle w:val="Compact"/>
      </w:pPr>
      <w:r>
        <w:t xml:space="preserve">15.7 RACI Matrix — Programme Functions</w:t>
      </w:r>
    </w:p>
    <w:p>
      <w:pPr>
        <w:numPr>
          <w:ilvl w:val="0"/>
          <w:numId w:val="1021"/>
        </w:numPr>
        <w:pStyle w:val="Compact"/>
      </w:pPr>
      <w:r>
        <w:t xml:space="preserve">15.8 Policy Layer Operations</w:t>
      </w:r>
    </w:p>
    <w:p>
      <w:pPr>
        <w:numPr>
          <w:ilvl w:val="0"/>
          <w:numId w:val="1021"/>
        </w:numPr>
        <w:pStyle w:val="Compact"/>
      </w:pPr>
      <w:r>
        <w:t xml:space="preserve">15.9 Operational Layer Cadence</w:t>
      </w:r>
    </w:p>
    <w:p>
      <w:pPr>
        <w:numPr>
          <w:ilvl w:val="0"/>
          <w:numId w:val="1021"/>
        </w:numPr>
        <w:pStyle w:val="Compact"/>
      </w:pPr>
      <w:r>
        <w:t xml:space="preserve">15.10 Assurance Layer Integration</w:t>
      </w:r>
    </w:p>
    <w:p>
      <w:pPr>
        <w:numPr>
          <w:ilvl w:val="0"/>
          <w:numId w:val="1021"/>
        </w:numPr>
        <w:pStyle w:val="Compact"/>
      </w:pPr>
      <w:r>
        <w:t xml:space="preserve">15.11 KPI Dashboard Template</w:t>
      </w:r>
    </w:p>
    <w:p>
      <w:pPr>
        <w:numPr>
          <w:ilvl w:val="0"/>
          <w:numId w:val="1021"/>
        </w:numPr>
        <w:pStyle w:val="Compact"/>
      </w:pPr>
      <w:r>
        <w:t xml:space="preserve">15.12 Board Reporting</w:t>
      </w:r>
    </w:p>
    <w:p>
      <w:pPr>
        <w:numPr>
          <w:ilvl w:val="0"/>
          <w:numId w:val="1021"/>
        </w:numPr>
        <w:pStyle w:val="Compact"/>
      </w:pPr>
      <w:r>
        <w:t xml:space="preserve">15.13 Funding Model</w:t>
      </w:r>
    </w:p>
    <w:p>
      <w:pPr>
        <w:numPr>
          <w:ilvl w:val="0"/>
          <w:numId w:val="1021"/>
        </w:numPr>
        <w:pStyle w:val="Compact"/>
      </w:pPr>
      <w:r>
        <w:t xml:space="preserve">15.14 Operating Rhythm Calendar</w:t>
      </w:r>
    </w:p>
    <w:p>
      <w:pPr>
        <w:numPr>
          <w:ilvl w:val="0"/>
          <w:numId w:val="1021"/>
        </w:numPr>
        <w:pStyle w:val="Compact"/>
      </w:pPr>
      <w:r>
        <w:t xml:space="preserve">15.15 Case Study: GlobalSync Three-Region Programme Office</w:t>
      </w:r>
    </w:p>
    <w:p>
      <w:pPr>
        <w:numPr>
          <w:ilvl w:val="0"/>
          <w:numId w:val="1021"/>
        </w:numPr>
        <w:pStyle w:val="Compact"/>
      </w:pPr>
      <w:r>
        <w:t xml:space="preserve">15.16 Meridian Mutual Bank: DORA-Aligned Steering</w:t>
      </w:r>
    </w:p>
    <w:p>
      <w:pPr>
        <w:numPr>
          <w:ilvl w:val="0"/>
          <w:numId w:val="1021"/>
        </w:numPr>
        <w:pStyle w:val="Compact"/>
      </w:pPr>
      <w:r>
        <w:t xml:space="preserve">15.17 Apex Defense Technologies: NSS Governance Separation</w:t>
      </w:r>
    </w:p>
    <w:p>
      <w:pPr>
        <w:numPr>
          <w:ilvl w:val="0"/>
          <w:numId w:val="1021"/>
        </w:numPr>
        <w:pStyle w:val="Compact"/>
      </w:pPr>
      <w:r>
        <w:t xml:space="preserve">15.18 Northfield Energy Systems: Essential Entity Reporting</w:t>
      </w:r>
    </w:p>
    <w:p>
      <w:pPr>
        <w:numPr>
          <w:ilvl w:val="0"/>
          <w:numId w:val="1021"/>
        </w:numPr>
        <w:pStyle w:val="Compact"/>
      </w:pPr>
      <w:r>
        <w:t xml:space="preserve">15.19 Programme Office Functions and Staffing</w:t>
      </w:r>
    </w:p>
    <w:p>
      <w:pPr>
        <w:numPr>
          <w:ilvl w:val="0"/>
          <w:numId w:val="1021"/>
        </w:numPr>
        <w:pStyle w:val="Compact"/>
      </w:pPr>
      <w:r>
        <w:t xml:space="preserve">15.20 Cross-References and Prerequisites</w:t>
      </w:r>
    </w:p>
    <w:p>
      <w:pPr>
        <w:numPr>
          <w:ilvl w:val="0"/>
          <w:numId w:val="1021"/>
        </w:numPr>
        <w:pStyle w:val="Compact"/>
      </w:pPr>
      <w:r>
        <w:t xml:space="preserve">15.21 PQ-ADAPT Level 4 Entry Checklist</w:t>
      </w:r>
    </w:p>
    <w:p>
      <w:pPr>
        <w:numPr>
          <w:ilvl w:val="0"/>
          <w:numId w:val="1021"/>
        </w:numPr>
        <w:pStyle w:val="Compact"/>
      </w:pPr>
      <w:r>
        <w:t xml:space="preserve">15.22 Figure Production Briefs</w:t>
      </w:r>
    </w:p>
    <w:p>
      <w:pPr>
        <w:numPr>
          <w:ilvl w:val="0"/>
          <w:numId w:val="1021"/>
        </w:numPr>
        <w:pStyle w:val="Compact"/>
      </w:pPr>
      <w:r>
        <w:t xml:space="preserve">15.23 Apply in Your Organisation</w:t>
      </w:r>
    </w:p>
    <w:p>
      <w:pPr>
        <w:numPr>
          <w:ilvl w:val="0"/>
          <w:numId w:val="1021"/>
        </w:numPr>
        <w:pStyle w:val="Compact"/>
      </w:pPr>
      <w:r>
        <w:t xml:space="preserve">15.24 Chapter Summary</w:t>
      </w:r>
    </w:p>
    <w:bookmarkEnd w:id="44"/>
    <w:bookmarkStart w:id="45" w:name="X2d473dadabc63a3be168dc8797bccd6d8134b29"/>
    <w:p>
      <w:pPr>
        <w:pStyle w:val="Heading3"/>
      </w:pPr>
      <w:r>
        <w:t xml:space="preserve">Chapter 16 — Procurement, Contracts, and Third-Party Risk</w:t>
      </w:r>
    </w:p>
    <w:p>
      <w:pPr>
        <w:numPr>
          <w:ilvl w:val="0"/>
          <w:numId w:val="1022"/>
        </w:numPr>
        <w:pStyle w:val="Compact"/>
      </w:pPr>
      <w:r>
        <w:t xml:space="preserve">16.1 Why Procurement Owns Cryptographic Outcomes</w:t>
      </w:r>
    </w:p>
    <w:p>
      <w:pPr>
        <w:numPr>
          <w:ilvl w:val="0"/>
          <w:numId w:val="1022"/>
        </w:numPr>
        <w:pStyle w:val="Compact"/>
      </w:pPr>
      <w:r>
        <w:t xml:space="preserve">16.2 DORA Articles 28–30: Third-Party ICT Risk</w:t>
      </w:r>
    </w:p>
    <w:p>
      <w:pPr>
        <w:numPr>
          <w:ilvl w:val="0"/>
          <w:numId w:val="1022"/>
        </w:numPr>
        <w:pStyle w:val="Compact"/>
      </w:pPr>
      <w:r>
        <w:t xml:space="preserve">16.3 CBOM Supplier Requirements</w:t>
      </w:r>
    </w:p>
    <w:p>
      <w:pPr>
        <w:numPr>
          <w:ilvl w:val="0"/>
          <w:numId w:val="1022"/>
        </w:numPr>
        <w:pStyle w:val="Compact"/>
      </w:pPr>
      <w:r>
        <w:t xml:space="preserve">16.4 Contract Clause Library</w:t>
      </w:r>
    </w:p>
    <w:p>
      <w:pPr>
        <w:numPr>
          <w:ilvl w:val="0"/>
          <w:numId w:val="1022"/>
        </w:numPr>
        <w:pStyle w:val="Compact"/>
      </w:pPr>
      <w:r>
        <w:t xml:space="preserve">16.5 Vendor Evidence Checklist</w:t>
      </w:r>
    </w:p>
    <w:p>
      <w:pPr>
        <w:numPr>
          <w:ilvl w:val="0"/>
          <w:numId w:val="1022"/>
        </w:numPr>
        <w:pStyle w:val="Compact"/>
      </w:pPr>
      <w:r>
        <w:t xml:space="preserve">16.6 SLA Audit Rights and Roadmap Verification</w:t>
      </w:r>
    </w:p>
    <w:p>
      <w:pPr>
        <w:numPr>
          <w:ilvl w:val="0"/>
          <w:numId w:val="1022"/>
        </w:numPr>
        <w:pStyle w:val="Compact"/>
      </w:pPr>
      <w:r>
        <w:t xml:space="preserve">16.7 Procurement Gates and Wave Funding (Chapter 9 Cross-Reference)</w:t>
      </w:r>
    </w:p>
    <w:p>
      <w:pPr>
        <w:numPr>
          <w:ilvl w:val="0"/>
          <w:numId w:val="1022"/>
        </w:numPr>
        <w:pStyle w:val="Compact"/>
      </w:pPr>
      <w:r>
        <w:t xml:space="preserve">16.8 HSM and KMS Vendor Assessment (Chapter 14 Cross-Reference)</w:t>
      </w:r>
    </w:p>
    <w:p>
      <w:pPr>
        <w:numPr>
          <w:ilvl w:val="0"/>
          <w:numId w:val="1022"/>
        </w:numPr>
        <w:pStyle w:val="Compact"/>
      </w:pPr>
      <w:r>
        <w:t xml:space="preserve">16.9 Case Study: Meridian — 40 Critical Supplier Assessment</w:t>
      </w:r>
    </w:p>
    <w:p>
      <w:pPr>
        <w:numPr>
          <w:ilvl w:val="0"/>
          <w:numId w:val="1022"/>
        </w:numPr>
        <w:pStyle w:val="Compact"/>
      </w:pPr>
      <w:r>
        <w:t xml:space="preserve">16.10 GlobalSync: Multinational Procurement Overlay</w:t>
      </w:r>
    </w:p>
    <w:p>
      <w:pPr>
        <w:numPr>
          <w:ilvl w:val="0"/>
          <w:numId w:val="1022"/>
        </w:numPr>
        <w:pStyle w:val="Compact"/>
      </w:pPr>
      <w:r>
        <w:t xml:space="preserve">16.11 Apex Defense Technologies: Flow-Down and NSS Separation</w:t>
      </w:r>
    </w:p>
    <w:p>
      <w:pPr>
        <w:numPr>
          <w:ilvl w:val="0"/>
          <w:numId w:val="1022"/>
        </w:numPr>
        <w:pStyle w:val="Compact"/>
      </w:pPr>
      <w:r>
        <w:t xml:space="preserve">16.12 Northfield Energy Systems: OT Vendor Management</w:t>
      </w:r>
    </w:p>
    <w:p>
      <w:pPr>
        <w:numPr>
          <w:ilvl w:val="0"/>
          <w:numId w:val="1022"/>
        </w:numPr>
        <w:pStyle w:val="Compact"/>
      </w:pPr>
      <w:r>
        <w:t xml:space="preserve">16.13 Vendor Readiness Assessment Flow</w:t>
      </w:r>
    </w:p>
    <w:p>
      <w:pPr>
        <w:numPr>
          <w:ilvl w:val="0"/>
          <w:numId w:val="1022"/>
        </w:numPr>
        <w:pStyle w:val="Compact"/>
      </w:pPr>
      <w:r>
        <w:t xml:space="preserve">16.14 Integrating Vendor Assessment with Programme Office Rhythm</w:t>
      </w:r>
    </w:p>
    <w:p>
      <w:pPr>
        <w:numPr>
          <w:ilvl w:val="0"/>
          <w:numId w:val="1022"/>
        </w:numPr>
        <w:pStyle w:val="Compact"/>
      </w:pPr>
      <w:r>
        <w:t xml:space="preserve">16.15 Concentration Risk Escalation Playbook</w:t>
      </w:r>
    </w:p>
    <w:p>
      <w:pPr>
        <w:numPr>
          <w:ilvl w:val="0"/>
          <w:numId w:val="1022"/>
        </w:numPr>
        <w:pStyle w:val="Compact"/>
      </w:pPr>
      <w:r>
        <w:t xml:space="preserve">16.16 SaaS, Shadow IT, and Marketplace Procurement</w:t>
      </w:r>
    </w:p>
    <w:p>
      <w:pPr>
        <w:numPr>
          <w:ilvl w:val="0"/>
          <w:numId w:val="1022"/>
        </w:numPr>
        <w:pStyle w:val="Compact"/>
      </w:pPr>
      <w:r>
        <w:t xml:space="preserve">16.17 RFP and Renewal Playbooks</w:t>
      </w:r>
    </w:p>
    <w:p>
      <w:pPr>
        <w:numPr>
          <w:ilvl w:val="0"/>
          <w:numId w:val="1022"/>
        </w:numPr>
        <w:pStyle w:val="Compact"/>
      </w:pPr>
      <w:r>
        <w:t xml:space="preserve">16.18 Auditor and Supervisory Questions</w:t>
      </w:r>
    </w:p>
    <w:p>
      <w:pPr>
        <w:numPr>
          <w:ilvl w:val="0"/>
          <w:numId w:val="1022"/>
        </w:numPr>
        <w:pStyle w:val="Compact"/>
      </w:pPr>
      <w:r>
        <w:t xml:space="preserve">16.19 Cross-Reference Map</w:t>
      </w:r>
    </w:p>
    <w:p>
      <w:pPr>
        <w:numPr>
          <w:ilvl w:val="0"/>
          <w:numId w:val="1022"/>
        </w:numPr>
        <w:pStyle w:val="Compact"/>
      </w:pPr>
      <w:r>
        <w:t xml:space="preserve">16.20 Apply in Your Organisation</w:t>
      </w:r>
    </w:p>
    <w:p>
      <w:pPr>
        <w:numPr>
          <w:ilvl w:val="0"/>
          <w:numId w:val="1022"/>
        </w:numPr>
        <w:pStyle w:val="Compact"/>
      </w:pPr>
      <w:r>
        <w:t xml:space="preserve">16.21 Chapter Summary</w:t>
      </w:r>
    </w:p>
    <w:bookmarkEnd w:id="45"/>
    <w:bookmarkStart w:id="46" w:name="X1917d0486dfe0ae14ce6797956f9fa03257f44a"/>
    <w:p>
      <w:pPr>
        <w:pStyle w:val="Heading3"/>
      </w:pPr>
      <w:r>
        <w:t xml:space="preserve">Chapter 17 — Software Supply Chain and Embedded Cryptography</w:t>
      </w:r>
    </w:p>
    <w:p>
      <w:pPr>
        <w:numPr>
          <w:ilvl w:val="0"/>
          <w:numId w:val="1023"/>
        </w:numPr>
        <w:pStyle w:val="Compact"/>
      </w:pPr>
      <w:r>
        <w:t xml:space="preserve">17.1 The Supply Chain as Cryptographic Attack Surface</w:t>
      </w:r>
    </w:p>
    <w:p>
      <w:pPr>
        <w:numPr>
          <w:ilvl w:val="0"/>
          <w:numId w:val="1023"/>
        </w:numPr>
        <w:pStyle w:val="Compact"/>
      </w:pPr>
      <w:r>
        <w:t xml:space="preserve">17.2 From Discovery to Enforcement: CI/CD as Programme Layer</w:t>
      </w:r>
    </w:p>
    <w:p>
      <w:pPr>
        <w:numPr>
          <w:ilvl w:val="0"/>
          <w:numId w:val="1023"/>
        </w:numPr>
        <w:pStyle w:val="Compact"/>
      </w:pPr>
      <w:r>
        <w:t xml:space="preserve">17.3 CycloneDX, SBOM, and CBOM in Build Pipelines</w:t>
      </w:r>
    </w:p>
    <w:p>
      <w:pPr>
        <w:numPr>
          <w:ilvl w:val="0"/>
          <w:numId w:val="1023"/>
        </w:numPr>
        <w:pStyle w:val="Compact"/>
      </w:pPr>
      <w:r>
        <w:t xml:space="preserve">17.4 The CI/CD Cryptographic Verification Pipeline</w:t>
      </w:r>
    </w:p>
    <w:p>
      <w:pPr>
        <w:numPr>
          <w:ilvl w:val="0"/>
          <w:numId w:val="1023"/>
        </w:numPr>
        <w:pStyle w:val="Compact"/>
      </w:pPr>
      <w:r>
        <w:t xml:space="preserve">17.5 Build-Time versus Runtime Verification</w:t>
      </w:r>
    </w:p>
    <w:p>
      <w:pPr>
        <w:numPr>
          <w:ilvl w:val="0"/>
          <w:numId w:val="1023"/>
        </w:numPr>
        <w:pStyle w:val="Compact"/>
      </w:pPr>
      <w:r>
        <w:t xml:space="preserve">17.6 Static Analysis: Capabilities and Limits</w:t>
      </w:r>
    </w:p>
    <w:p>
      <w:pPr>
        <w:numPr>
          <w:ilvl w:val="0"/>
          <w:numId w:val="1023"/>
        </w:numPr>
        <w:pStyle w:val="Compact"/>
      </w:pPr>
      <w:r>
        <w:t xml:space="preserve">17.7 Transitive Dependencies and Base Image Governance</w:t>
      </w:r>
    </w:p>
    <w:p>
      <w:pPr>
        <w:numPr>
          <w:ilvl w:val="0"/>
          <w:numId w:val="1023"/>
        </w:numPr>
        <w:pStyle w:val="Compact"/>
      </w:pPr>
      <w:r>
        <w:t xml:space="preserve">17.8 Firmware BOM and Embedded Cryptography</w:t>
      </w:r>
    </w:p>
    <w:p>
      <w:pPr>
        <w:numPr>
          <w:ilvl w:val="0"/>
          <w:numId w:val="1023"/>
        </w:numPr>
        <w:pStyle w:val="Compact"/>
      </w:pPr>
      <w:r>
        <w:t xml:space="preserve">17.9 NIST SSDF Alignment</w:t>
      </w:r>
    </w:p>
    <w:p>
      <w:pPr>
        <w:numPr>
          <w:ilvl w:val="0"/>
          <w:numId w:val="1023"/>
        </w:numPr>
        <w:pStyle w:val="Compact"/>
      </w:pPr>
      <w:r>
        <w:t xml:space="preserve">17.10 Agility Gates in CI/CD</w:t>
      </w:r>
    </w:p>
    <w:p>
      <w:pPr>
        <w:numPr>
          <w:ilvl w:val="0"/>
          <w:numId w:val="1023"/>
        </w:numPr>
        <w:pStyle w:val="Compact"/>
      </w:pPr>
      <w:r>
        <w:t xml:space="preserve">17.11 Hybrid CBOM Fields in Pipeline Gates</w:t>
      </w:r>
    </w:p>
    <w:p>
      <w:pPr>
        <w:numPr>
          <w:ilvl w:val="0"/>
          <w:numId w:val="1023"/>
        </w:numPr>
        <w:pStyle w:val="Compact"/>
      </w:pPr>
      <w:r>
        <w:t xml:space="preserve">17.12 GlobalSync: Container Gates and Multinational Overlay</w:t>
      </w:r>
    </w:p>
    <w:p>
      <w:pPr>
        <w:numPr>
          <w:ilvl w:val="0"/>
          <w:numId w:val="1023"/>
        </w:numPr>
        <w:pStyle w:val="Compact"/>
      </w:pPr>
      <w:r>
        <w:t xml:space="preserve">17.13 Meridian: Container Gates in Regulated Banking</w:t>
      </w:r>
    </w:p>
    <w:p>
      <w:pPr>
        <w:numPr>
          <w:ilvl w:val="0"/>
          <w:numId w:val="1023"/>
        </w:numPr>
        <w:pStyle w:val="Compact"/>
      </w:pPr>
      <w:r>
        <w:t xml:space="preserve">17.14 Northfield: Firmware Supply Chain Integration</w:t>
      </w:r>
    </w:p>
    <w:p>
      <w:pPr>
        <w:numPr>
          <w:ilvl w:val="0"/>
          <w:numId w:val="1023"/>
        </w:numPr>
        <w:pStyle w:val="Compact"/>
      </w:pPr>
      <w:r>
        <w:t xml:space="preserve">17.15 Apex: Classified Build Pipelines</w:t>
      </w:r>
    </w:p>
    <w:p>
      <w:pPr>
        <w:numPr>
          <w:ilvl w:val="0"/>
          <w:numId w:val="1023"/>
        </w:numPr>
        <w:pStyle w:val="Compact"/>
      </w:pPr>
      <w:r>
        <w:t xml:space="preserve">17.16 Supplier Artefacts and Third-Party Ingestion</w:t>
      </w:r>
    </w:p>
    <w:p>
      <w:pPr>
        <w:numPr>
          <w:ilvl w:val="0"/>
          <w:numId w:val="1023"/>
        </w:numPr>
        <w:pStyle w:val="Compact"/>
      </w:pPr>
      <w:r>
        <w:t xml:space="preserve">17.17 Pipeline Metrics and Steering Committee</w:t>
      </w:r>
    </w:p>
    <w:p>
      <w:pPr>
        <w:numPr>
          <w:ilvl w:val="0"/>
          <w:numId w:val="1023"/>
        </w:numPr>
        <w:pStyle w:val="Compact"/>
      </w:pPr>
      <w:r>
        <w:t xml:space="preserve">17.18 Common Failure Modes</w:t>
      </w:r>
    </w:p>
    <w:p>
      <w:pPr>
        <w:numPr>
          <w:ilvl w:val="0"/>
          <w:numId w:val="1023"/>
        </w:numPr>
        <w:pStyle w:val="Compact"/>
      </w:pPr>
      <w:r>
        <w:t xml:space="preserve">17.19 Integration with Programme Governance</w:t>
      </w:r>
    </w:p>
    <w:p>
      <w:pPr>
        <w:numPr>
          <w:ilvl w:val="0"/>
          <w:numId w:val="1023"/>
        </w:numPr>
        <w:pStyle w:val="Compact"/>
      </w:pPr>
      <w:r>
        <w:t xml:space="preserve">17.20 Figure Production Brief</w:t>
      </w:r>
    </w:p>
    <w:p>
      <w:pPr>
        <w:numPr>
          <w:ilvl w:val="0"/>
          <w:numId w:val="1023"/>
        </w:numPr>
        <w:pStyle w:val="Compact"/>
      </w:pPr>
      <w:r>
        <w:t xml:space="preserve">17.21 Apply in Your Organisation</w:t>
      </w:r>
    </w:p>
    <w:p>
      <w:pPr>
        <w:numPr>
          <w:ilvl w:val="0"/>
          <w:numId w:val="1023"/>
        </w:numPr>
        <w:pStyle w:val="Compact"/>
      </w:pPr>
      <w:r>
        <w:t xml:space="preserve">17.22 Chapter Summary</w:t>
      </w:r>
    </w:p>
    <w:bookmarkEnd w:id="46"/>
    <w:bookmarkStart w:id="47" w:name="X8289588544283aaff9c97b53fb810c60d0d3893"/>
    <w:p>
      <w:pPr>
        <w:pStyle w:val="Heading3"/>
      </w:pPr>
      <w:r>
        <w:t xml:space="preserve">Chapter 18 — FIPS Validation, Testing, and Assurance</w:t>
      </w:r>
    </w:p>
    <w:p>
      <w:pPr>
        <w:numPr>
          <w:ilvl w:val="0"/>
          <w:numId w:val="1024"/>
        </w:numPr>
        <w:pStyle w:val="Compact"/>
      </w:pPr>
      <w:r>
        <w:t xml:space="preserve">18.1 Assurance as a Programme Constraint</w:t>
      </w:r>
    </w:p>
    <w:p>
      <w:pPr>
        <w:numPr>
          <w:ilvl w:val="0"/>
          <w:numId w:val="1024"/>
        </w:numPr>
        <w:pStyle w:val="Compact"/>
      </w:pPr>
      <w:r>
        <w:t xml:space="preserve">18.2 FIPS 140-3 Module Validation versus Algorithm Validation</w:t>
      </w:r>
    </w:p>
    <w:p>
      <w:pPr>
        <w:numPr>
          <w:ilvl w:val="0"/>
          <w:numId w:val="1024"/>
        </w:numPr>
        <w:pStyle w:val="Compact"/>
      </w:pPr>
      <w:r>
        <w:t xml:space="preserve">18.3 The Validation Coverage Matrix</w:t>
      </w:r>
    </w:p>
    <w:p>
      <w:pPr>
        <w:numPr>
          <w:ilvl w:val="0"/>
          <w:numId w:val="1024"/>
        </w:numPr>
        <w:pStyle w:val="Compact"/>
      </w:pPr>
      <w:r>
        <w:t xml:space="preserve">18.4 The Test Category Matrix</w:t>
      </w:r>
    </w:p>
    <w:p>
      <w:pPr>
        <w:numPr>
          <w:ilvl w:val="0"/>
          <w:numId w:val="1024"/>
        </w:numPr>
        <w:pStyle w:val="Compact"/>
      </w:pPr>
      <w:r>
        <w:t xml:space="preserve">18.5 Building the Validation Programme Plan</w:t>
      </w:r>
    </w:p>
    <w:p>
      <w:pPr>
        <w:numPr>
          <w:ilvl w:val="0"/>
          <w:numId w:val="1024"/>
        </w:numPr>
        <w:pStyle w:val="Compact"/>
      </w:pPr>
      <w:r>
        <w:t xml:space="preserve">18.6 CMMC Cryptographic Assurance Context</w:t>
      </w:r>
    </w:p>
    <w:p>
      <w:pPr>
        <w:numPr>
          <w:ilvl w:val="0"/>
          <w:numId w:val="1024"/>
        </w:numPr>
        <w:pStyle w:val="Compact"/>
      </w:pPr>
      <w:r>
        <w:t xml:space="preserve">18.7 FedRAMP Cryptographic Assurance Context</w:t>
      </w:r>
    </w:p>
    <w:p>
      <w:pPr>
        <w:numPr>
          <w:ilvl w:val="0"/>
          <w:numId w:val="1024"/>
        </w:numPr>
        <w:pStyle w:val="Compact"/>
      </w:pPr>
      <w:r>
        <w:t xml:space="preserve">18.8 DORA, NIS2, and EU Assurance Expectations</w:t>
      </w:r>
    </w:p>
    <w:p>
      <w:pPr>
        <w:numPr>
          <w:ilvl w:val="0"/>
          <w:numId w:val="1024"/>
        </w:numPr>
        <w:pStyle w:val="Compact"/>
      </w:pPr>
      <w:r>
        <w:t xml:space="preserve">18.9 Enterprise Test Harness Integration</w:t>
      </w:r>
    </w:p>
    <w:p>
      <w:pPr>
        <w:numPr>
          <w:ilvl w:val="0"/>
          <w:numId w:val="1024"/>
        </w:numPr>
        <w:pStyle w:val="Compact"/>
      </w:pPr>
      <w:r>
        <w:t xml:space="preserve">18.10 HSM and KMS Validation Assessment</w:t>
      </w:r>
    </w:p>
    <w:p>
      <w:pPr>
        <w:numPr>
          <w:ilvl w:val="0"/>
          <w:numId w:val="1024"/>
        </w:numPr>
        <w:pStyle w:val="Compact"/>
      </w:pPr>
      <w:r>
        <w:t xml:space="preserve">18.11 Interoperability Testing Programme</w:t>
      </w:r>
    </w:p>
    <w:p>
      <w:pPr>
        <w:numPr>
          <w:ilvl w:val="0"/>
          <w:numId w:val="1024"/>
        </w:numPr>
        <w:pStyle w:val="Compact"/>
      </w:pPr>
      <w:r>
        <w:t xml:space="preserve">18.12 Performance Testing and Capacity Evidence</w:t>
      </w:r>
    </w:p>
    <w:p>
      <w:pPr>
        <w:numPr>
          <w:ilvl w:val="0"/>
          <w:numId w:val="1024"/>
        </w:numPr>
        <w:pStyle w:val="Compact"/>
      </w:pPr>
      <w:r>
        <w:t xml:space="preserve">18.13 Security Testing: Red Team and Penetration Testing for Cryptography</w:t>
      </w:r>
    </w:p>
    <w:p>
      <w:pPr>
        <w:numPr>
          <w:ilvl w:val="0"/>
          <w:numId w:val="1024"/>
        </w:numPr>
        <w:pStyle w:val="Compact"/>
      </w:pPr>
      <w:r>
        <w:t xml:space="preserve">18.14 Validation Dependency Timeline</w:t>
      </w:r>
    </w:p>
    <w:p>
      <w:pPr>
        <w:numPr>
          <w:ilvl w:val="0"/>
          <w:numId w:val="1024"/>
        </w:numPr>
        <w:pStyle w:val="Compact"/>
      </w:pPr>
      <w:r>
        <w:t xml:space="preserve">18.15 Case Study: Apex Defense CMMC Assessment Evidence Package</w:t>
      </w:r>
    </w:p>
    <w:p>
      <w:pPr>
        <w:numPr>
          <w:ilvl w:val="0"/>
          <w:numId w:val="1024"/>
        </w:numPr>
        <w:pStyle w:val="Compact"/>
      </w:pPr>
      <w:r>
        <w:t xml:space="preserve">18.16 Case Study: Meridian DORA Testing Evidence</w:t>
      </w:r>
    </w:p>
    <w:p>
      <w:pPr>
        <w:numPr>
          <w:ilvl w:val="0"/>
          <w:numId w:val="1024"/>
        </w:numPr>
        <w:pStyle w:val="Compact"/>
      </w:pPr>
      <w:r>
        <w:t xml:space="preserve">18.17 Case Study: GlobalSync Tenant Assurance</w:t>
      </w:r>
    </w:p>
    <w:p>
      <w:pPr>
        <w:numPr>
          <w:ilvl w:val="0"/>
          <w:numId w:val="1024"/>
        </w:numPr>
        <w:pStyle w:val="Compact"/>
      </w:pPr>
      <w:r>
        <w:t xml:space="preserve">18.18 Assembling Evidence Packages</w:t>
      </w:r>
    </w:p>
    <w:p>
      <w:pPr>
        <w:numPr>
          <w:ilvl w:val="0"/>
          <w:numId w:val="1024"/>
        </w:numPr>
        <w:pStyle w:val="Compact"/>
      </w:pPr>
      <w:r>
        <w:t xml:space="preserve">18.19 Common Assurance Failures</w:t>
      </w:r>
    </w:p>
    <w:p>
      <w:pPr>
        <w:numPr>
          <w:ilvl w:val="0"/>
          <w:numId w:val="1024"/>
        </w:numPr>
        <w:pStyle w:val="Compact"/>
      </w:pPr>
      <w:r>
        <w:t xml:space="preserve">18.20 Cross-Reference Map</w:t>
      </w:r>
    </w:p>
    <w:p>
      <w:pPr>
        <w:numPr>
          <w:ilvl w:val="0"/>
          <w:numId w:val="1024"/>
        </w:numPr>
        <w:pStyle w:val="Compact"/>
      </w:pPr>
      <w:r>
        <w:t xml:space="preserve">18.21 Apply in Your Organisation</w:t>
      </w:r>
    </w:p>
    <w:p>
      <w:pPr>
        <w:numPr>
          <w:ilvl w:val="0"/>
          <w:numId w:val="1024"/>
        </w:numPr>
        <w:pStyle w:val="Compact"/>
      </w:pPr>
      <w:r>
        <w:t xml:space="preserve">18.22 Chapter Summary</w:t>
      </w:r>
    </w:p>
    <w:bookmarkEnd w:id="47"/>
    <w:bookmarkEnd w:id="48"/>
    <w:bookmarkStart w:id="54" w:name="part-vi-sector-playbooks-and-proof"/>
    <w:p>
      <w:pPr>
        <w:pStyle w:val="Heading2"/>
      </w:pPr>
      <w:r>
        <w:t xml:space="preserve">Part VI — Sector Playbooks and Proof</w:t>
      </w:r>
    </w:p>
    <w:p>
      <w:pPr>
        <w:pStyle w:val="FirstParagraph"/>
      </w:pPr>
      <w:r>
        <w:rPr>
          <w:iCs/>
          <w:i/>
        </w:rPr>
        <w:t xml:space="preserve">ARCS: Proof</w:t>
      </w:r>
    </w:p>
    <w:bookmarkStart w:id="49" w:name="introduction-5"/>
    <w:p>
      <w:pPr>
        <w:pStyle w:val="Heading3"/>
      </w:pPr>
      <w:r>
        <w:t xml:space="preserve">Introduction</w:t>
      </w:r>
    </w:p>
    <w:p>
      <w:pPr>
        <w:numPr>
          <w:ilvl w:val="0"/>
          <w:numId w:val="1025"/>
        </w:numPr>
        <w:pStyle w:val="Compact"/>
      </w:pPr>
      <w:r>
        <w:t xml:space="preserve">Introduction</w:t>
      </w:r>
    </w:p>
    <w:p>
      <w:pPr>
        <w:numPr>
          <w:ilvl w:val="0"/>
          <w:numId w:val="1025"/>
        </w:numPr>
        <w:pStyle w:val="Compact"/>
      </w:pPr>
      <w:r>
        <w:t xml:space="preserve">What Part VI Delivers</w:t>
      </w:r>
    </w:p>
    <w:p>
      <w:pPr>
        <w:numPr>
          <w:ilvl w:val="0"/>
          <w:numId w:val="1025"/>
        </w:numPr>
        <w:pStyle w:val="Compact"/>
      </w:pPr>
      <w:r>
        <w:t xml:space="preserve">ARCS and PQ-ADAPT Positioning</w:t>
      </w:r>
    </w:p>
    <w:p>
      <w:pPr>
        <w:numPr>
          <w:ilvl w:val="0"/>
          <w:numId w:val="1025"/>
        </w:numPr>
        <w:pStyle w:val="Compact"/>
      </w:pPr>
      <w:r>
        <w:t xml:space="preserve">Part VI Exit Artefacts</w:t>
      </w:r>
    </w:p>
    <w:p>
      <w:pPr>
        <w:numPr>
          <w:ilvl w:val="0"/>
          <w:numId w:val="1025"/>
        </w:numPr>
        <w:pStyle w:val="Compact"/>
      </w:pPr>
      <w:r>
        <w:t xml:space="preserve">Prerequisites</w:t>
      </w:r>
    </w:p>
    <w:p>
      <w:pPr>
        <w:numPr>
          <w:ilvl w:val="0"/>
          <w:numId w:val="1025"/>
        </w:numPr>
        <w:pStyle w:val="Compact"/>
      </w:pPr>
      <w:r>
        <w:t xml:space="preserve">Who Should Read Part VI</w:t>
      </w:r>
    </w:p>
    <w:p>
      <w:pPr>
        <w:numPr>
          <w:ilvl w:val="0"/>
          <w:numId w:val="1025"/>
        </w:numPr>
        <w:pStyle w:val="Compact"/>
      </w:pPr>
      <w:r>
        <w:t xml:space="preserve">The Teaching Organisations in Part VI</w:t>
      </w:r>
    </w:p>
    <w:p>
      <w:pPr>
        <w:numPr>
          <w:ilvl w:val="0"/>
          <w:numId w:val="1025"/>
        </w:numPr>
        <w:pStyle w:val="Compact"/>
      </w:pPr>
      <w:r>
        <w:t xml:space="preserve">What Part VI Is and Is Not</w:t>
      </w:r>
    </w:p>
    <w:p>
      <w:pPr>
        <w:numPr>
          <w:ilvl w:val="0"/>
          <w:numId w:val="1025"/>
        </w:numPr>
        <w:pStyle w:val="Compact"/>
      </w:pPr>
      <w:r>
        <w:t xml:space="preserve">How Part VI Connects to the Book Arc</w:t>
      </w:r>
    </w:p>
    <w:p>
      <w:pPr>
        <w:numPr>
          <w:ilvl w:val="0"/>
          <w:numId w:val="1025"/>
        </w:numPr>
        <w:pStyle w:val="Compact"/>
      </w:pPr>
      <w:r>
        <w:t xml:space="preserve">Suggested Reading Sequences</w:t>
      </w:r>
    </w:p>
    <w:p>
      <w:pPr>
        <w:numPr>
          <w:ilvl w:val="0"/>
          <w:numId w:val="1025"/>
        </w:numPr>
        <w:pStyle w:val="Compact"/>
      </w:pPr>
      <w:r>
        <w:t xml:space="preserve">Conventions</w:t>
      </w:r>
    </w:p>
    <w:bookmarkEnd w:id="49"/>
    <w:bookmarkStart w:id="50" w:name="chapter-19-financial-services-playbook"/>
    <w:p>
      <w:pPr>
        <w:pStyle w:val="Heading3"/>
      </w:pPr>
      <w:r>
        <w:t xml:space="preserve">Chapter 19 — Financial Services Playbook</w:t>
      </w:r>
    </w:p>
    <w:p>
      <w:pPr>
        <w:numPr>
          <w:ilvl w:val="0"/>
          <w:numId w:val="1026"/>
        </w:numPr>
        <w:pStyle w:val="Compact"/>
      </w:pPr>
      <w:r>
        <w:t xml:space="preserve">19.1 Why Financial Services Differs from Universal Migration</w:t>
      </w:r>
    </w:p>
    <w:p>
      <w:pPr>
        <w:numPr>
          <w:ilvl w:val="0"/>
          <w:numId w:val="1026"/>
        </w:numPr>
        <w:pStyle w:val="Compact"/>
      </w:pPr>
      <w:r>
        <w:t xml:space="preserve">19.2 Sector Overlay Matrix — Financial Services</w:t>
      </w:r>
    </w:p>
    <w:p>
      <w:pPr>
        <w:numPr>
          <w:ilvl w:val="0"/>
          <w:numId w:val="1026"/>
        </w:numPr>
        <w:pStyle w:val="Compact"/>
      </w:pPr>
      <w:r>
        <w:t xml:space="preserve">19.3 DORA-Aligned PQC Programme Architecture</w:t>
      </w:r>
    </w:p>
    <w:p>
      <w:pPr>
        <w:numPr>
          <w:ilvl w:val="0"/>
          <w:numId w:val="1026"/>
        </w:numPr>
        <w:pStyle w:val="Compact"/>
      </w:pPr>
      <w:r>
        <w:t xml:space="preserve">19.4 Payment HSM Certification Cycles</w:t>
      </w:r>
    </w:p>
    <w:p>
      <w:pPr>
        <w:numPr>
          <w:ilvl w:val="0"/>
          <w:numId w:val="1026"/>
        </w:numPr>
        <w:pStyle w:val="Compact"/>
      </w:pPr>
      <w:r>
        <w:t xml:space="preserve">19.5 PCI DSS 4.0 and Card Data Environments</w:t>
      </w:r>
    </w:p>
    <w:p>
      <w:pPr>
        <w:numPr>
          <w:ilvl w:val="0"/>
          <w:numId w:val="1026"/>
        </w:numPr>
        <w:pStyle w:val="Compact"/>
      </w:pPr>
      <w:r>
        <w:t xml:space="preserve">19.6 SWIFT and Market Infrastructure Dependencies</w:t>
      </w:r>
    </w:p>
    <w:p>
      <w:pPr>
        <w:numPr>
          <w:ilvl w:val="0"/>
          <w:numId w:val="1026"/>
        </w:numPr>
        <w:pStyle w:val="Compact"/>
      </w:pPr>
      <w:r>
        <w:t xml:space="preserve">19.7 Banking PQC Architecture Reference</w:t>
      </w:r>
    </w:p>
    <w:p>
      <w:pPr>
        <w:numPr>
          <w:ilvl w:val="0"/>
          <w:numId w:val="1026"/>
        </w:numPr>
        <w:pStyle w:val="Compact"/>
      </w:pPr>
      <w:r>
        <w:t xml:space="preserve">19.8 TRADE Rescoring and Wave Sequencing with SOM</w:t>
      </w:r>
    </w:p>
    <w:p>
      <w:pPr>
        <w:numPr>
          <w:ilvl w:val="0"/>
          <w:numId w:val="1026"/>
        </w:numPr>
        <w:pStyle w:val="Compact"/>
      </w:pPr>
      <w:r>
        <w:t xml:space="preserve">19.9 Third-Party and Payment Ecosystem Risk</w:t>
      </w:r>
    </w:p>
    <w:p>
      <w:pPr>
        <w:numPr>
          <w:ilvl w:val="0"/>
          <w:numId w:val="1026"/>
        </w:numPr>
        <w:pStyle w:val="Compact"/>
      </w:pPr>
      <w:r>
        <w:t xml:space="preserve">19.10 Assurance Integration for Financial Services</w:t>
      </w:r>
    </w:p>
    <w:p>
      <w:pPr>
        <w:numPr>
          <w:ilvl w:val="0"/>
          <w:numId w:val="1026"/>
        </w:numPr>
        <w:pStyle w:val="Compact"/>
      </w:pPr>
      <w:r>
        <w:t xml:space="preserve">19.11 Meridian Mutual Bank: Programme Arc Years 1–2</w:t>
      </w:r>
    </w:p>
    <w:p>
      <w:pPr>
        <w:numPr>
          <w:ilvl w:val="0"/>
          <w:numId w:val="1026"/>
        </w:numPr>
        <w:pStyle w:val="Compact"/>
      </w:pPr>
      <w:r>
        <w:t xml:space="preserve">19.12 DORA Examination Evidence Pack Structure</w:t>
      </w:r>
    </w:p>
    <w:p>
      <w:pPr>
        <w:numPr>
          <w:ilvl w:val="0"/>
          <w:numId w:val="1026"/>
        </w:numPr>
        <w:pStyle w:val="Compact"/>
      </w:pPr>
      <w:r>
        <w:t xml:space="preserve">19.13 Cross-Reference Index</w:t>
      </w:r>
    </w:p>
    <w:p>
      <w:pPr>
        <w:numPr>
          <w:ilvl w:val="0"/>
          <w:numId w:val="1026"/>
        </w:numPr>
        <w:pStyle w:val="Compact"/>
      </w:pPr>
      <w:r>
        <w:t xml:space="preserve">19.14 Apply in Your Organisation</w:t>
      </w:r>
    </w:p>
    <w:p>
      <w:pPr>
        <w:numPr>
          <w:ilvl w:val="0"/>
          <w:numId w:val="1026"/>
        </w:numPr>
        <w:pStyle w:val="Compact"/>
      </w:pPr>
      <w:r>
        <w:t xml:space="preserve">19.15 Chapter Summary</w:t>
      </w:r>
    </w:p>
    <w:bookmarkEnd w:id="50"/>
    <w:bookmarkStart w:id="51" w:name="X06c4b687d412f8b20832d06d85a17735dafeabe"/>
    <w:p>
      <w:pPr>
        <w:pStyle w:val="Heading3"/>
      </w:pPr>
      <w:r>
        <w:t xml:space="preserve">Chapter 20 — Defense, Government, and Critical Infrastructure</w:t>
      </w:r>
    </w:p>
    <w:p>
      <w:pPr>
        <w:numPr>
          <w:ilvl w:val="0"/>
          <w:numId w:val="1027"/>
        </w:numPr>
        <w:pStyle w:val="Compact"/>
      </w:pPr>
      <w:r>
        <w:t xml:space="preserve">20.1 Sector Context and the Central Argument</w:t>
      </w:r>
    </w:p>
    <w:p>
      <w:pPr>
        <w:numPr>
          <w:ilvl w:val="0"/>
          <w:numId w:val="1027"/>
        </w:numPr>
        <w:pStyle w:val="Compact"/>
      </w:pPr>
      <w:r>
        <w:t xml:space="preserve">20.2 CNSA 2.0: The Defence Cryptographic Floor</w:t>
      </w:r>
    </w:p>
    <w:p>
      <w:pPr>
        <w:numPr>
          <w:ilvl w:val="0"/>
          <w:numId w:val="1027"/>
        </w:numPr>
        <w:pStyle w:val="Compact"/>
      </w:pPr>
      <w:r>
        <w:t xml:space="preserve">20.3 National Security Systems versus the Defence Industrial Base</w:t>
      </w:r>
    </w:p>
    <w:p>
      <w:pPr>
        <w:numPr>
          <w:ilvl w:val="0"/>
          <w:numId w:val="1027"/>
        </w:numPr>
        <w:pStyle w:val="Compact"/>
      </w:pPr>
      <w:r>
        <w:t xml:space="preserve">20.4 Classified and Unclassified Cryptographic Boundaries</w:t>
      </w:r>
    </w:p>
    <w:p>
      <w:pPr>
        <w:numPr>
          <w:ilvl w:val="0"/>
          <w:numId w:val="1027"/>
        </w:numPr>
        <w:pStyle w:val="Compact"/>
      </w:pPr>
      <w:r>
        <w:t xml:space="preserve">20.5 CMMC, FedRAMP, and Dual Compliance Architecture</w:t>
      </w:r>
    </w:p>
    <w:p>
      <w:pPr>
        <w:numPr>
          <w:ilvl w:val="0"/>
          <w:numId w:val="1027"/>
        </w:numPr>
        <w:pStyle w:val="Compact"/>
      </w:pPr>
      <w:r>
        <w:t xml:space="preserve">20.6 Sector Overlay Matrix — Defense, Government, and Critical Infrastructure</w:t>
      </w:r>
    </w:p>
    <w:p>
      <w:pPr>
        <w:numPr>
          <w:ilvl w:val="0"/>
          <w:numId w:val="1027"/>
        </w:numPr>
        <w:pStyle w:val="Compact"/>
      </w:pPr>
      <w:r>
        <w:t xml:space="preserve">20.7 TRADE Weight Modifications and Wave Sequencing</w:t>
      </w:r>
    </w:p>
    <w:p>
      <w:pPr>
        <w:numPr>
          <w:ilvl w:val="0"/>
          <w:numId w:val="1027"/>
        </w:numPr>
        <w:pStyle w:val="Compact"/>
      </w:pPr>
      <w:r>
        <w:t xml:space="preserve">20.8 Critical Infrastructure: OT Continuity Constraints</w:t>
      </w:r>
    </w:p>
    <w:p>
      <w:pPr>
        <w:numPr>
          <w:ilvl w:val="0"/>
          <w:numId w:val="1027"/>
        </w:numPr>
        <w:pStyle w:val="Compact"/>
      </w:pPr>
      <w:r>
        <w:t xml:space="preserve">20.9 OT/IT Convergence and Cryptographic Divergence</w:t>
      </w:r>
    </w:p>
    <w:p>
      <w:pPr>
        <w:numPr>
          <w:ilvl w:val="0"/>
          <w:numId w:val="1027"/>
        </w:numPr>
        <w:pStyle w:val="Compact"/>
      </w:pPr>
      <w:r>
        <w:t xml:space="preserve">20.10 NERC CIP, TSA, and CISA for US Critical Infrastructure</w:t>
      </w:r>
    </w:p>
    <w:p>
      <w:pPr>
        <w:numPr>
          <w:ilvl w:val="0"/>
          <w:numId w:val="1027"/>
        </w:numPr>
        <w:pStyle w:val="Compact"/>
      </w:pPr>
      <w:r>
        <w:t xml:space="preserve">20.11 Air-Gapped Signing and Long-Lived Asset Protection</w:t>
      </w:r>
    </w:p>
    <w:p>
      <w:pPr>
        <w:numPr>
          <w:ilvl w:val="0"/>
          <w:numId w:val="1027"/>
        </w:numPr>
        <w:pStyle w:val="Compact"/>
      </w:pPr>
      <w:r>
        <w:t xml:space="preserve">20.12 Firmware and Protocol Transition in OT Context</w:t>
      </w:r>
    </w:p>
    <w:p>
      <w:pPr>
        <w:numPr>
          <w:ilvl w:val="0"/>
          <w:numId w:val="1027"/>
        </w:numPr>
        <w:pStyle w:val="Compact"/>
      </w:pPr>
      <w:r>
        <w:t xml:space="preserve">20.13 HSM Partition Strategy (Chapter 14 Cross-Reference)</w:t>
      </w:r>
    </w:p>
    <w:p>
      <w:pPr>
        <w:numPr>
          <w:ilvl w:val="0"/>
          <w:numId w:val="1027"/>
        </w:numPr>
        <w:pStyle w:val="Compact"/>
      </w:pPr>
      <w:r>
        <w:t xml:space="preserve">20.14 Assurance and Evidence Packages (Chapter 18 Cross-Reference)</w:t>
      </w:r>
    </w:p>
    <w:p>
      <w:pPr>
        <w:numPr>
          <w:ilvl w:val="0"/>
          <w:numId w:val="1027"/>
        </w:numPr>
        <w:pStyle w:val="Compact"/>
      </w:pPr>
      <w:r>
        <w:t xml:space="preserve">20.15 Case Study: Apex Defense Technologies — Year 2 Arc</w:t>
      </w:r>
    </w:p>
    <w:p>
      <w:pPr>
        <w:numPr>
          <w:ilvl w:val="0"/>
          <w:numId w:val="1027"/>
        </w:numPr>
        <w:pStyle w:val="Compact"/>
      </w:pPr>
      <w:r>
        <w:t xml:space="preserve">20.16 Case Study: Northfield Energy Systems — Year 2 Arc</w:t>
      </w:r>
    </w:p>
    <w:p>
      <w:pPr>
        <w:numPr>
          <w:ilvl w:val="0"/>
          <w:numId w:val="1027"/>
        </w:numPr>
        <w:pStyle w:val="Compact"/>
      </w:pPr>
      <w:r>
        <w:t xml:space="preserve">20.17 Unifying Defence and CII Programmes Without Duplication</w:t>
      </w:r>
    </w:p>
    <w:p>
      <w:pPr>
        <w:numPr>
          <w:ilvl w:val="0"/>
          <w:numId w:val="1027"/>
        </w:numPr>
        <w:pStyle w:val="Compact"/>
      </w:pPr>
      <w:r>
        <w:t xml:space="preserve">20.18 Common Sector Failure Modes</w:t>
      </w:r>
    </w:p>
    <w:p>
      <w:pPr>
        <w:numPr>
          <w:ilvl w:val="0"/>
          <w:numId w:val="1027"/>
        </w:numPr>
        <w:pStyle w:val="Compact"/>
      </w:pPr>
      <w:r>
        <w:t xml:space="preserve">20.19 Cross-Reference Map</w:t>
      </w:r>
    </w:p>
    <w:p>
      <w:pPr>
        <w:numPr>
          <w:ilvl w:val="0"/>
          <w:numId w:val="1027"/>
        </w:numPr>
        <w:pStyle w:val="Compact"/>
      </w:pPr>
      <w:r>
        <w:t xml:space="preserve">20.20 Apply in Your Organisation</w:t>
      </w:r>
    </w:p>
    <w:p>
      <w:pPr>
        <w:numPr>
          <w:ilvl w:val="0"/>
          <w:numId w:val="1027"/>
        </w:numPr>
        <w:pStyle w:val="Compact"/>
      </w:pPr>
      <w:r>
        <w:t xml:space="preserve">20.21 Chapter Summary</w:t>
      </w:r>
    </w:p>
    <w:bookmarkEnd w:id="51"/>
    <w:bookmarkStart w:id="52" w:name="Xb0dfaf5a796de4456f791b2dba2638255de8578"/>
    <w:p>
      <w:pPr>
        <w:pStyle w:val="Heading3"/>
      </w:pPr>
      <w:r>
        <w:t xml:space="preserve">Chapter 21 — Cloud, SaaS, and Multinational Compliance</w:t>
      </w:r>
    </w:p>
    <w:p>
      <w:pPr>
        <w:numPr>
          <w:ilvl w:val="0"/>
          <w:numId w:val="1028"/>
        </w:numPr>
        <w:pStyle w:val="Compact"/>
      </w:pPr>
      <w:r>
        <w:t xml:space="preserve">21.1 Sector Overlay: SaaS and Platform Economics</w:t>
      </w:r>
    </w:p>
    <w:p>
      <w:pPr>
        <w:numPr>
          <w:ilvl w:val="0"/>
          <w:numId w:val="1028"/>
        </w:numPr>
        <w:pStyle w:val="Compact"/>
      </w:pPr>
      <w:r>
        <w:t xml:space="preserve">21.2 ARCS Proof and PQ-ADAPT Positioning</w:t>
      </w:r>
    </w:p>
    <w:p>
      <w:pPr>
        <w:numPr>
          <w:ilvl w:val="0"/>
          <w:numId w:val="1028"/>
        </w:numPr>
        <w:pStyle w:val="Compact"/>
      </w:pPr>
      <w:r>
        <w:t xml:space="preserve">21.3 Multi-Tenant PQC Architecture</w:t>
      </w:r>
    </w:p>
    <w:p>
      <w:pPr>
        <w:numPr>
          <w:ilvl w:val="0"/>
          <w:numId w:val="1028"/>
        </w:numPr>
        <w:pStyle w:val="Compact"/>
      </w:pPr>
      <w:r>
        <w:t xml:space="preserve">21.4 Shared Responsibility Model</w:t>
      </w:r>
    </w:p>
    <w:p>
      <w:pPr>
        <w:numPr>
          <w:ilvl w:val="0"/>
          <w:numId w:val="1028"/>
        </w:numPr>
        <w:pStyle w:val="Compact"/>
      </w:pPr>
      <w:r>
        <w:t xml:space="preserve">21.5 BYOK, HYOK, and Tenant Key Custody</w:t>
      </w:r>
    </w:p>
    <w:p>
      <w:pPr>
        <w:numPr>
          <w:ilvl w:val="0"/>
          <w:numId w:val="1028"/>
        </w:numPr>
        <w:pStyle w:val="Compact"/>
      </w:pPr>
      <w:r>
        <w:t xml:space="preserve">21.6 Cloud Provider Capability Comparison Framework</w:t>
      </w:r>
    </w:p>
    <w:p>
      <w:pPr>
        <w:numPr>
          <w:ilvl w:val="0"/>
          <w:numId w:val="1028"/>
        </w:numPr>
        <w:pStyle w:val="Compact"/>
      </w:pPr>
      <w:r>
        <w:t xml:space="preserve">21.7 Three-Region Programme Design</w:t>
      </w:r>
    </w:p>
    <w:p>
      <w:pPr>
        <w:numPr>
          <w:ilvl w:val="0"/>
          <w:numId w:val="1028"/>
        </w:numPr>
        <w:pStyle w:val="Compact"/>
      </w:pPr>
      <w:r>
        <w:t xml:space="preserve">21.8 GDPR Cross-Border Evidence</w:t>
      </w:r>
    </w:p>
    <w:p>
      <w:pPr>
        <w:numPr>
          <w:ilvl w:val="0"/>
          <w:numId w:val="1028"/>
        </w:numPr>
        <w:pStyle w:val="Compact"/>
      </w:pPr>
      <w:r>
        <w:t xml:space="preserve">21.9 CI/CD Gates and Platform Engineering Integration</w:t>
      </w:r>
    </w:p>
    <w:p>
      <w:pPr>
        <w:numPr>
          <w:ilvl w:val="0"/>
          <w:numId w:val="1028"/>
        </w:numPr>
        <w:pStyle w:val="Compact"/>
      </w:pPr>
      <w:r>
        <w:t xml:space="preserve">21.10 Procurement, Tenant Contracts, and Cloud Concentration</w:t>
      </w:r>
    </w:p>
    <w:p>
      <w:pPr>
        <w:numPr>
          <w:ilvl w:val="0"/>
          <w:numId w:val="1028"/>
        </w:numPr>
        <w:pStyle w:val="Compact"/>
      </w:pPr>
      <w:r>
        <w:t xml:space="preserve">21.11 TRADE, Wave Planning, and Partner Ecosystem</w:t>
      </w:r>
    </w:p>
    <w:p>
      <w:pPr>
        <w:numPr>
          <w:ilvl w:val="0"/>
          <w:numId w:val="1028"/>
        </w:numPr>
        <w:pStyle w:val="Compact"/>
      </w:pPr>
      <w:r>
        <w:t xml:space="preserve">21.12 Tenant Assurance Packs and Year 2–3 Programme Arc</w:t>
      </w:r>
    </w:p>
    <w:p>
      <w:pPr>
        <w:numPr>
          <w:ilvl w:val="0"/>
          <w:numId w:val="1028"/>
        </w:numPr>
        <w:pStyle w:val="Compact"/>
      </w:pPr>
      <w:r>
        <w:t xml:space="preserve">21.13 Sector Overlay Summary Table</w:t>
      </w:r>
    </w:p>
    <w:p>
      <w:pPr>
        <w:numPr>
          <w:ilvl w:val="0"/>
          <w:numId w:val="1028"/>
        </w:numPr>
        <w:pStyle w:val="Compact"/>
      </w:pPr>
      <w:r>
        <w:t xml:space="preserve">21.14 Integration with Prior Chapters</w:t>
      </w:r>
    </w:p>
    <w:p>
      <w:pPr>
        <w:numPr>
          <w:ilvl w:val="0"/>
          <w:numId w:val="1028"/>
        </w:numPr>
        <w:pStyle w:val="Compact"/>
      </w:pPr>
      <w:r>
        <w:t xml:space="preserve">21.15 Figure Production Briefs</w:t>
      </w:r>
    </w:p>
    <w:p>
      <w:pPr>
        <w:numPr>
          <w:ilvl w:val="0"/>
          <w:numId w:val="1028"/>
        </w:numPr>
        <w:pStyle w:val="Compact"/>
      </w:pPr>
      <w:r>
        <w:t xml:space="preserve">21.16 Apply in Your Organisation</w:t>
      </w:r>
    </w:p>
    <w:p>
      <w:pPr>
        <w:numPr>
          <w:ilvl w:val="0"/>
          <w:numId w:val="1028"/>
        </w:numPr>
        <w:pStyle w:val="Compact"/>
      </w:pPr>
      <w:r>
        <w:t xml:space="preserve">21.17 Chapter Summary</w:t>
      </w:r>
    </w:p>
    <w:bookmarkEnd w:id="52"/>
    <w:bookmarkStart w:id="53" w:name="chapter-22-sustaining-quantum-resilience"/>
    <w:p>
      <w:pPr>
        <w:pStyle w:val="Heading3"/>
      </w:pPr>
      <w:r>
        <w:t xml:space="preserve">Chapter 22 — Sustaining Quantum Resilience</w:t>
      </w:r>
    </w:p>
    <w:p>
      <w:pPr>
        <w:numPr>
          <w:ilvl w:val="0"/>
          <w:numId w:val="1029"/>
        </w:numPr>
        <w:pStyle w:val="Compact"/>
      </w:pPr>
      <w:r>
        <w:t xml:space="preserve">22.1 Migration Ends in Capability, Not Deployment</w:t>
      </w:r>
    </w:p>
    <w:p>
      <w:pPr>
        <w:numPr>
          <w:ilvl w:val="0"/>
          <w:numId w:val="1029"/>
        </w:numPr>
        <w:pStyle w:val="Compact"/>
      </w:pPr>
      <w:r>
        <w:t xml:space="preserve">22.2 ARCS Synthesis: From Awareness to Sustained Proof</w:t>
      </w:r>
    </w:p>
    <w:p>
      <w:pPr>
        <w:numPr>
          <w:ilvl w:val="0"/>
          <w:numId w:val="1029"/>
        </w:numPr>
        <w:pStyle w:val="Compact"/>
      </w:pPr>
      <w:r>
        <w:t xml:space="preserve">22.3 PQ-ADAPT Levels 4 and 5: Transitioning to Quantum-Resilient</w:t>
      </w:r>
    </w:p>
    <w:p>
      <w:pPr>
        <w:numPr>
          <w:ilvl w:val="0"/>
          <w:numId w:val="1029"/>
        </w:numPr>
        <w:pStyle w:val="Compact"/>
      </w:pPr>
      <w:r>
        <w:t xml:space="preserve">22.4 PQ-ADAPT Full Maturity Model</w:t>
      </w:r>
    </w:p>
    <w:p>
      <w:pPr>
        <w:numPr>
          <w:ilvl w:val="0"/>
          <w:numId w:val="1029"/>
        </w:numPr>
        <w:pStyle w:val="Compact"/>
      </w:pPr>
      <w:r>
        <w:t xml:space="preserve">22.5 The Continuous Quantum Resilience Loop</w:t>
      </w:r>
    </w:p>
    <w:p>
      <w:pPr>
        <w:numPr>
          <w:ilvl w:val="0"/>
          <w:numId w:val="1029"/>
        </w:numPr>
        <w:pStyle w:val="Compact"/>
      </w:pPr>
      <w:r>
        <w:t xml:space="preserve">22.6 Organisational Learning Loops</w:t>
      </w:r>
    </w:p>
    <w:p>
      <w:pPr>
        <w:numPr>
          <w:ilvl w:val="0"/>
          <w:numId w:val="1029"/>
        </w:numPr>
        <w:pStyle w:val="Compact"/>
      </w:pPr>
      <w:r>
        <w:t xml:space="preserve">22.7 Standards Watch and Horizon Management</w:t>
      </w:r>
    </w:p>
    <w:p>
      <w:pPr>
        <w:numPr>
          <w:ilvl w:val="0"/>
          <w:numId w:val="1029"/>
        </w:numPr>
        <w:pStyle w:val="Compact"/>
      </w:pPr>
      <w:r>
        <w:t xml:space="preserve">22.8 FN-DSA and HQC Contingency Planning</w:t>
      </w:r>
    </w:p>
    <w:p>
      <w:pPr>
        <w:numPr>
          <w:ilvl w:val="0"/>
          <w:numId w:val="1029"/>
        </w:numPr>
        <w:pStyle w:val="Compact"/>
      </w:pPr>
      <w:r>
        <w:t xml:space="preserve">22.9 Year 3 Retrospective: Four Organisations</w:t>
      </w:r>
    </w:p>
    <w:p>
      <w:pPr>
        <w:numPr>
          <w:ilvl w:val="0"/>
          <w:numId w:val="1029"/>
        </w:numPr>
        <w:pStyle w:val="Compact"/>
      </w:pPr>
      <w:r>
        <w:t xml:space="preserve">22.10 Lessons Learned Synthesis Across Four Cases</w:t>
      </w:r>
    </w:p>
    <w:p>
      <w:pPr>
        <w:numPr>
          <w:ilvl w:val="0"/>
          <w:numId w:val="1029"/>
        </w:numPr>
        <w:pStyle w:val="Compact"/>
      </w:pPr>
      <w:r>
        <w:t xml:space="preserve">22.11 Sustaining the Governance Stack at Level 5</w:t>
      </w:r>
    </w:p>
    <w:p>
      <w:pPr>
        <w:numPr>
          <w:ilvl w:val="0"/>
          <w:numId w:val="1029"/>
        </w:numPr>
        <w:pStyle w:val="Compact"/>
      </w:pPr>
      <w:r>
        <w:t xml:space="preserve">22.12 CRQC Timeline Updates Without Panic or Complacency</w:t>
      </w:r>
    </w:p>
    <w:p>
      <w:pPr>
        <w:numPr>
          <w:ilvl w:val="0"/>
          <w:numId w:val="1029"/>
        </w:numPr>
        <w:pStyle w:val="Compact"/>
      </w:pPr>
      <w:r>
        <w:t xml:space="preserve">22.13 Apply in Your Organisation</w:t>
      </w:r>
    </w:p>
    <w:p>
      <w:pPr>
        <w:numPr>
          <w:ilvl w:val="0"/>
          <w:numId w:val="1029"/>
        </w:numPr>
        <w:pStyle w:val="Compact"/>
      </w:pPr>
      <w:r>
        <w:t xml:space="preserve">22.14 Chapter Summary</w:t>
      </w:r>
    </w:p>
    <w:bookmarkEnd w:id="53"/>
    <w:bookmarkEnd w:id="54"/>
    <w:bookmarkStart w:id="60" w:name="appendices"/>
    <w:p>
      <w:pPr>
        <w:pStyle w:val="Heading2"/>
      </w:pPr>
      <w:r>
        <w:t xml:space="preserve">Appendices</w:t>
      </w:r>
    </w:p>
    <w:bookmarkStart w:id="55" w:name="appendix-a-cbom-and-cdg-templates"/>
    <w:p>
      <w:pPr>
        <w:pStyle w:val="Heading3"/>
      </w:pPr>
      <w:r>
        <w:t xml:space="preserve">Appendix A — CBOM and CDG Templates</w:t>
      </w:r>
    </w:p>
    <w:p>
      <w:pPr>
        <w:numPr>
          <w:ilvl w:val="0"/>
          <w:numId w:val="1030"/>
        </w:numPr>
        <w:pStyle w:val="Compact"/>
      </w:pPr>
      <w:r>
        <w:t xml:space="preserve">CycloneDX-Aligned Programme Artefacts</w:t>
      </w:r>
    </w:p>
    <w:p>
      <w:pPr>
        <w:numPr>
          <w:ilvl w:val="0"/>
          <w:numId w:val="1030"/>
        </w:numPr>
        <w:pStyle w:val="Compact"/>
      </w:pPr>
      <w:r>
        <w:t xml:space="preserve">A.1 CBOM Programme Minimum Schema</w:t>
      </w:r>
    </w:p>
    <w:p>
      <w:pPr>
        <w:numPr>
          <w:ilvl w:val="0"/>
          <w:numId w:val="1030"/>
        </w:numPr>
        <w:pStyle w:val="Compact"/>
      </w:pPr>
      <w:r>
        <w:t xml:space="preserve">A.2 CycloneDX CBOM Export Example (Illustrative)</w:t>
      </w:r>
    </w:p>
    <w:p>
      <w:pPr>
        <w:numPr>
          <w:ilvl w:val="0"/>
          <w:numId w:val="1030"/>
        </w:numPr>
        <w:pStyle w:val="Compact"/>
      </w:pPr>
      <w:r>
        <w:t xml:space="preserve">A.3 CBOM Quality Scorecard Template</w:t>
      </w:r>
    </w:p>
    <w:p>
      <w:pPr>
        <w:numPr>
          <w:ilvl w:val="0"/>
          <w:numId w:val="1030"/>
        </w:numPr>
        <w:pStyle w:val="Compact"/>
      </w:pPr>
      <w:r>
        <w:t xml:space="preserve">A.4 CDG Node and Edge Schema</w:t>
      </w:r>
    </w:p>
    <w:p>
      <w:pPr>
        <w:numPr>
          <w:ilvl w:val="0"/>
          <w:numId w:val="1030"/>
        </w:numPr>
        <w:pStyle w:val="Compact"/>
      </w:pPr>
      <w:r>
        <w:t xml:space="preserve">A.5 CDG JSON Graph Export Example (Illustrative)</w:t>
      </w:r>
    </w:p>
    <w:p>
      <w:pPr>
        <w:numPr>
          <w:ilvl w:val="0"/>
          <w:numId w:val="1030"/>
        </w:numPr>
        <w:pStyle w:val="Compact"/>
      </w:pPr>
      <w:r>
        <w:t xml:space="preserve">A.6 Blocking Node Register Template</w:t>
      </w:r>
    </w:p>
    <w:p>
      <w:pPr>
        <w:numPr>
          <w:ilvl w:val="0"/>
          <w:numId w:val="1030"/>
        </w:numPr>
        <w:pStyle w:val="Compact"/>
      </w:pPr>
      <w:r>
        <w:t xml:space="preserve">A.7 CDG Construction Worksheet (Phase A–D)</w:t>
      </w:r>
    </w:p>
    <w:p>
      <w:pPr>
        <w:numPr>
          <w:ilvl w:val="0"/>
          <w:numId w:val="1030"/>
        </w:numPr>
        <w:pStyle w:val="Compact"/>
      </w:pPr>
      <w:r>
        <w:t xml:space="preserve">A.8 Merge Rules: CBOM ↔ CDG</w:t>
      </w:r>
    </w:p>
    <w:p>
      <w:pPr>
        <w:numPr>
          <w:ilvl w:val="0"/>
          <w:numId w:val="1030"/>
        </w:numPr>
        <w:pStyle w:val="Compact"/>
      </w:pPr>
      <w:r>
        <w:t xml:space="preserve">A.9 Access Control and Classification</w:t>
      </w:r>
    </w:p>
    <w:bookmarkEnd w:id="55"/>
    <w:bookmarkStart w:id="56" w:name="X09b833aff71dcb5a8ae1b4a7620b6b46ca658fc"/>
    <w:p>
      <w:pPr>
        <w:pStyle w:val="Heading3"/>
      </w:pPr>
      <w:r>
        <w:t xml:space="preserve">Appendix B — PQ-ADAPT Self-Assessment Questionnaire</w:t>
      </w:r>
    </w:p>
    <w:p>
      <w:pPr>
        <w:numPr>
          <w:ilvl w:val="0"/>
          <w:numId w:val="1031"/>
        </w:numPr>
        <w:pStyle w:val="Compact"/>
      </w:pPr>
      <w:r>
        <w:t xml:space="preserve">Maturity Assessment with Evidence Index</w:t>
      </w:r>
    </w:p>
    <w:p>
      <w:pPr>
        <w:numPr>
          <w:ilvl w:val="0"/>
          <w:numId w:val="1031"/>
        </w:numPr>
        <w:pStyle w:val="Compact"/>
      </w:pPr>
      <w:r>
        <w:t xml:space="preserve">B.1 Assessment Metadata</w:t>
      </w:r>
    </w:p>
    <w:p>
      <w:pPr>
        <w:numPr>
          <w:ilvl w:val="0"/>
          <w:numId w:val="1031"/>
        </w:numPr>
        <w:pStyle w:val="Compact"/>
      </w:pPr>
      <w:r>
        <w:t xml:space="preserve">B.2 Level 0 → Level 1 (</w:t>
      </w:r>
      <w:r>
        <w:rPr>
          <w:iCs/>
          <w:i/>
        </w:rPr>
        <w:t xml:space="preserve">Unaware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Alerted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B.3 Level 1 → Level 2 (</w:t>
      </w:r>
      <w:r>
        <w:rPr>
          <w:iCs/>
          <w:i/>
        </w:rPr>
        <w:t xml:space="preserve">Alerted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Inventoried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B.4 Level 2 → Level 3 (</w:t>
      </w:r>
      <w:r>
        <w:rPr>
          <w:iCs/>
          <w:i/>
        </w:rPr>
        <w:t xml:space="preserve">Inventoried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Architected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B.5 Level 3 → Level 4 (</w:t>
      </w:r>
      <w:r>
        <w:rPr>
          <w:iCs/>
          <w:i/>
        </w:rPr>
        <w:t xml:space="preserve">Architected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Transitioning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B.6 Level 4 → Level 5 (</w:t>
      </w:r>
      <w:r>
        <w:rPr>
          <w:iCs/>
          <w:i/>
        </w:rPr>
        <w:t xml:space="preserve">Transitioning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Quantum-Resilient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B.7 Zone Aggregation Worksheet</w:t>
      </w:r>
    </w:p>
    <w:p>
      <w:pPr>
        <w:numPr>
          <w:ilvl w:val="0"/>
          <w:numId w:val="1031"/>
        </w:numPr>
        <w:pStyle w:val="Compact"/>
      </w:pPr>
      <w:r>
        <w:t xml:space="preserve">B.8 Evidence Index Template</w:t>
      </w:r>
    </w:p>
    <w:p>
      <w:pPr>
        <w:numPr>
          <w:ilvl w:val="0"/>
          <w:numId w:val="1031"/>
        </w:numPr>
        <w:pStyle w:val="Compact"/>
      </w:pPr>
      <w:r>
        <w:t xml:space="preserve">B.9 Assessor Attestation</w:t>
      </w:r>
    </w:p>
    <w:bookmarkEnd w:id="56"/>
    <w:bookmarkStart w:id="57" w:name="appendix-c-regulatory-mapping-matrix"/>
    <w:p>
      <w:pPr>
        <w:pStyle w:val="Heading3"/>
      </w:pPr>
      <w:r>
        <w:t xml:space="preserve">Appendix C — Regulatory Mapping Matrix</w:t>
      </w:r>
    </w:p>
    <w:p>
      <w:pPr>
        <w:numPr>
          <w:ilvl w:val="0"/>
          <w:numId w:val="1032"/>
        </w:numPr>
        <w:pStyle w:val="Compact"/>
      </w:pPr>
      <w:r>
        <w:t xml:space="preserve">DORA, NIS2, GDPR, PCI, and US Federal Overlays</w:t>
      </w:r>
    </w:p>
    <w:p>
      <w:pPr>
        <w:numPr>
          <w:ilvl w:val="0"/>
          <w:numId w:val="1032"/>
        </w:numPr>
        <w:pStyle w:val="Compact"/>
      </w:pPr>
      <w:r>
        <w:t xml:space="preserve">C.1 Matrix Structure</w:t>
      </w:r>
    </w:p>
    <w:p>
      <w:pPr>
        <w:numPr>
          <w:ilvl w:val="0"/>
          <w:numId w:val="1032"/>
        </w:numPr>
        <w:pStyle w:val="Compact"/>
      </w:pPr>
      <w:r>
        <w:t xml:space="preserve">C.2 Programme Artefact × Regulatory Instrument Matrix</w:t>
      </w:r>
    </w:p>
    <w:p>
      <w:pPr>
        <w:numPr>
          <w:ilvl w:val="0"/>
          <w:numId w:val="1032"/>
        </w:numPr>
        <w:pStyle w:val="Compact"/>
      </w:pPr>
      <w:r>
        <w:t xml:space="preserve">C.3 Jurisdiction Overlay Annotation Template</w:t>
      </w:r>
    </w:p>
    <w:p>
      <w:pPr>
        <w:numPr>
          <w:ilvl w:val="0"/>
          <w:numId w:val="1032"/>
        </w:numPr>
        <w:pStyle w:val="Compact"/>
      </w:pPr>
      <w:r>
        <w:t xml:space="preserve">C.4 Supervisory Examination Question Map (Financial Services)</w:t>
      </w:r>
    </w:p>
    <w:p>
      <w:pPr>
        <w:numPr>
          <w:ilvl w:val="0"/>
          <w:numId w:val="1032"/>
        </w:numPr>
        <w:pStyle w:val="Compact"/>
      </w:pPr>
      <w:r>
        <w:t xml:space="preserve">C.5 Regulatory Supplements</w:t>
      </w:r>
    </w:p>
    <w:p>
      <w:pPr>
        <w:numPr>
          <w:ilvl w:val="0"/>
          <w:numId w:val="1032"/>
        </w:numPr>
        <w:pStyle w:val="Compact"/>
      </w:pPr>
      <w:r>
        <w:t xml:space="preserve">C.6 Matrix Maintenance Cadence</w:t>
      </w:r>
    </w:p>
    <w:bookmarkEnd w:id="57"/>
    <w:bookmarkStart w:id="58" w:name="X9c35a603b055f36dffd4091251a0078c1d46a45"/>
    <w:p>
      <w:pPr>
        <w:pStyle w:val="Heading3"/>
      </w:pPr>
      <w:r>
        <w:t xml:space="preserve">Appendix D — Migration Programme Charter Template</w:t>
      </w:r>
    </w:p>
    <w:p>
      <w:pPr>
        <w:numPr>
          <w:ilvl w:val="0"/>
          <w:numId w:val="1033"/>
        </w:numPr>
        <w:pStyle w:val="Compact"/>
      </w:pPr>
      <w:r>
        <w:t xml:space="preserve">Board-Approved Programme Authority Document</w:t>
      </w:r>
    </w:p>
    <w:p>
      <w:pPr>
        <w:numPr>
          <w:ilvl w:val="0"/>
          <w:numId w:val="1033"/>
        </w:numPr>
        <w:pStyle w:val="Compact"/>
      </w:pPr>
      <w:r>
        <w:t xml:space="preserve">D.1 Charter Cover Sheet</w:t>
      </w:r>
    </w:p>
    <w:p>
      <w:pPr>
        <w:numPr>
          <w:ilvl w:val="0"/>
          <w:numId w:val="1033"/>
        </w:numPr>
        <w:pStyle w:val="Compact"/>
      </w:pPr>
      <w:r>
        <w:t xml:space="preserve">D.2 Section 1 — Purpose and Scope</w:t>
      </w:r>
    </w:p>
    <w:p>
      <w:pPr>
        <w:numPr>
          <w:ilvl w:val="0"/>
          <w:numId w:val="1033"/>
        </w:numPr>
        <w:pStyle w:val="Compact"/>
      </w:pPr>
      <w:r>
        <w:t xml:space="preserve">D.3 Section 2 — Regulatory and Sector Overlay</w:t>
      </w:r>
    </w:p>
    <w:p>
      <w:pPr>
        <w:numPr>
          <w:ilvl w:val="0"/>
          <w:numId w:val="1033"/>
        </w:numPr>
        <w:pStyle w:val="Compact"/>
      </w:pPr>
      <w:r>
        <w:t xml:space="preserve">D.4 Section 3 — Organisational Authority</w:t>
      </w:r>
    </w:p>
    <w:p>
      <w:pPr>
        <w:numPr>
          <w:ilvl w:val="0"/>
          <w:numId w:val="1033"/>
        </w:numPr>
        <w:pStyle w:val="Compact"/>
      </w:pPr>
      <w:r>
        <w:t xml:space="preserve">D.5 Section 4 — Governance Structure</w:t>
      </w:r>
    </w:p>
    <w:p>
      <w:pPr>
        <w:numPr>
          <w:ilvl w:val="0"/>
          <w:numId w:val="1033"/>
        </w:numPr>
        <w:pStyle w:val="Compact"/>
      </w:pPr>
      <w:r>
        <w:t xml:space="preserve">D.6 Section 5 — Wave Plan and Dependencies</w:t>
      </w:r>
    </w:p>
    <w:p>
      <w:pPr>
        <w:numPr>
          <w:ilvl w:val="0"/>
          <w:numId w:val="1033"/>
        </w:numPr>
        <w:pStyle w:val="Compact"/>
      </w:pPr>
      <w:r>
        <w:t xml:space="preserve">D.7 Section 6 — Funding Envelope</w:t>
      </w:r>
    </w:p>
    <w:p>
      <w:pPr>
        <w:numPr>
          <w:ilvl w:val="0"/>
          <w:numId w:val="1033"/>
        </w:numPr>
        <w:pStyle w:val="Compact"/>
      </w:pPr>
      <w:r>
        <w:t xml:space="preserve">D.8 Section 7 — KPI Framework</w:t>
      </w:r>
    </w:p>
    <w:p>
      <w:pPr>
        <w:numPr>
          <w:ilvl w:val="0"/>
          <w:numId w:val="1033"/>
        </w:numPr>
        <w:pStyle w:val="Compact"/>
      </w:pPr>
      <w:r>
        <w:t xml:space="preserve">D.9 Section 8 — RACI and Accountability</w:t>
      </w:r>
    </w:p>
    <w:p>
      <w:pPr>
        <w:numPr>
          <w:ilvl w:val="0"/>
          <w:numId w:val="1033"/>
        </w:numPr>
        <w:pStyle w:val="Compact"/>
      </w:pPr>
      <w:r>
        <w:t xml:space="preserve">D.10 Section 9 — Assurance Integration</w:t>
      </w:r>
    </w:p>
    <w:p>
      <w:pPr>
        <w:numPr>
          <w:ilvl w:val="0"/>
          <w:numId w:val="1033"/>
        </w:numPr>
        <w:pStyle w:val="Compact"/>
      </w:pPr>
      <w:r>
        <w:t xml:space="preserve">D.11 Section 10 — Review and Amendment</w:t>
      </w:r>
    </w:p>
    <w:p>
      <w:pPr>
        <w:numPr>
          <w:ilvl w:val="0"/>
          <w:numId w:val="1033"/>
        </w:numPr>
        <w:pStyle w:val="Compact"/>
      </w:pPr>
      <w:r>
        <w:t xml:space="preserve">D.12 Annex D-3 — Third-Party Contract Exhibit Pointer</w:t>
      </w:r>
    </w:p>
    <w:p>
      <w:pPr>
        <w:numPr>
          <w:ilvl w:val="0"/>
          <w:numId w:val="1033"/>
        </w:numPr>
        <w:pStyle w:val="Compact"/>
      </w:pPr>
      <w:r>
        <w:t xml:space="preserve">D.13 Signatures</w:t>
      </w:r>
    </w:p>
    <w:bookmarkEnd w:id="58"/>
    <w:bookmarkStart w:id="59" w:name="X7f92df66a8203cf6b2b40d950b5072d3168c82e"/>
    <w:p>
      <w:pPr>
        <w:pStyle w:val="Heading3"/>
      </w:pPr>
      <w:r>
        <w:t xml:space="preserve">Appendix E — Glossary and Standards Quick Reference</w:t>
      </w:r>
    </w:p>
    <w:p>
      <w:pPr>
        <w:numPr>
          <w:ilvl w:val="0"/>
          <w:numId w:val="1034"/>
        </w:numPr>
        <w:pStyle w:val="Compact"/>
      </w:pPr>
      <w:r>
        <w:t xml:space="preserve">E.1 Glossary</w:t>
      </w:r>
    </w:p>
    <w:p>
      <w:pPr>
        <w:numPr>
          <w:ilvl w:val="0"/>
          <w:numId w:val="1034"/>
        </w:numPr>
        <w:pStyle w:val="Compact"/>
      </w:pPr>
      <w:r>
        <w:t xml:space="preserve">E.2 Algorithm Quick Reference</w:t>
      </w:r>
    </w:p>
    <w:p>
      <w:pPr>
        <w:numPr>
          <w:ilvl w:val="0"/>
          <w:numId w:val="1034"/>
        </w:numPr>
        <w:pStyle w:val="Compact"/>
      </w:pPr>
      <w:r>
        <w:t xml:space="preserve">E.3 Standards and Documents Quick Reference</w:t>
      </w:r>
    </w:p>
    <w:p>
      <w:pPr>
        <w:numPr>
          <w:ilvl w:val="0"/>
          <w:numId w:val="1034"/>
        </w:numPr>
        <w:pStyle w:val="Compact"/>
      </w:pPr>
      <w:r>
        <w:t xml:space="preserve">E.4 HLM Phase Quick Reference</w:t>
      </w:r>
    </w:p>
    <w:p>
      <w:pPr>
        <w:numPr>
          <w:ilvl w:val="0"/>
          <w:numId w:val="1034"/>
        </w:numPr>
        <w:pStyle w:val="Compact"/>
      </w:pPr>
      <w:r>
        <w:t xml:space="preserve">E.5 PQ-ADAPT Level Quick Reference</w:t>
      </w:r>
    </w:p>
    <w:p>
      <w:pPr>
        <w:numPr>
          <w:ilvl w:val="0"/>
          <w:numId w:val="1034"/>
        </w:numPr>
        <w:pStyle w:val="Compact"/>
      </w:pPr>
      <w:r>
        <w:t xml:space="preserve">E.6 Programme Artefact Index</w:t>
      </w:r>
    </w:p>
    <w:bookmarkEnd w:id="59"/>
    <w:bookmarkEnd w:id="60"/>
    <w:bookmarkStart w:id="61" w:name="back-matter"/>
    <w:p>
      <w:pPr>
        <w:pStyle w:val="Heading2"/>
      </w:pPr>
      <w:r>
        <w:t xml:space="preserve">Back Matter</w:t>
      </w:r>
    </w:p>
    <w:p>
      <w:pPr>
        <w:numPr>
          <w:ilvl w:val="0"/>
          <w:numId w:val="1035"/>
        </w:numPr>
        <w:pStyle w:val="Compact"/>
      </w:pPr>
      <w:r>
        <w:t xml:space="preserve">References</w:t>
      </w:r>
    </w:p>
    <w:p>
      <w:pPr>
        <w:numPr>
          <w:ilvl w:val="0"/>
          <w:numId w:val="1035"/>
        </w:numPr>
        <w:pStyle w:val="Compact"/>
      </w:pPr>
      <w:r>
        <w:t xml:space="preserve">Index</w:t>
      </w:r>
    </w:p>
    <w:p>
      <w:r>
        <w:pict>
          <v:rect style="width:0;height:1.5pt" o:hralign="center" o:hrstd="t" o:hr="t"/>
        </w:pict>
      </w:r>
    </w:p>
    <w:bookmarkEnd w:id="61"/>
    <w:bookmarkStart w:id="62" w:name="framework-index"/>
    <w:p>
      <w:pPr>
        <w:pStyle w:val="Heading2"/>
      </w:pPr>
      <w:r>
        <w:t xml:space="preserve">Framework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795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</w:t>
            </w:r>
            <w:r>
              <w:t xml:space="preserve"> </w:t>
            </w:r>
            <w:r>
              <w:t xml:space="preserve">(Awareness → Register → Capability → Synchronize)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</w:t>
            </w:r>
            <w:r>
              <w:t xml:space="preserve"> </w:t>
            </w:r>
            <w:r>
              <w:t xml:space="preserve">(Levels 0–5)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5, 10, 15, 22, App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/ 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9, Parts V–VI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8–18, App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11–14, App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HLM</w:t>
            </w:r>
            <w:r>
              <w:t xml:space="preserve"> </w:t>
            </w:r>
            <w:r>
              <w:t xml:space="preserve">(H1 → H2 → 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11–12, App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10, 15,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</w:t>
            </w:r>
            <w:r>
              <w:t xml:space="preserve"> </w:t>
            </w:r>
            <w:r>
              <w:t xml:space="preserve">(Sector Overlay Modifiers)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19–21</w:t>
            </w:r>
          </w:p>
        </w:tc>
      </w:tr>
    </w:tbl>
    <w:bookmarkEnd w:id="62"/>
    <w:bookmarkStart w:id="63" w:name="manuscript-statistics"/>
    <w:p>
      <w:pPr>
        <w:pStyle w:val="Heading2"/>
      </w:pPr>
      <w:r>
        <w:t xml:space="preserve">Manuscript Statistics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Total words (manuscript + appendices):</w:t>
      </w:r>
      <w:r>
        <w:t xml:space="preserve"> </w:t>
      </w:r>
      <w:r>
        <w:t xml:space="preserve">~188,620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Numbered sections:</w:t>
      </w:r>
      <w:r>
        <w:t xml:space="preserve"> </w:t>
      </w:r>
      <w:r>
        <w:t xml:space="preserve">684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Chapters:</w:t>
      </w:r>
      <w:r>
        <w:t xml:space="preserve"> </w:t>
      </w:r>
      <w:r>
        <w:t xml:space="preserve">22 + 6 part introductions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Appendices:</w:t>
      </w:r>
      <w:r>
        <w:t xml:space="preserve"> </w:t>
      </w:r>
      <w:r>
        <w:t xml:space="preserve">5 (A–E)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2026-06-12T10:03:17Z</dcterms:created>
  <dcterms:modified xsi:type="dcterms:W3CDTF">2026-06-12T10:03:17Z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