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pendix-b"/>
    <w:p>
      <w:pPr>
        <w:pStyle w:val="Heading1"/>
      </w:pPr>
      <w:r>
        <w:t xml:space="preserve">Appendix B</w:t>
      </w:r>
    </w:p>
    <w:bookmarkEnd w:id="20"/>
    <w:bookmarkStart w:id="31" w:name="pq-adapt-self-assessment-questionnaire"/>
    <w:p>
      <w:pPr>
        <w:pStyle w:val="Heading1"/>
      </w:pPr>
      <w:r>
        <w:t xml:space="preserve">PQ-ADAPT Self-Assessment Questionnaire</w:t>
      </w:r>
    </w:p>
    <w:bookmarkStart w:id="21" w:name="maturity-assessment-with-evidence-index"/>
    <w:p>
      <w:pPr>
        <w:pStyle w:val="Heading2"/>
      </w:pPr>
      <w:r>
        <w:t xml:space="preserve">Maturity Assessment with Evidence Index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appendix provides a</w:t>
      </w:r>
      <w:r>
        <w:t xml:space="preserve"> </w:t>
      </w:r>
      <w:r>
        <w:rPr>
          <w:bCs/>
          <w:b/>
        </w:rPr>
        <w:t xml:space="preserve">zone-scoped self-assessment</w:t>
      </w:r>
      <w:r>
        <w:t xml:space="preserve"> </w:t>
      </w:r>
      <w:r>
        <w:t xml:space="preserve">for the PQ-ADAPT maturity model (Chapters 1, 9, 15, 22). Complete assessments</w:t>
      </w:r>
      <w:r>
        <w:t xml:space="preserve"> </w:t>
      </w:r>
      <w:r>
        <w:rPr>
          <w:bCs/>
          <w:b/>
        </w:rPr>
        <w:t xml:space="preserve">per scope zone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cde_payment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corporate_it</w:t>
      </w:r>
      <w:r>
        <w:t xml:space="preserve">,</w:t>
      </w:r>
      <w:r>
        <w:t xml:space="preserve"> </w:t>
      </w:r>
      <w:r>
        <w:rPr>
          <w:rStyle w:val="VerbatimChar"/>
        </w:rPr>
        <w:t xml:space="preserve">ot_field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nss_enclave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tenant_tier_t2</w:t>
      </w:r>
      <w:r>
        <w:t xml:space="preserve">, etc. — not as a single enterprise aggregate. Aggregate only after zone scores are documented; honest partial maturity prevents supervisory and board overstatement.</w:t>
      </w:r>
    </w:p>
    <w:p>
      <w:pPr>
        <w:pStyle w:val="BodyText"/>
      </w:pPr>
      <w:r>
        <w:rPr>
          <w:bCs/>
          <w:b/>
        </w:rPr>
        <w:t xml:space="preserve">Cadence:</w:t>
      </w:r>
      <w:r>
        <w:t xml:space="preserve"> </w:t>
      </w:r>
      <w:r>
        <w:t xml:space="preserve">Annual minimum; after major wave exit; before regulatory examination or CMMC assessment; within 90 days of acquisition integration.</w:t>
      </w:r>
    </w:p>
    <w:p>
      <w:pPr>
        <w:pStyle w:val="BodyText"/>
      </w:pPr>
      <w:r>
        <w:rPr>
          <w:bCs/>
          <w:b/>
        </w:rPr>
        <w:t xml:space="preserve">Scoring:</w:t>
      </w:r>
      <w:r>
        <w:t xml:space="preserve"> </w:t>
      </w:r>
      <w:r>
        <w:t xml:space="preserve">Each criterion scored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(absent),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(partial),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(complete with evidence). Zone level declared only when</w:t>
      </w:r>
      <w:r>
        <w:t xml:space="preserve"> </w:t>
      </w:r>
      <w:r>
        <w:rPr>
          <w:bCs/>
          <w:b/>
        </w:rPr>
        <w:t xml:space="preserve">all mandatory criteria</w:t>
      </w:r>
      <w:r>
        <w:t xml:space="preserve"> </w:t>
      </w:r>
      <w:r>
        <w:t xml:space="preserve">for that level score 2, or documented risk acceptance exists for gaps.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CBOM and CDG evidence uses Appendix A templates. Regulatory overlay annotations reference Appendix C. Charter evidence references Appendix D.</w:t>
      </w:r>
    </w:p>
    <w:p>
      <w:r>
        <w:pict>
          <v:rect style="width:0;height:1.5pt" o:hralign="center" o:hrstd="t" o:hr="t"/>
        </w:pict>
      </w:r>
    </w:p>
    <w:bookmarkEnd w:id="21"/>
    <w:bookmarkStart w:id="22" w:name="b.1-assessment-metadata"/>
    <w:p>
      <w:pPr>
        <w:pStyle w:val="Heading2"/>
      </w:pPr>
      <w:r>
        <w:t xml:space="preserve">B.1 Assessment Metadata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Assessor(s)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zone (</w:t>
            </w:r>
            <w:r>
              <w:rPr>
                <w:rStyle w:val="VerbatimChar"/>
              </w:rPr>
              <w:t xml:space="preserve">scope_zone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In-scope systems / CBOM row count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overlay(s) applied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assessment date / level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Declared PQ-ADAPT level (this assessment)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b.2-level-0-level-1-unaware-alerted"/>
    <w:p>
      <w:pPr>
        <w:pStyle w:val="Heading2"/>
      </w:pPr>
      <w:r>
        <w:t xml:space="preserve">B.2 Level 0 → Level 1 (</w:t>
      </w:r>
      <w:r>
        <w:rPr>
          <w:iCs/>
          <w:i/>
        </w:rPr>
        <w:t xml:space="preserve">Unaware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Alerted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9"/>
        <w:gridCol w:w="1428"/>
        <w:gridCol w:w="1687"/>
        <w:gridCol w:w="2466"/>
        <w:gridCol w:w="19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(0–2)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threat documented in enterprise risk register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Risk register extract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briefing delivered to board or risk committee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Board minutes / pack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horizon scan completed (jurisdiction-specific)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Horizon report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executive sponsor for PQC programme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Charter draft or memo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hoc cryptographic discovery initiated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Discovery plan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Level 1 entry:</w:t>
      </w:r>
      <w:r>
        <w:t xml:space="preserve"> </w:t>
      </w:r>
      <w:r>
        <w:t xml:space="preserve">L1.1 and L1.2 score ≥ 1.</w:t>
      </w:r>
    </w:p>
    <w:p>
      <w:r>
        <w:pict>
          <v:rect style="width:0;height:1.5pt" o:hralign="center" o:hrstd="t" o:hr="t"/>
        </w:pict>
      </w:r>
    </w:p>
    <w:bookmarkEnd w:id="23"/>
    <w:bookmarkStart w:id="24" w:name="b.3-level-1-level-2-alerted-inventoried"/>
    <w:p>
      <w:pPr>
        <w:pStyle w:val="Heading2"/>
      </w:pPr>
      <w:r>
        <w:t xml:space="preserve">B.3 Level 1 → Level 2 (</w:t>
      </w:r>
      <w:r>
        <w:rPr>
          <w:iCs/>
          <w:i/>
        </w:rPr>
        <w:t xml:space="preserve">Alerted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Inventoried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9"/>
        <w:gridCol w:w="1428"/>
        <w:gridCol w:w="1687"/>
        <w:gridCol w:w="2466"/>
        <w:gridCol w:w="19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(0–2)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 baseline established for scope 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Certified baseline export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normalisation rules applied (Chapter 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Normalisation rule set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quantum_vulnerable</w:t>
            </w:r>
            <w:r>
              <w:t xml:space="preserve"> </w:t>
            </w:r>
            <w:r>
              <w:t xml:space="preserve">flagged on ≥ 90% of rows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CBOM quality scorecard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HNDL / confidentiality horizon assessed for high-value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Threat assessment (Chapter 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CDG seed graph or blocking node list exists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CDG export / register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worksheets completed for top 20% MPI candidates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TRADE scoring workbook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cryptographic dependencies identified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CBOM</w:t>
            </w:r>
            <w:r>
              <w:t xml:space="preserve"> </w:t>
            </w:r>
            <w:r>
              <w:rPr>
                <w:rStyle w:val="VerbatimChar"/>
              </w:rPr>
              <w:t xml:space="preserve">third_party_flag</w:t>
            </w:r>
            <w:r>
              <w:t xml:space="preserve"> </w:t>
            </w:r>
            <w:r>
              <w:t xml:space="preserve">report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Level 2 entry:</w:t>
      </w:r>
      <w:r>
        <w:t xml:space="preserve"> </w:t>
      </w:r>
      <w:r>
        <w:t xml:space="preserve">L2.1, L2.3, L2.5 score 2.</w:t>
      </w:r>
    </w:p>
    <w:p>
      <w:r>
        <w:pict>
          <v:rect style="width:0;height:1.5pt" o:hralign="center" o:hrstd="t" o:hr="t"/>
        </w:pict>
      </w:r>
    </w:p>
    <w:bookmarkEnd w:id="24"/>
    <w:bookmarkStart w:id="25" w:name="Xbe4c0958a880433e87ac0ca5f6c70663c33e7be"/>
    <w:p>
      <w:pPr>
        <w:pStyle w:val="Heading2"/>
      </w:pPr>
      <w:r>
        <w:t xml:space="preserve">B.4 Level 2 → Level 3 (</w:t>
      </w:r>
      <w:r>
        <w:rPr>
          <w:iCs/>
          <w:i/>
        </w:rPr>
        <w:t xml:space="preserve">Inventoried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Architected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9"/>
        <w:gridCol w:w="1428"/>
        <w:gridCol w:w="1687"/>
        <w:gridCol w:w="2466"/>
        <w:gridCol w:w="19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(0–2)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Board-approved programme charter (or zone annex)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Signed charter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Crypto-agility NFRs in SDLC / EA standards (Chapter 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Standards document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policy and HLM templates published (Chapter 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Policy document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algorithm matrix with validation status (Chapter 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Algorithm matrix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PKI / key management roadmap approved (Chapters 13–14)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PKI architecture doc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plan approved with CDG blocking gates (Chapter 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Board wave pack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or change gates defined (not yet universal)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Gate specification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Level 3 entry:</w:t>
      </w:r>
      <w:r>
        <w:t xml:space="preserve"> </w:t>
      </w:r>
      <w:r>
        <w:t xml:space="preserve">L3.1, L3.2, L3.3, L3.6 score 2.</w:t>
      </w:r>
    </w:p>
    <w:p>
      <w:r>
        <w:pict>
          <v:rect style="width:0;height:1.5pt" o:hralign="center" o:hrstd="t" o:hr="t"/>
        </w:pict>
      </w:r>
    </w:p>
    <w:bookmarkEnd w:id="25"/>
    <w:bookmarkStart w:id="26" w:name="Xed8b9fdff2263d37b4f9acb7dbe5737aa006b86"/>
    <w:p>
      <w:pPr>
        <w:pStyle w:val="Heading2"/>
      </w:pPr>
      <w:r>
        <w:t xml:space="preserve">B.5 Level 3 → Level 4 (</w:t>
      </w:r>
      <w:r>
        <w:rPr>
          <w:iCs/>
          <w:i/>
        </w:rPr>
        <w:t xml:space="preserve">Architected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Transitioning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9"/>
        <w:gridCol w:w="1428"/>
        <w:gridCol w:w="1687"/>
        <w:gridCol w:w="2466"/>
        <w:gridCol w:w="19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(0–2)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office operational with RACI acknowledged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RACI matrix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committee ≥ 3 cycles with decision 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Steering minutes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hybrid deployment in scope zone (HLM H1/H2)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Change records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dashboard live and reported monthly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Dashboard export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vendor PQC clauses in renewal path (Chapter 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Contract tracker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programme active for deployed paths (Chapter 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Test matrix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register current; no expired acceptances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 maintained with quarterly baseline certification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Custodian sign-off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Level 4 entry:</w:t>
      </w:r>
      <w:r>
        <w:t xml:space="preserve"> </w:t>
      </w:r>
      <w:r>
        <w:t xml:space="preserve">L4.3, L4.5, L4.6, L4.8 score 2 (Chapter 15 Table 15.2 alignment).</w:t>
      </w:r>
    </w:p>
    <w:p>
      <w:r>
        <w:pict>
          <v:rect style="width:0;height:1.5pt" o:hralign="center" o:hrstd="t" o:hr="t"/>
        </w:pict>
      </w:r>
    </w:p>
    <w:bookmarkEnd w:id="26"/>
    <w:bookmarkStart w:id="27" w:name="X68eb8359babd0f12b9d1576fef57515aa5ac9f5"/>
    <w:p>
      <w:pPr>
        <w:pStyle w:val="Heading2"/>
      </w:pPr>
      <w:r>
        <w:t xml:space="preserve">B.6 Level 4 → Level 5 (</w:t>
      </w:r>
      <w:r>
        <w:rPr>
          <w:iCs/>
          <w:i/>
        </w:rPr>
        <w:t xml:space="preserve">Transitioning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Quantum-Resilient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9"/>
        <w:gridCol w:w="1428"/>
        <w:gridCol w:w="1687"/>
        <w:gridCol w:w="2466"/>
        <w:gridCol w:w="19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(0–2)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Disallowance policy aligned to NIST IR 8547 / sector anchors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Board policy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disallowed PKC in production scope (CBOM query)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CBOM compliance report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HLM H3 or classical sunset complete per policy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Sunset records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crypto-agility substitution drill passed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Drill report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watch calendar active with assigned owners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Calendar + minutes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FN-DSA / HQC contingency documented with activation criteria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Contingency pack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module inventory matches production (regulated paths)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Validation matrix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Lessons learned loop linked to policy updates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Retrospective record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Sustainment funding approved beyond wave execution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Budget line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CBOM integration SLA ≤ 90 days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M&amp;A playbook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Level 5 entry:</w:t>
      </w:r>
      <w:r>
        <w:t xml:space="preserve"> </w:t>
      </w:r>
      <w:r>
        <w:t xml:space="preserve">Chapter 22 Table 22.3 — majority of L5.x score 2; honest gaps documented with board-approved timeline.</w:t>
      </w:r>
    </w:p>
    <w:p>
      <w:r>
        <w:pict>
          <v:rect style="width:0;height:1.5pt" o:hralign="center" o:hrstd="t" o:hr="t"/>
        </w:pict>
      </w:r>
    </w:p>
    <w:bookmarkEnd w:id="27"/>
    <w:bookmarkStart w:id="28" w:name="b.7-zone-aggregation-worksheet"/>
    <w:p>
      <w:pPr>
        <w:pStyle w:val="Heading2"/>
      </w:pPr>
      <w:r>
        <w:t xml:space="preserve">B.7 Zone Aggregation Worksheet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1408"/>
        <w:gridCol w:w="1320"/>
        <w:gridCol w:w="149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level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/ steering acknowledged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cde_payment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corporate_it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ot_field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partner_ecosystem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Enterprise banner level =</w:t>
      </w:r>
      <w:r>
        <w:t xml:space="preserve"> </w:t>
      </w:r>
      <w:r>
        <w:rPr>
          <w:bCs/>
          <w:b/>
        </w:rPr>
        <w:t xml:space="preserve">minimum</w:t>
      </w:r>
      <w:r>
        <w:t xml:space="preserve"> </w:t>
      </w:r>
      <w:r>
        <w:t xml:space="preserve">zone level unless explicitly qualified in board reporting (Chapter 22 §22.4).</w:t>
      </w:r>
    </w:p>
    <w:p>
      <w:r>
        <w:pict>
          <v:rect style="width:0;height:1.5pt" o:hralign="center" o:hrstd="t" o:hr="t"/>
        </w:pict>
      </w:r>
    </w:p>
    <w:bookmarkEnd w:id="28"/>
    <w:bookmarkStart w:id="29" w:name="b.8-evidence-index-template"/>
    <w:p>
      <w:pPr>
        <w:pStyle w:val="Heading2"/>
      </w:pPr>
      <w:r>
        <w:t xml:space="preserve">B.8 Evidence Index Template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2"/>
        <w:gridCol w:w="1448"/>
        <w:gridCol w:w="676"/>
        <w:gridCol w:w="1352"/>
        <w:gridCol w:w="1352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TLS production change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platform-eng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test matrix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b.9-assessor-attestation"/>
    <w:p>
      <w:pPr>
        <w:pStyle w:val="Heading2"/>
      </w:pPr>
      <w:r>
        <w:t xml:space="preserve">B.9 Assessor Attestation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 director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Zone-level scores reflect evidence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CISO / zone security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Gaps disclosed to steering /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audit (optional)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Independent sample completed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Proceed to Appendix C: Regulatory Mapping Matrix.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Appendix B — References</w:t>
      </w:r>
    </w:p>
    <w:p>
      <w:pPr>
        <w:numPr>
          <w:ilvl w:val="0"/>
          <w:numId w:val="1001"/>
        </w:numPr>
        <w:pStyle w:val="Compact"/>
      </w:pPr>
      <w:r>
        <w:t xml:space="preserve">National Institute of Standards and Technology. (2024). NIST IR 8547 (Initial Public Draft): Transition to post-quantum cryptography standards.</w:t>
      </w:r>
    </w:p>
    <w:p>
      <w:pPr>
        <w:numPr>
          <w:ilvl w:val="0"/>
          <w:numId w:val="1001"/>
        </w:numPr>
        <w:pStyle w:val="Compact"/>
      </w:pPr>
      <w:r>
        <w:t xml:space="preserve">Post-Quantum Cryptography Enterprise Migration Handbook. (2026). Chapters 1, 9, 15, 22 — PQ-ADAPT model definition.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2026-06-12T10:03:16Z</dcterms:created>
  <dcterms:modified xsi:type="dcterms:W3CDTF">2026-06-12T10:03:16Z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