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ppendix-c"/>
    <w:p>
      <w:pPr>
        <w:pStyle w:val="Heading1"/>
      </w:pPr>
      <w:r>
        <w:t xml:space="preserve">Appendix C</w:t>
      </w:r>
    </w:p>
    <w:bookmarkEnd w:id="20"/>
    <w:bookmarkStart w:id="31" w:name="regulatory-mapping-matrix"/>
    <w:p>
      <w:pPr>
        <w:pStyle w:val="Heading1"/>
      </w:pPr>
      <w:r>
        <w:t xml:space="preserve">Regulatory Mapping Matrix</w:t>
      </w:r>
    </w:p>
    <w:bookmarkStart w:id="21" w:name="X08e3f89597f0dd82fba847dc30336e11ce2c7af"/>
    <w:p>
      <w:pPr>
        <w:pStyle w:val="Heading2"/>
      </w:pPr>
      <w:r>
        <w:t xml:space="preserve">DORA, NIS2, GDPR, PCI, and US Federal Overlays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appendix supports Chapter 3 and sector playbooks (Chapters 19–21). It provides a</w:t>
      </w:r>
      <w:r>
        <w:t xml:space="preserve"> </w:t>
      </w:r>
      <w:r>
        <w:rPr>
          <w:bCs/>
          <w:b/>
        </w:rPr>
        <w:t xml:space="preserve">regulatory overlay matrix</w:t>
      </w:r>
      <w:r>
        <w:t xml:space="preserve"> </w:t>
      </w:r>
      <w:r>
        <w:t xml:space="preserve">mapping programme artefacts from the PQC Governance Stack (Chapter 3) to obligations in multiple jurisdictions — enabling a</w:t>
      </w:r>
      <w:r>
        <w:t xml:space="preserve"> </w:t>
      </w:r>
      <w:r>
        <w:rPr>
          <w:bCs/>
          <w:b/>
        </w:rPr>
        <w:t xml:space="preserve">single migration programme</w:t>
      </w:r>
      <w:r>
        <w:t xml:space="preserve"> </w:t>
      </w:r>
      <w:r>
        <w:t xml:space="preserve">with jurisdiction annotations, not parallel architectures.</w:t>
      </w:r>
    </w:p>
    <w:p>
      <w:pPr>
        <w:pStyle w:val="BodyText"/>
      </w:pPr>
      <w:r>
        <w:rPr>
          <w:bCs/>
          <w:b/>
        </w:rPr>
        <w:t xml:space="preserve">Usage:</w:t>
      </w:r>
      <w:r>
        <w:t xml:space="preserve"> </w:t>
      </w:r>
      <w:r>
        <w:t xml:space="preserve">Compliance officers maintain the matrix as a living document. Link each cell to evidence artefact IDs (CBOM baseline, charter version, test report). Update when RTS, delegated acts, or sector guidance change.</w:t>
      </w:r>
    </w:p>
    <w:p>
      <w:r>
        <w:pict>
          <v:rect style="width:0;height:1.5pt" o:hralign="center" o:hrstd="t" o:hr="t"/>
        </w:pict>
      </w:r>
    </w:p>
    <w:bookmarkEnd w:id="21"/>
    <w:bookmarkStart w:id="22" w:name="c.1-matrix-structure"/>
    <w:p>
      <w:pPr>
        <w:pStyle w:val="Heading2"/>
      </w:pPr>
      <w:r>
        <w:t xml:space="preserve">C.1 Matrix Structure</w:t>
      </w:r>
    </w:p>
    <w:p>
      <w:pPr>
        <w:pStyle w:val="FirstParagraph"/>
      </w:pPr>
      <w:r>
        <w:t xml:space="preserve">Each row is a</w:t>
      </w:r>
      <w:r>
        <w:t xml:space="preserve"> </w:t>
      </w:r>
      <w:r>
        <w:rPr>
          <w:bCs/>
          <w:b/>
        </w:rPr>
        <w:t xml:space="preserve">programme artefact</w:t>
      </w:r>
      <w:r>
        <w:t xml:space="preserve">. Each column is a</w:t>
      </w:r>
      <w:r>
        <w:t xml:space="preserve"> </w:t>
      </w:r>
      <w:r>
        <w:rPr>
          <w:bCs/>
          <w:b/>
        </w:rPr>
        <w:t xml:space="preserve">regulatory instrument</w:t>
      </w:r>
      <w:r>
        <w:t xml:space="preserve">. Cell content:</w:t>
      </w:r>
      <w:r>
        <w:t xml:space="preserve"> </w:t>
      </w:r>
      <w:r>
        <w:rPr>
          <w:bCs/>
          <w:b/>
        </w:rPr>
        <w:t xml:space="preserve">article / control reference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evidence expectation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Legend:</w:t>
      </w:r>
      <w:r>
        <w:t xml:space="preserve"> </w:t>
      </w:r>
      <w:r>
        <w:t xml:space="preserve">Cells list primary article or control references. Mark</w:t>
      </w:r>
      <w:r>
        <w:t xml:space="preserve"> </w:t>
      </w:r>
      <w:r>
        <w:rPr>
          <w:bCs/>
          <w:b/>
        </w:rPr>
        <w:t xml:space="preserve">n/a</w:t>
      </w:r>
      <w:r>
        <w:t xml:space="preserve"> </w:t>
      </w:r>
      <w:r>
        <w:t xml:space="preserve">where the instrument does not apply to your jurisdiction or sector. Verify mappings against current authoritative publications before examination or assessment use.</w:t>
      </w:r>
    </w:p>
    <w:p>
      <w:r>
        <w:pict>
          <v:rect style="width:0;height:1.5pt" o:hralign="center" o:hrstd="t" o:hr="t"/>
        </w:pict>
      </w:r>
    </w:p>
    <w:bookmarkEnd w:id="22"/>
    <w:bookmarkStart w:id="23" w:name="X26e8cb16dc20156b1bb5a0a10045c232ebb2978"/>
    <w:p>
      <w:pPr>
        <w:pStyle w:val="Heading2"/>
      </w:pPr>
      <w:r>
        <w:t xml:space="preserve">C.2 Programme Artefact × Regulatory Instrument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46"/>
        <w:gridCol w:w="1095"/>
        <w:gridCol w:w="1494"/>
        <w:gridCol w:w="547"/>
        <w:gridCol w:w="647"/>
        <w:gridCol w:w="946"/>
        <w:gridCol w:w="1195"/>
        <w:gridCol w:w="1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Programme 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 (EU financial)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NIS2 (EU essential/important)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(EU)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 DSS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FedRAMP / FISMA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CMMC (US defence CUI)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NERC CIP (US energy)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Programme charter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 governance; ICT risk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21 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32 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Req. 12 (programme)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PM-1, PM-9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CA.L2-3.12.4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CIP-003 cyber security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Encryption / crypto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RTS Art. 6; Recital 9 (quantum)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21 state-of-the-art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32 security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Req. 3, 4 (crypto)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SC-12, SC-13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SC.L2-3.13.11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CIP-005, CIP-007 electronic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CBOM / certificate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RTS Art. 6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records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Req. 2,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CM-8, SA-22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CM.L2-3.4.1 asset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identification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Threat assessment (TRADE 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 ICT 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21 all-hazards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DPIA input for high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Req.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RA.L2-3.11.2 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 cyber system categorisation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CDG / dependency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 proportionality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dependency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Req.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SA-4, SA-9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SA.L2-3.13.4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 security perimeter deps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Wave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 remediation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21 measures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Req.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PL-2, CA-5 POA&amp;M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CA.L2-3.12.2 plan of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/ change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Third-party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Arts. 28–30 ICT TP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28 processor DPAs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Req. 12.8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SA-9, SR-2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SC.L2-3.12.4 flow-down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remote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Vendor PQC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30 due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28 processor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Req. 12.8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SC.L2-3.12.4 subcontractor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security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Hybrid / HLM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RTS Art. 6 techniques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State-of-the-art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32 appropriate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Req. 3,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SC.L2-3.13.11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Communications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 / test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25 resilience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21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32 effectiveness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Req.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CA-2, SA-11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CA.L2-3.12.1 security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event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Incident response (crypto)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17–19 ICT 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23 incident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33 breach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Req.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IR.L2-3.6.1 incident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Board / oversight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Req.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AM.L2-3.12.4 executive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leadership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Standards watch / 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Recital 9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State-of-the-art evolution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32 evolving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Req.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RA.L2-3.11.1 continuous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Emerging threat response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03c02568e592e2926701a4c860aa4aa2368c9c6"/>
    <w:p>
      <w:pPr>
        <w:pStyle w:val="Heading2"/>
      </w:pPr>
      <w:r>
        <w:t xml:space="preserve">C.3 Jurisdiction Overlay Annotation Template</w:t>
      </w:r>
    </w:p>
    <w:p>
      <w:pPr>
        <w:pStyle w:val="FirstParagraph"/>
      </w:pPr>
      <w:r>
        <w:t xml:space="preserve">For multinational enterprises, annotate each subsidiary row: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1446"/>
        <w:gridCol w:w="1675"/>
        <w:gridCol w:w="2132"/>
        <w:gridCol w:w="2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overlay (Ch 19–21)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artefact pack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Mutual Bank (EU)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GDPR; NIS2 (where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services SOM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MER-EU-DORA-2027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Northfield Energy 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NERC CIP; TSA; CISA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(not NIS2)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infrastructure SOM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NF-US-CIP-2027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Apex Defense Technologies 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CMMC; DFARS; CNSA 2.0 (NSS)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(commercial)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Defence SOM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APX-US-CMMC-2028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GlobalSync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GDPR; NIS2 (EU 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2; customer flow-down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SOM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GS-EU-GDPR-2028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85bba2d773eb33e2ce07d30f8ef687ffe40ab42"/>
    <w:p>
      <w:pPr>
        <w:pStyle w:val="Heading2"/>
      </w:pPr>
      <w:r>
        <w:t xml:space="preserve">C.4 Supervisory Examination Question Map (Financial Services)</w:t>
      </w:r>
    </w:p>
    <w:p>
      <w:pPr>
        <w:pStyle w:val="FirstParagraph"/>
      </w:pPr>
      <w:r>
        <w:t xml:space="preserve">Maps Chapter 3 examination questions to evidence volumes (Chapter 19):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39"/>
        <w:gridCol w:w="2689"/>
        <w:gridCol w:w="23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Examiner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encryption policy address quantum developments?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policy + standards 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RTS Art. 6; Recital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the certificate register complete?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CBOM baseline + quality scorecard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RTS Art.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are third-party crypto risks managed?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assessment + contract clauses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Arts. 28–30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 the migration timeline?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plan + validation dependency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 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testing demonstrates resilience?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matrix + harness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are incidents involving crypto handled?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playbook + crypto incident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Arts. 17–19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c.5-regulatory-supplements"/>
    <w:p>
      <w:pPr>
        <w:pStyle w:val="Heading2"/>
      </w:pPr>
      <w:r>
        <w:t xml:space="preserve">C.5 Regulatory Supplements</w:t>
      </w:r>
    </w:p>
    <w:bookmarkStart w:id="26" w:name="X8f2151db3b6d4b7a7b7bd45b8f01d6be17ea848"/>
    <w:p>
      <w:pPr>
        <w:pStyle w:val="Heading3"/>
      </w:pPr>
      <w:r>
        <w:t xml:space="preserve">International Standards, Insurance, and Contractual Risk</w:t>
      </w:r>
    </w:p>
    <w:p>
      <w:pPr>
        <w:pStyle w:val="FirstParagraph"/>
      </w:pPr>
      <w:r>
        <w:rPr>
          <w:iCs/>
          <w:i/>
        </w:rPr>
        <w:t xml:space="preserve">Supports Chapter 3. Material moved from prior regulatory supplements appendix.</w:t>
      </w:r>
    </w:p>
    <w:bookmarkEnd w:id="26"/>
    <w:bookmarkStart w:id="27" w:name="Xe1111c31b9b17fdfb94f6780a2943d8c0fce8b8"/>
    <w:p>
      <w:pPr>
        <w:pStyle w:val="Heading3"/>
      </w:pPr>
      <w:r>
        <w:t xml:space="preserve">C.5.1 International standards: ISO, ETSI, and industry bodies</w:t>
      </w:r>
    </w:p>
    <w:p>
      <w:pPr>
        <w:pStyle w:val="FirstParagraph"/>
      </w:pPr>
      <w:r>
        <w:t xml:space="preserve">Regulatory instruments reference</w:t>
      </w:r>
      <w:r>
        <w:t xml:space="preserve"> </w:t>
      </w:r>
      <w:r>
        <w:t xml:space="preserve">“</w:t>
      </w:r>
      <w:r>
        <w:t xml:space="preserve">leading practices and standards</w:t>
      </w:r>
      <w:r>
        <w:t xml:space="preserve">”</w:t>
      </w:r>
      <w:r>
        <w:t xml:space="preserve"> </w:t>
      </w:r>
      <w:r>
        <w:t xml:space="preserve">without always naming specific bodies. Enterprise compliance officers need a map of the international standards landscape and its relationship to NIST FIPS 203–205.</w:t>
      </w:r>
    </w:p>
    <w:p>
      <w:pPr>
        <w:pStyle w:val="BodyText"/>
      </w:pPr>
      <w:r>
        <w:rPr>
          <w:bCs/>
          <w:b/>
        </w:rPr>
        <w:t xml:space="preserve">ISO/IEC JTC 1 SC 27</w:t>
      </w:r>
      <w:r>
        <w:t xml:space="preserve"> </w:t>
      </w:r>
      <w:r>
        <w:t xml:space="preserve">develops information security standards including cryptographic mechanisms. Work items incorporate ML-KEM and ML-DSA into ISO/IEC 18033 (encryption) and ISO/IEC 14888 (signatures). ISO/IEC 27001:2022 Annex A control 8.24 (Use of cryptography) requires cryptographic controls consistent with organisational policies. An ISO 27001-certified organisation whose cryptography policy does not address PQC migration faces a surveillance audit gap after FIPS finalisation.</w:t>
      </w:r>
    </w:p>
    <w:p>
      <w:pPr>
        <w:pStyle w:val="BodyText"/>
      </w:pPr>
      <w:r>
        <w:rPr>
          <w:bCs/>
          <w:b/>
        </w:rPr>
        <w:t xml:space="preserve">ETSI</w:t>
      </w:r>
      <w:r>
        <w:t xml:space="preserve"> </w:t>
      </w:r>
      <w:r>
        <w:t xml:space="preserve">develops telecommunications and PKI standards referenced by EU regulators. ETSI TR 103 619 addresses quantum-safe cryptography for telecommunications infrastructure. Financial entities operating private MPLS or dedicated WAN should monitor ETSI guidance for protocol-level PQC requirements.</w:t>
      </w:r>
    </w:p>
    <w:p>
      <w:pPr>
        <w:pStyle w:val="BodyText"/>
      </w:pPr>
      <w:r>
        <w:rPr>
          <w:bCs/>
          <w:b/>
        </w:rPr>
        <w:t xml:space="preserve">IETF</w:t>
      </w:r>
      <w:r>
        <w:t xml:space="preserve"> </w:t>
      </w:r>
      <w:r>
        <w:t xml:space="preserve">specifies protocol-level PQC deployment through CFRG and TLS working groups. Hybrid TLS constructions are the operational deployment format for ML-KEM in web and API contexts. Enterprise policies should reference IETF standards-track specifications, not proprietary implementations.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PCI SSC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Evolving cryptographic requirements for card data environments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security programme for financial messaging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network operator security affecting IoT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IEC 62443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automation and control system security (OT)</w:t>
            </w:r>
          </w:p>
        </w:tc>
      </w:tr>
    </w:tbl>
    <w:p>
      <w:pPr>
        <w:pStyle w:val="BodyText"/>
      </w:pPr>
      <w:r>
        <w:t xml:space="preserve">Include industry body publications in this matrix where they create binding or quasi-binding obligations.</w:t>
      </w:r>
    </w:p>
    <w:bookmarkEnd w:id="27"/>
    <w:bookmarkStart w:id="28" w:name="X9b568de72866f065a91fe3e8195dd801d08f2a3"/>
    <w:p>
      <w:pPr>
        <w:pStyle w:val="Heading3"/>
      </w:pPr>
      <w:r>
        <w:t xml:space="preserve">C.5.2 Insurance, contractual, and litigation risk</w:t>
      </w:r>
    </w:p>
    <w:p>
      <w:pPr>
        <w:pStyle w:val="FirstParagraph"/>
      </w:pPr>
      <w:r>
        <w:rPr>
          <w:bCs/>
          <w:b/>
        </w:rPr>
        <w:t xml:space="preserve">Cyber insurance:</w:t>
      </w:r>
      <w:r>
        <w:t xml:space="preserve"> </w:t>
      </w:r>
      <w:r>
        <w:t xml:space="preserve">Underwriters include cryptography and quantum readiness questions in renewal applications. Documented PQC programmes demonstrate risk management maturity; absence demonstrates the opposite.</w:t>
      </w:r>
    </w:p>
    <w:p>
      <w:pPr>
        <w:pStyle w:val="BodyText"/>
      </w:pPr>
      <w:r>
        <w:rPr>
          <w:bCs/>
          <w:b/>
        </w:rPr>
        <w:t xml:space="preserve">Contractual obligations:</w:t>
      </w:r>
      <w:r>
        <w:t xml:space="preserve"> </w:t>
      </w:r>
      <w:r>
        <w:t xml:space="preserve">Security exhibits, DPAs requiring state-of-the-art encryption, supply chain CBOM clauses, and government flow-downs (CNSA 2.0, FedRAMP) create obligations independent of primary legislation. Procurement integration (Chapter 16) addresses these systematically.</w:t>
      </w:r>
    </w:p>
    <w:p>
      <w:pPr>
        <w:pStyle w:val="BodyText"/>
      </w:pPr>
      <w:r>
        <w:rPr>
          <w:bCs/>
          <w:b/>
        </w:rPr>
        <w:t xml:space="preserve">Litigation and duty of care:</w:t>
      </w:r>
      <w:r>
        <w:t xml:space="preserve"> </w:t>
      </w:r>
      <w:r>
        <w:t xml:space="preserve">Documented threat assessment and migration planning support a reasonable-care defence for long-retention data exposed to HNDL risk. Programme chartering serves duty-of-care objectives independent of regulatory deadlines. General Counsel and regulatory affairs should link charter approval to litigation risk memos where long-retention data and HNDL exposure are material (Chapter 3; Meridian teaching narrative).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.6-matrix-maintenance-cadence"/>
    <w:p>
      <w:pPr>
        <w:pStyle w:val="Heading2"/>
      </w:pPr>
      <w:r>
        <w:t xml:space="preserve">C.6 Matrix Maintenance Cadence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2132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horizon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affairs / DPO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Matrix cell evidence link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instrument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+ CISO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publication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Examination / assessment pack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Pre-examination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 overlay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Proceed to Appendix D: Migration Programme Charter Template.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Appendix C — References</w:t>
      </w:r>
    </w:p>
    <w:p>
      <w:pPr>
        <w:numPr>
          <w:ilvl w:val="0"/>
          <w:numId w:val="1001"/>
        </w:numPr>
        <w:pStyle w:val="Compact"/>
      </w:pPr>
      <w:r>
        <w:t xml:space="preserve">Commission Delegated Regulation (EU) 2024/1532 supplementing DORA (ICT risk management RTS).</w:t>
      </w:r>
    </w:p>
    <w:p>
      <w:pPr>
        <w:numPr>
          <w:ilvl w:val="0"/>
          <w:numId w:val="1001"/>
        </w:numPr>
        <w:pStyle w:val="Compact"/>
      </w:pPr>
      <w:r>
        <w:t xml:space="preserve">European Parliament and Council. (2022). Regulation (EU) 2022/2554 (DORA).</w:t>
      </w:r>
      <w:r>
        <w:t xml:space="preserve"> </w:t>
      </w:r>
      <w:r>
        <w:rPr>
          <w:iCs/>
          <w:i/>
        </w:rPr>
        <w:t xml:space="preserve">Official Journal of the European Union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European Parliament and Council. (2022). Directive (EU) 2022/2555 (NIS2).</w:t>
      </w:r>
      <w:r>
        <w:t xml:space="preserve"> </w:t>
      </w:r>
      <w:r>
        <w:rPr>
          <w:iCs/>
          <w:i/>
        </w:rPr>
        <w:t xml:space="preserve">Official Journal of the European Union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European Parliament and Council. (2016). Regulation (EU) 2016/679 (GDPR).</w:t>
      </w:r>
      <w:r>
        <w:t xml:space="preserve"> </w:t>
      </w:r>
      <w:r>
        <w:rPr>
          <w:iCs/>
          <w:i/>
        </w:rPr>
        <w:t xml:space="preserve">Official Journal of the European Union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European Telecommunications Standards Institute. (ongoing). TR 103 619 series (quantum-safe cryptography).</w:t>
      </w:r>
    </w:p>
    <w:p>
      <w:pPr>
        <w:numPr>
          <w:ilvl w:val="0"/>
          <w:numId w:val="1001"/>
        </w:numPr>
        <w:pStyle w:val="Compact"/>
      </w:pPr>
      <w:r>
        <w:t xml:space="preserve">International Organization for Standardization / IEC. (2022). ISO/IEC 27001:2022.</w:t>
      </w:r>
    </w:p>
    <w:p>
      <w:pPr>
        <w:numPr>
          <w:ilvl w:val="0"/>
          <w:numId w:val="1001"/>
        </w:numPr>
        <w:pStyle w:val="Compact"/>
      </w:pPr>
      <w:r>
        <w:t xml:space="preserve">Internet Engineering Task Force. (ongoing). CFRG and TLS working group PQC specifications.</w:t>
      </w:r>
    </w:p>
    <w:p>
      <w:pPr>
        <w:numPr>
          <w:ilvl w:val="0"/>
          <w:numId w:val="1001"/>
        </w:numPr>
        <w:pStyle w:val="Compact"/>
      </w:pPr>
      <w:r>
        <w:t xml:space="preserve">Payment Card Industry Security Standards Council. (2024). PCI DSS v4.0.</w:t>
      </w:r>
    </w:p>
    <w:p>
      <w:pPr>
        <w:numPr>
          <w:ilvl w:val="0"/>
          <w:numId w:val="1001"/>
        </w:numPr>
        <w:pStyle w:val="Compact"/>
      </w:pPr>
      <w:r>
        <w:t xml:space="preserve">National Institute of Standards and Technology. (2020). NIST SP 800-53 Rev. 5.</w:t>
      </w:r>
    </w:p>
    <w:p>
      <w:pPr>
        <w:numPr>
          <w:ilvl w:val="0"/>
          <w:numId w:val="1001"/>
        </w:numPr>
        <w:pStyle w:val="Compact"/>
      </w:pPr>
      <w:r>
        <w:t xml:space="preserve">North American Electric Reliability Corporation. (2024–2026). CIP standards series.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2026-06-12T10:03:16Z</dcterms:created>
  <dcterms:modified xsi:type="dcterms:W3CDTF">2026-06-12T10:03:16Z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