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pendix-d"/>
    <w:p>
      <w:pPr>
        <w:pStyle w:val="Heading1"/>
      </w:pPr>
      <w:r>
        <w:t xml:space="preserve">Appendix D</w:t>
      </w:r>
    </w:p>
    <w:bookmarkEnd w:id="20"/>
    <w:bookmarkStart w:id="42" w:name="migration-programme-charter-template"/>
    <w:p>
      <w:pPr>
        <w:pStyle w:val="Heading1"/>
      </w:pPr>
      <w:r>
        <w:t xml:space="preserve">Migration Programme Charter Template</w:t>
      </w:r>
    </w:p>
    <w:bookmarkStart w:id="21" w:name="X209b0ebeb97657eac601bf6ec486b9bb2dbd497"/>
    <w:p>
      <w:pPr>
        <w:pStyle w:val="Heading2"/>
      </w:pPr>
      <w:r>
        <w:t xml:space="preserve">Board-Approved Programme Authority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appendix provides a</w:t>
      </w:r>
      <w:r>
        <w:t xml:space="preserve"> </w:t>
      </w:r>
      <w:r>
        <w:rPr>
          <w:bCs/>
          <w:b/>
        </w:rPr>
        <w:t xml:space="preserve">fillable charter template</w:t>
      </w:r>
      <w:r>
        <w:t xml:space="preserve"> </w:t>
      </w:r>
      <w:r>
        <w:t xml:space="preserve">implementing Chapter 15 Table 15.4. Legal review required before board submission — sample language is informative, not legal advice.</w:t>
      </w:r>
    </w:p>
    <w:p>
      <w:pPr>
        <w:pStyle w:val="BodyText"/>
      </w:pPr>
      <w:r>
        <w:rPr>
          <w:bCs/>
          <w:b/>
        </w:rPr>
        <w:t xml:space="preserve">Approval authority:</w:t>
      </w:r>
      <w:r>
        <w:t xml:space="preserve"> </w:t>
      </w:r>
      <w:r>
        <w:t xml:space="preserve">Board risk committee or delegated audit committee (financial services); equivalent governance body for other sectors.</w:t>
      </w:r>
    </w:p>
    <w:p>
      <w:pPr>
        <w:pStyle w:val="BodyText"/>
      </w:pPr>
      <w:r>
        <w:rPr>
          <w:bCs/>
          <w:b/>
        </w:rPr>
        <w:t xml:space="preserve">Renewal:</w:t>
      </w:r>
      <w:r>
        <w:t xml:space="preserve"> </w:t>
      </w:r>
      <w:r>
        <w:t xml:space="preserve">Annual minimum; amendment within five business days of material scope or authority change.</w:t>
      </w:r>
    </w:p>
    <w:p>
      <w:pPr>
        <w:pStyle w:val="BodyText"/>
      </w:pPr>
      <w:r>
        <w:rPr>
          <w:bCs/>
          <w:b/>
        </w:rPr>
        <w:t xml:space="preserve">Related artefacts:</w:t>
      </w:r>
      <w:r>
        <w:t xml:space="preserve"> </w:t>
      </w:r>
      <w:r>
        <w:t xml:space="preserve">Regulatory overlay matrix (Appendix C); CBOM/CDG templates (Appendix A); PQ-ADAPT self-assessment (Appendix B); contract clause library (Chapter 16 Table 16.1).</w:t>
      </w:r>
    </w:p>
    <w:p>
      <w:r>
        <w:pict>
          <v:rect style="width:0;height:1.5pt" o:hralign="center" o:hrstd="t" o:hr="t"/>
        </w:pict>
      </w:r>
    </w:p>
    <w:bookmarkEnd w:id="21"/>
    <w:bookmarkStart w:id="22" w:name="d.1-charter-cover-sheet"/>
    <w:p>
      <w:pPr>
        <w:pStyle w:val="Heading2"/>
      </w:pPr>
      <w:r>
        <w:t xml:space="preserve">D.1 Charter Cover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Post-Quantum Cryptography Migration 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Charter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 approval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Programme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title]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CISO / accountable executive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 renewal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 charter version superseded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d.2-section-1-purpose-and-scope"/>
    <w:p>
      <w:pPr>
        <w:pStyle w:val="Heading2"/>
      </w:pPr>
      <w:r>
        <w:t xml:space="preserve">D.2 Section 1 — Purpose and Scope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organisation establishes this programme to</w:t>
      </w:r>
      <w:r>
        <w:t xml:space="preserve"> </w:t>
      </w:r>
      <w:r>
        <w:rPr>
          <w:bCs/>
          <w:b/>
        </w:rPr>
        <w:t xml:space="preserve">synchronise</w:t>
      </w:r>
      <w:r>
        <w:t xml:space="preserve"> </w:t>
      </w:r>
      <w:r>
        <w:t xml:space="preserve">post-quantum cryptographic migration across [enterprise / named subsidiaries] in response to:</w:t>
      </w:r>
    </w:p>
    <w:p>
      <w:pPr>
        <w:numPr>
          <w:ilvl w:val="0"/>
          <w:numId w:val="1001"/>
        </w:numPr>
        <w:pStyle w:val="Compact"/>
      </w:pPr>
      <w:r>
        <w:t xml:space="preserve">Quantum computing threat to public-key cryptography (harvest-now-decrypt-later and future cryptanalytic capability)</w:t>
      </w:r>
    </w:p>
    <w:p>
      <w:pPr>
        <w:numPr>
          <w:ilvl w:val="0"/>
          <w:numId w:val="1001"/>
        </w:numPr>
        <w:pStyle w:val="Compact"/>
      </w:pPr>
      <w:r>
        <w:t xml:space="preserve">Regulatory and contractual obligations for state-of-the-art encryption</w:t>
      </w:r>
    </w:p>
    <w:p>
      <w:pPr>
        <w:numPr>
          <w:ilvl w:val="0"/>
          <w:numId w:val="1001"/>
        </w:numPr>
        <w:pStyle w:val="Compact"/>
      </w:pPr>
      <w:r>
        <w:t xml:space="preserve">NIST FIPS 203–205 standardisation and NIST IR 8547 transition timelines</w:t>
      </w:r>
    </w:p>
    <w:p>
      <w:pPr>
        <w:numPr>
          <w:ilvl w:val="0"/>
          <w:numId w:val="1001"/>
        </w:numPr>
        <w:pStyle w:val="Compact"/>
      </w:pPr>
      <w:r>
        <w:t xml:space="preserve">[Sector-specific drivers: DORA / NERC CIP / CMMC / GDPR — as applicable]</w:t>
      </w:r>
    </w:p>
    <w:bookmarkEnd w:id="23"/>
    <w:bookmarkStart w:id="24" w:name="scope-in-scope"/>
    <w:p>
      <w:pPr>
        <w:pStyle w:val="Heading3"/>
      </w:pPr>
      <w:r>
        <w:t xml:space="preserve">1.2 Scope — In 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Subsidiaries / entities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production IT, OT, cloud, SaaS platform, payment CDE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Cryptographic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TLS, PKI, HSM/KMS, firmware signing, application-layer, partner mTLS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ICT providers per DORA Art. 28 register / equivalent</w:t>
            </w:r>
          </w:p>
        </w:tc>
      </w:tr>
    </w:tbl>
    <w:bookmarkEnd w:id="24"/>
    <w:bookmarkStart w:id="25" w:name="scope-explicit-exclusions"/>
    <w:p>
      <w:pPr>
        <w:pStyle w:val="Heading3"/>
      </w:pPr>
      <w:r>
        <w:t xml:space="preserve">1.3 Scope — Explicit exclusions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9"/>
        <w:gridCol w:w="2489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e.g. Divestiture subsidiary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closing Q2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e.g. Retail CPE (customer premises)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enterprise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2028-01-01</w:t>
            </w:r>
          </w:p>
        </w:tc>
      </w:tr>
    </w:tbl>
    <w:bookmarkEnd w:id="25"/>
    <w:bookmarkStart w:id="26" w:name="scope-zones"/>
    <w:p>
      <w:pPr>
        <w:pStyle w:val="Heading3"/>
      </w:pPr>
      <w:r>
        <w:t xml:space="preserve">1.4 Scope zones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scope_zone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PQ-ADAPT reporting (Y/N)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cde_payment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Cardholder data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corporate_it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enterprise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technology field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X18eb7fcc75669621fc941ad1b141b965c0c9dac"/>
    <w:p>
      <w:pPr>
        <w:pStyle w:val="Heading2"/>
      </w:pPr>
      <w:r>
        <w:t xml:space="preserve">D.3 Section 2 — Regulatory and Sector Overlay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matrix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Appendix C §C.3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PCI DSS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NERC CIP / TSA / CISA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CMMC / CNSA 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Sector Overlay Matrix (SOM) parameters documented: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 modifier (financial)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 modifier (SaaS)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NSS wR 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 wT 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+0.25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d.4-section-3-organisational-authority"/>
    <w:p>
      <w:pPr>
        <w:pStyle w:val="Heading2"/>
      </w:pPr>
      <w:r>
        <w:t xml:space="preserve">D.4 Section 3 — Organisational Authority</w:t>
      </w:r>
    </w:p>
    <w:bookmarkStart w:id="29" w:name="programme-director-appointment"/>
    <w:p>
      <w:pPr>
        <w:pStyle w:val="Heading3"/>
      </w:pPr>
      <w:r>
        <w:t xml:space="preserve">3.1 Programme director appointment</w:t>
      </w:r>
    </w:p>
    <w:p>
      <w:pPr>
        <w:pStyle w:val="FirstParagraph"/>
      </w:pPr>
      <w:r>
        <w:t xml:space="preserve">[Name] is appointed Programme Director with accountability for wave execution outcomes, KPI integrity, and steering committee leadership.</w:t>
      </w:r>
    </w:p>
    <w:bookmarkEnd w:id="29"/>
    <w:bookmarkStart w:id="30" w:name="migration-authority-matrix"/>
    <w:p>
      <w:pPr>
        <w:pStyle w:val="Heading3"/>
      </w:pPr>
      <w:r>
        <w:t xml:space="preserve">3.2 Migration authority matrix</w:t>
      </w:r>
    </w:p>
    <w:p>
      <w:pPr>
        <w:pStyle w:val="FirstParagraph"/>
      </w:pPr>
      <w:r>
        <w:t xml:space="preserve">Reference: Chapter 15 Table 15.5. Summary: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profile mandate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director + commercial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funding reallocation 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&gt;90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+ risk committee chair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governance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Charter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risk committee</w:t>
            </w:r>
          </w:p>
        </w:tc>
      </w:tr>
    </w:tbl>
    <w:bookmarkEnd w:id="30"/>
    <w:bookmarkStart w:id="31" w:name="escalation-ladder"/>
    <w:p>
      <w:pPr>
        <w:pStyle w:val="Heading3"/>
      </w:pPr>
      <w:r>
        <w:t xml:space="preserve">3.3 Escalation ladder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410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office 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committee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exit miss; vendor non-compliance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risk committee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&gt;15% behind regulatory anchor; material risk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enforcement; major incident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d.5-section-4-governance-structure"/>
    <w:p>
      <w:pPr>
        <w:pStyle w:val="Heading2"/>
      </w:pPr>
      <w:r>
        <w:t xml:space="preserve">D.5 Section 4 — Governance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/ TOR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risk committee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 steering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 D-1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 governance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CBOM quality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Annex D-1:</w:t>
      </w:r>
      <w:r>
        <w:t xml:space="preserve"> </w:t>
      </w:r>
      <w:r>
        <w:t xml:space="preserve">Steering committee terms of reference (membership, quorum, decision log format).</w:t>
      </w:r>
    </w:p>
    <w:p>
      <w:r>
        <w:pict>
          <v:rect style="width:0;height:1.5pt" o:hralign="center" o:hrstd="t" o:hr="t"/>
        </w:pict>
      </w:r>
    </w:p>
    <w:bookmarkEnd w:id="33"/>
    <w:bookmarkStart w:id="34" w:name="d.6-section-5-wave-plan-and-dependencies"/>
    <w:p>
      <w:pPr>
        <w:pStyle w:val="Heading2"/>
      </w:pPr>
      <w:r>
        <w:t xml:space="preserve">D.6 Section 5 — Wave Plan and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approval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plan (Chapter 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CBOM baseline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CDG blocking node register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Replanning triggers:</w:t>
      </w:r>
      <w:r>
        <w:t xml:space="preserve"> </w:t>
      </w:r>
      <w:r>
        <w:t xml:space="preserve">CDG blocking node stall &gt;4 weeks; regulatory publication; CMVP listing change; acquisition &gt;[threshold] revenue.</w:t>
      </w:r>
    </w:p>
    <w:p>
      <w:r>
        <w:pict>
          <v:rect style="width:0;height:1.5pt" o:hralign="center" o:hrstd="t" o:hr="t"/>
        </w:pict>
      </w:r>
    </w:p>
    <w:bookmarkEnd w:id="34"/>
    <w:bookmarkStart w:id="35" w:name="d.7-section-6-funding-envelope"/>
    <w:p>
      <w:pPr>
        <w:pStyle w:val="Heading2"/>
      </w:pPr>
      <w:r>
        <w:t xml:space="preserve">D.7 Section 6 — Funding Envelope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1–3 budget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execution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office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/ procurement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 / validation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(10–15%)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Sustainment (Year 3+)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Chapter 22 custodianship</w:t>
            </w:r>
          </w:p>
        </w:tc>
      </w:tr>
    </w:tbl>
    <w:p>
      <w:pPr>
        <w:pStyle w:val="BodyText"/>
      </w:pPr>
      <w:r>
        <w:rPr>
          <w:bCs/>
          <w:b/>
        </w:rPr>
        <w:t xml:space="preserve">Wave funding gates:</w:t>
      </w:r>
      <w:r>
        <w:t xml:space="preserve"> </w:t>
      </w:r>
      <w:r>
        <w:t xml:space="preserve">Wave N+1 funding released upon Wave N exit criteria met or documented risk acceptance.</w:t>
      </w:r>
    </w:p>
    <w:p>
      <w:r>
        <w:pict>
          <v:rect style="width:0;height:1.5pt" o:hralign="center" o:hrstd="t" o:hr="t"/>
        </w:pict>
      </w:r>
    </w:p>
    <w:bookmarkEnd w:id="35"/>
    <w:bookmarkStart w:id="36" w:name="d.8-section-7-kpi-framework"/>
    <w:p>
      <w:pPr>
        <w:pStyle w:val="Heading2"/>
      </w:pPr>
      <w:r>
        <w:t xml:space="preserve">D.8 Section 7 — KPI Framework</w:t>
      </w:r>
    </w:p>
    <w:p>
      <w:pPr>
        <w:pStyle w:val="FirstParagraph"/>
      </w:pPr>
      <w:r>
        <w:t xml:space="preserve">Reference dashboard template: Chapter 15 §15.12.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CBOM verified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 nodes resolved /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hybrids (count)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Tier A–B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validation gaps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.9-section-8-raci-and-accountability"/>
    <w:p>
      <w:pPr>
        <w:pStyle w:val="Heading2"/>
      </w:pPr>
      <w:r>
        <w:t xml:space="preserve">D.9 Section 8 — RACI and Accountability</w:t>
      </w:r>
    </w:p>
    <w:p>
      <w:pPr>
        <w:pStyle w:val="FirstParagraph"/>
      </w:pPr>
      <w:r>
        <w:t xml:space="preserve">RACI matrix version: [ID] — Annex D-2.</w:t>
      </w:r>
    </w:p>
    <w:p>
      <w:pPr>
        <w:pStyle w:val="BodyText"/>
      </w:pPr>
      <w:r>
        <w:rPr>
          <w:bCs/>
          <w:b/>
        </w:rPr>
        <w:t xml:space="preserve">Acknowledgement:</w:t>
      </w:r>
      <w:r>
        <w:t xml:space="preserve"> </w:t>
      </w:r>
      <w:r>
        <w:t xml:space="preserve">Domain VPs confirm RACI within 30 days of charter approval.</w:t>
      </w:r>
    </w:p>
    <w:p>
      <w:r>
        <w:pict>
          <v:rect style="width:0;height:1.5pt" o:hralign="center" o:hrstd="t" o:hr="t"/>
        </w:pict>
      </w:r>
    </w:p>
    <w:bookmarkEnd w:id="37"/>
    <w:bookmarkStart w:id="38" w:name="d.10-section-9-assurance-integration"/>
    <w:p>
      <w:pPr>
        <w:pStyle w:val="Heading2"/>
      </w:pPr>
      <w:r>
        <w:t xml:space="preserve">D.10 Section 9 — Assurance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44"/>
        <w:gridCol w:w="1232"/>
        <w:gridCol w:w="33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Assurance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programme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Chapter 18 test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audit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Annual plan includes PQC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examination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Appendix C examination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 test (crypto-qualified)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Annual scope includes downgrade / KMS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.11-section-10-review-and-amendment"/>
    <w:p>
      <w:pPr>
        <w:pStyle w:val="Heading2"/>
      </w:pPr>
      <w:r>
        <w:t xml:space="preserve">D.11 Section 10 — Review and Amendment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charter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risk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scope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 within 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PQ-ADAPT level declaration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zone integration within 90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7234e9c6e3207fd56eb557894e00c2b9d8370f0"/>
    <w:p>
      <w:pPr>
        <w:pStyle w:val="Heading2"/>
      </w:pPr>
      <w:r>
        <w:t xml:space="preserve">D.12 Annex D-3 — Third-Party Contract Exhibit Pointer</w:t>
      </w:r>
    </w:p>
    <w:p>
      <w:pPr>
        <w:pStyle w:val="FirstParagraph"/>
      </w:pPr>
      <w:r>
        <w:t xml:space="preserve">Procurement attaches</w:t>
      </w:r>
      <w:r>
        <w:t xml:space="preserve"> </w:t>
      </w:r>
      <w:r>
        <w:rPr>
          <w:bCs/>
          <w:b/>
        </w:rPr>
        <w:t xml:space="preserve">PQC clause library</w:t>
      </w:r>
      <w:r>
        <w:t xml:space="preserve"> </w:t>
      </w:r>
      <w:r>
        <w:t xml:space="preserve">(Chapter 16 Table 16.1) as contract exhibits: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policy excerpt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CBOM schema + minimum fields (Appendix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crypto profile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harness / agility verification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TLS negotiation profile IDs</w:t>
            </w:r>
          </w:p>
        </w:tc>
      </w:tr>
    </w:tbl>
    <w:p>
      <w:pPr>
        <w:pStyle w:val="BodyText"/>
      </w:pPr>
      <w:r>
        <w:rPr>
          <w:iCs/>
          <w:i/>
        </w:rPr>
        <w:t xml:space="preserve">This annex satisfies Chapter 19 reference to third-party contractual templates within the charter package.</w:t>
      </w:r>
    </w:p>
    <w:p>
      <w:r>
        <w:pict>
          <v:rect style="width:0;height:1.5pt" o:hralign="center" o:hrstd="t" o:hr="t"/>
        </w:pict>
      </w:r>
    </w:p>
    <w:bookmarkEnd w:id="40"/>
    <w:bookmarkStart w:id="41" w:name="d.13-signatures"/>
    <w:p>
      <w:pPr>
        <w:pStyle w:val="Heading2"/>
      </w:pPr>
      <w:r>
        <w:t xml:space="preserve">D.13 Signatures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risk committee chair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director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counsel (acknowledgement)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Proceed to Appendix E: Glossary and Standards Quick Reference.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Appendix D — References</w:t>
      </w:r>
    </w:p>
    <w:p>
      <w:pPr>
        <w:numPr>
          <w:ilvl w:val="0"/>
          <w:numId w:val="1002"/>
        </w:numPr>
        <w:pStyle w:val="Compact"/>
      </w:pPr>
      <w:r>
        <w:t xml:space="preserve">National Institute of Standards and Technology. (2024). NIST IR 8547 (Initial Public Draft): Transition to post-quantum cryptography standards.</w:t>
      </w:r>
    </w:p>
    <w:p>
      <w:pPr>
        <w:numPr>
          <w:ilvl w:val="0"/>
          <w:numId w:val="1002"/>
        </w:numPr>
        <w:pStyle w:val="Compact"/>
      </w:pPr>
      <w:r>
        <w:t xml:space="preserve">Post-Quantum Cryptography Enterprise Migration Handbook. (2026). Chapter 15 — programme charter contents.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2026-06-12T10:03:16Z</dcterms:created>
  <dcterms:modified xsi:type="dcterms:W3CDTF">2026-06-12T10:03:16Z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