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e"/>
    <w:p>
      <w:pPr>
        <w:pStyle w:val="Heading1"/>
      </w:pPr>
      <w:r>
        <w:t xml:space="preserve">Appendix E</w:t>
      </w:r>
    </w:p>
    <w:bookmarkEnd w:id="20"/>
    <w:bookmarkStart w:id="27" w:name="glossary-and-standards-quick-reference"/>
    <w:p>
      <w:pPr>
        <w:pStyle w:val="Heading1"/>
      </w:pPr>
      <w:r>
        <w:t xml:space="preserve">Glossary and Standards Quick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Quick-reference tables for terms and standards used throughout this handbook. Definitions are</w:t>
      </w:r>
      <w:r>
        <w:t xml:space="preserve"> </w:t>
      </w:r>
      <w:r>
        <w:rPr>
          <w:bCs/>
          <w:b/>
        </w:rPr>
        <w:t xml:space="preserve">programme-oriented</w:t>
      </w:r>
      <w:r>
        <w:t xml:space="preserve"> </w:t>
      </w:r>
      <w:r>
        <w:t xml:space="preserve">— not mathematical specifications. Consult FIPS and IETF documents for normative algorithm and protocol detail.</w:t>
      </w:r>
    </w:p>
    <w:p>
      <w:r>
        <w:pict>
          <v:rect style="width:0;height:1.5pt" o:hralign="center" o:hrstd="t" o:hr="t"/>
        </w:pict>
      </w:r>
    </w:p>
    <w:bookmarkStart w:id="21" w:name="e.1-glossary"/>
    <w:p>
      <w:pPr>
        <w:pStyle w:val="Heading2"/>
      </w:pPr>
      <w:r>
        <w:t xml:space="preserve">E.1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→ Register → Capability → Synchronize — four enterprise capabilities for PQC migration (Chapter 1). Part VI sector playbooks deliver programme</w:t>
            </w:r>
            <w:r>
              <w:t xml:space="preserve"> </w:t>
            </w:r>
            <w:r>
              <w:rPr>
                <w:iCs/>
                <w:i/>
              </w:rPr>
              <w:t xml:space="preserve">proof</w:t>
            </w:r>
            <w:r>
              <w:t xml:space="preserve">: validated outcomes under sector constraints (Chapter 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vertex whose migration must complete before dependents can adopt PQC (Chapter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Bill of Materials — inventory of cryptographic components with programme attributes (Chapter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Dependency Graph — directed graph of cryptographic relationships and trust (Chapter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CNSA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NSA Commercial National Security Algorithm Suite 2.0 — binding NSS algorithm policy (Chapter 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Module Validation Program — NIST/CCCS FIPS 140-3 module validation (Chapter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Cryptographically Relevant Quantum Computer — quantum machine capable of breaking deployed public-key cryptography.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Unclassified Information — US federal information requiring protection per NIST SP 800-171.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Operational Resilience Act — EU Regulation 2022/2554 for financial entities (Chapter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FALCON — NIST additional PQC signature candidate under standardisation (Chapter 22 contingency).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140-3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standard for cryptographic module security requirements (Chapter 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Five-layer model: Strategic, Programme, Policy, Operational, Assurance (Chapter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Lifecycle Model — H1 Protective Hybrid, H2 Transitional Hybrid, H3 PQC-Native (Chapter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HNDL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Now, Decrypt Later — threat model recording ciphertext for future decryption (Chapter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Hamming Quasi-Cyclic — NIST additional PQC KEM candidate under standardisation (Chapter 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Module-Lattice-Based Digital Signature Algorithm — FIPS 204.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Module-Lattice-Based Key-Encapsulation Mechanism — FIPS 203.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Priority Index — TRADE-weighted prioritisation score (Chapter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Security System — US systems under CNSSP 15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ADAPTation maturity model — Levels 0–5 from Unaware to Quantum-Resilient.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Cryptography — cryptography resistant to quantum adversaries.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 — software component inventory; CBOM extends for cryptography.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Hash-Based Digital Signature Algorithm — FIPS 205.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Overlay Matrix — TRADE weight and timeline modifiers by industry (Chapters 9, 19–21).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Secure Software Development Framework — supply chain practices (Chapter 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Exposure Score — TRADE Threat dimension input (Chapter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Threat, Regulatory, Architectural dependency, Data longevity, Ecosystem — prioritisation engine (Chapters 2,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 (programme)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VI outcome phase — sector playbooks, examination results, and sustained resilience evidence (Chapters 19–22).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.2-algorithm-quick-reference"/>
    <w:p>
      <w:pPr>
        <w:pStyle w:val="Heading2"/>
      </w:pPr>
      <w:r>
        <w:t xml:space="preserve">E.2 Algorithm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754"/>
        <w:gridCol w:w="1634"/>
        <w:gridCol w:w="2388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 (FIPS)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ML-KEM-512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parameters; limited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ML-KEM-768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VPN,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enterprise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ML-KEM-1024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/ high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CNSA preferred parameter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ML-DSA-44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ML-DSA-65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signing,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enterprise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ML-DSA-87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/ high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CNSA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Firmware, long-term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signatures; stateless hash-based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/ XMSS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(SP 800-208)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— careful key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RSA-2048+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Disallowance horizon per IR 8547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ECDSA P-256+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Disallowance horizon per IR 8547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ECDHE / 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transition path via HLM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9d0f4670f17678687c8a05b2ef8fc7a23d3483"/>
    <w:p>
      <w:pPr>
        <w:pStyle w:val="Heading2"/>
      </w:pPr>
      <w:r>
        <w:t xml:space="preserve">E.3 Standards and Documents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1712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140-3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module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IR 8547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timelines (IPD at time of writing)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SP 800-208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hash-based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SP 800-53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federal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SP 800-171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protection (CMMC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SP 800-218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SSDF supply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CNSA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algorithm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DORA + RTS 2024/1532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ICT risk and crypto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entity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security (Art. 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PCI DSS 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card cryptography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CycloneDX CBOM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CBOM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IETF hybrid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Protocol-level hybrid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.4-hlm-phase-quick-reference"/>
    <w:p>
      <w:pPr>
        <w:pStyle w:val="Heading2"/>
      </w:pPr>
      <w:r>
        <w:t xml:space="preserve">E.4 HLM Phase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8"/>
        <w:gridCol w:w="1284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PQC alongside classical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threshold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Transitional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classical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deprecated in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quantum-vulnerable PKC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confirms zero disallowed algorithms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.5-pq-adapt-level-quick-reference"/>
    <w:p>
      <w:pPr>
        <w:pStyle w:val="Heading2"/>
      </w:pPr>
      <w:r>
        <w:t xml:space="preserve">E.5 PQ-ADAPT Level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485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quantum risk in risk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awareness; no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baseline; CDG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Agility standards; wave plan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hybrids under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Disallowance compliance; continuous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.6-programme-artefact-index"/>
    <w:p>
      <w:pPr>
        <w:pStyle w:val="Heading2"/>
      </w:pPr>
      <w:r>
        <w:t xml:space="preserve">E.6 Programme Artefact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appendix /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schema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A; Chapter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A; Chapter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PQ-ADAPT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B; Chapter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overlay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C; Chapter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D; Chapter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clause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 Table 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evidence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 Table 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test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18 Table 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19–21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appendices. Return to manuscript overview: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manuscript/README.md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Appendix E — References</w:t>
      </w:r>
    </w:p>
    <w:p>
      <w:pPr>
        <w:numPr>
          <w:ilvl w:val="0"/>
          <w:numId w:val="1001"/>
        </w:numPr>
        <w:pStyle w:val="Compact"/>
      </w:pPr>
      <w:r>
        <w:t xml:space="preserve">National Institute of Standards and Technology. (2024). FIPS 203, 204, 205. U.S. Department of Commerce.</w:t>
      </w:r>
    </w:p>
    <w:p>
      <w:pPr>
        <w:numPr>
          <w:ilvl w:val="0"/>
          <w:numId w:val="1001"/>
        </w:numPr>
        <w:pStyle w:val="Compact"/>
      </w:pPr>
      <w:r>
        <w:t xml:space="preserve">National Institute of Standards and Technology. (2024). NIST IR 8547 (Initial Public Draft).</w:t>
      </w:r>
    </w:p>
    <w:p>
      <w:pPr>
        <w:numPr>
          <w:ilvl w:val="0"/>
          <w:numId w:val="1001"/>
        </w:numPr>
        <w:pStyle w:val="Compact"/>
      </w:pPr>
      <w:r>
        <w:t xml:space="preserve">Post-Quantum Cryptography Enterprise Migration Handbook. (2026). Full manuscript Parts I–VI.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2026-06-12T10:03:17Z</dcterms:created>
  <dcterms:modified xsi:type="dcterms:W3CDTF">2026-06-12T10:03:17Z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