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
    <w:p>
      <w:pPr>
        <w:pStyle w:val="Heading1"/>
      </w:pPr>
      <w:r>
        <w:t xml:space="preserve">Chapter 4</w:t>
      </w:r>
    </w:p>
    <w:bookmarkEnd w:id="20"/>
    <w:bookmarkStart w:id="81" w:name="from-nist-competition-to-fips-203205"/>
    <w:p>
      <w:pPr>
        <w:pStyle w:val="Heading1"/>
      </w:pPr>
      <w:r>
        <w:t xml:space="preserve">From NIST Competition to FIPS 203–205</w:t>
      </w:r>
    </w:p>
    <w:p>
      <w:r>
        <w:pict>
          <v:rect style="width:0;height:1.5pt" o:hralign="center" o:hrstd="t" o:hr="t"/>
        </w:pict>
      </w:r>
    </w:p>
    <w:p>
      <w:pPr>
        <w:pStyle w:val="FirstParagraph"/>
      </w:pPr>
      <w:r>
        <w:t xml:space="preserve">Apex Defense Technologies’ Chief Cryptographic Architect, Dr. Priya Nair, received a procurement questionnaire in February 2025 that her team had answered dozens of times before — with incrementally different answers each quarter. The customer, a federal systems integrator, required evidence that Apex’s platform software would support the Commercial National Security Algorithm Suite 2.0 by 2027 for new National Security System acquisitions. The questionnaire listed ML-KEM-1024, ML-DSA-87, and SLH-DSA as required algorithms. It also asked whether Apex supported FN-DSA and HQC.</w:t>
      </w:r>
    </w:p>
    <w:p>
      <w:pPr>
        <w:pStyle w:val="BodyText"/>
      </w:pPr>
      <w:r>
        <w:t xml:space="preserve">Priya’s engineering lead responded that FN-DSA and HQC were</w:t>
      </w:r>
      <w:r>
        <w:t xml:space="preserve"> </w:t>
      </w:r>
      <w:r>
        <w:t xml:space="preserve">“</w:t>
      </w:r>
      <w:r>
        <w:t xml:space="preserve">under evaluation.</w:t>
      </w:r>
      <w:r>
        <w:t xml:space="preserve">”</w:t>
      </w:r>
      <w:r>
        <w:t xml:space="preserve"> </w:t>
      </w:r>
      <w:r>
        <w:t xml:space="preserve">Priya sent the response back. The correct enterprise answer, she explained, was structural:</w:t>
      </w:r>
      <w:r>
        <w:t xml:space="preserve"> </w:t>
      </w:r>
      <w:r>
        <w:rPr>
          <w:bCs/>
          <w:b/>
        </w:rPr>
        <w:t xml:space="preserve">Apex standardises on the NIST-finalised suite for programme planning; contingency algorithms are monitored, not deployed, until standardised and required by contract.</w:t>
      </w:r>
      <w:r>
        <w:t xml:space="preserve"> </w:t>
      </w:r>
      <w:r>
        <w:t xml:space="preserve">The integrator accepted the distinction. A competitor who claimed</w:t>
      </w:r>
      <w:r>
        <w:t xml:space="preserve"> </w:t>
      </w:r>
      <w:r>
        <w:t xml:space="preserve">“</w:t>
      </w:r>
      <w:r>
        <w:t xml:space="preserve">full PQC algorithm support</w:t>
      </w:r>
      <w:r>
        <w:t xml:space="preserve">”</w:t>
      </w:r>
      <w:r>
        <w:t xml:space="preserve"> </w:t>
      </w:r>
      <w:r>
        <w:t xml:space="preserve">including pre-standard candidates later failed technical evaluation when their implementation could not demonstrate FIPS-validated modules for any signature scheme.</w:t>
      </w:r>
    </w:p>
    <w:p>
      <w:pPr>
        <w:pStyle w:val="BodyText"/>
      </w:pPr>
      <w:r>
        <w:t xml:space="preserve">Apex’s lesson generalises beyond defence contracting. Enterprise architects need sufficient standards literacy to answer procurement questions, write cryptography policies, and evaluate vendor claims — without becoming lattice cryptographers. This chapter provides that literacy.</w:t>
      </w:r>
    </w:p>
    <w:p>
      <w:r>
        <w:pict>
          <v:rect style="width:0;height:1.5pt" o:hralign="center" o:hrstd="t" o:hr="t"/>
        </w:pict>
      </w:r>
    </w:p>
    <w:bookmarkStart w:id="21" w:name="the-standards-as-inputs-principle"/>
    <w:p>
      <w:pPr>
        <w:pStyle w:val="Heading2"/>
      </w:pPr>
      <w:r>
        <w:t xml:space="preserve">4.1 The Standards-as-Inputs Principle</w:t>
      </w:r>
    </w:p>
    <w:p>
      <w:pPr>
        <w:pStyle w:val="FirstParagraph"/>
      </w:pPr>
      <w:r>
        <w:t xml:space="preserve">Part I argued that post-quantum migration is a synchronisation problem, not an algorithm selection exercise. Part II begins from that premise and adds a constraint:</w:t>
      </w:r>
      <w:r>
        <w:t xml:space="preserve"> </w:t>
      </w:r>
      <w:r>
        <w:rPr>
          <w:bCs/>
          <w:b/>
        </w:rPr>
        <w:t xml:space="preserve">the algorithm suite is largely decided.</w:t>
      </w:r>
    </w:p>
    <w:p>
      <w:pPr>
        <w:pStyle w:val="BodyText"/>
      </w:pPr>
      <w:r>
        <w:t xml:space="preserve">NIST’s Post-Quantum Cryptography Standardization Project, launched in 2016, completed its primary selection phase in August 2024 with the publication of FIPS 203, 204, and 205. Enterprises planning migration in 2026 should treat these three standards as the deployment baseline. International standards bodies — ISO/IEC JTC 1 SC 27, ETSI, IETF — are aligning normative references with NIST’s selections. Regulatory guidance referencing</w:t>
      </w:r>
      <w:r>
        <w:t xml:space="preserve"> </w:t>
      </w:r>
      <w:r>
        <w:t xml:space="preserve">“</w:t>
      </w:r>
      <w:r>
        <w:t xml:space="preserve">state of the art</w:t>
      </w:r>
      <w:r>
        <w:t xml:space="preserve">”</w:t>
      </w:r>
      <w:r>
        <w:t xml:space="preserve"> </w:t>
      </w:r>
      <w:r>
        <w:t xml:space="preserve">increasingly points at ML-KEM, ML-DSA, and SLH-DSA as the algorithms that demonstrate serious migration planning.</w:t>
      </w:r>
    </w:p>
    <w:p>
      <w:pPr>
        <w:pStyle w:val="BodyText"/>
      </w:pPr>
      <w:r>
        <w:t xml:space="preserve">The standards-as-inputs principle defines how this book uses FIPS documents:</w:t>
      </w:r>
    </w:p>
    <w:tbl>
      <w:tblPr>
        <w:tblStyle w:val="Table"/>
        <w:tblW w:type="pct" w:w="5000"/>
        <w:tblLook w:firstRow="1" w:lastRow="0" w:firstColumn="0" w:lastColumn="0" w:noHBand="0" w:noVBand="0" w:val="0020"/>
        <w:jc w:val="start"/>
      </w:tblPr>
      <w:tblGrid>
        <w:gridCol w:w="792"/>
        <w:gridCol w:w="3168"/>
        <w:gridCol w:w="3960"/>
      </w:tblGrid>
      <w:tr>
        <w:trPr>
          <w:tblHeader w:val="true"/>
        </w:trPr>
        <w:tc>
          <w:tcPr/>
          <w:p>
            <w:pPr>
              <w:pStyle w:val="Compact"/>
              <w:jc w:val="left"/>
            </w:pPr>
            <w:r>
              <w:t xml:space="preserve">Role</w:t>
            </w:r>
          </w:p>
        </w:tc>
        <w:tc>
          <w:tcPr/>
          <w:p>
            <w:pPr>
              <w:pStyle w:val="Compact"/>
              <w:jc w:val="left"/>
            </w:pPr>
            <w:r>
              <w:t xml:space="preserve">What standards provide</w:t>
            </w:r>
          </w:p>
        </w:tc>
        <w:tc>
          <w:tcPr/>
          <w:p>
            <w:pPr>
              <w:pStyle w:val="Compact"/>
              <w:jc w:val="left"/>
            </w:pPr>
            <w:r>
              <w:t xml:space="preserve">What standards do not provide</w:t>
            </w:r>
          </w:p>
        </w:tc>
      </w:tr>
      <w:tr>
        <w:tc>
          <w:tcPr/>
          <w:p>
            <w:pPr>
              <w:pStyle w:val="Compact"/>
              <w:jc w:val="left"/>
            </w:pPr>
            <w:r>
              <w:rPr>
                <w:bCs/>
                <w:b/>
              </w:rPr>
              <w:t xml:space="preserve">Algorithm identity</w:t>
            </w:r>
          </w:p>
        </w:tc>
        <w:tc>
          <w:tcPr/>
          <w:p>
            <w:pPr>
              <w:pStyle w:val="Compact"/>
              <w:jc w:val="left"/>
            </w:pPr>
            <w:r>
              <w:t xml:space="preserve">Approved scheme names, parameter sets, security categories</w:t>
            </w:r>
          </w:p>
        </w:tc>
        <w:tc>
          <w:tcPr/>
          <w:p>
            <w:pPr>
              <w:pStyle w:val="Compact"/>
              <w:jc w:val="left"/>
            </w:pPr>
            <w:r>
              <w:t xml:space="preserve">Enterprise migration sequencing</w:t>
            </w:r>
          </w:p>
        </w:tc>
      </w:tr>
      <w:tr>
        <w:tc>
          <w:tcPr/>
          <w:p>
            <w:pPr>
              <w:pStyle w:val="Compact"/>
              <w:jc w:val="left"/>
            </w:pPr>
            <w:r>
              <w:rPr>
                <w:bCs/>
                <w:b/>
              </w:rPr>
              <w:t xml:space="preserve">Validation</w:t>
            </w:r>
          </w:p>
        </w:tc>
        <w:tc>
          <w:tcPr/>
          <w:p>
            <w:pPr>
              <w:pStyle w:val="Compact"/>
              <w:jc w:val="left"/>
            </w:pPr>
            <w:r>
              <w:t xml:space="preserve">FIPS 140-3 module requirements for implementations</w:t>
            </w:r>
          </w:p>
        </w:tc>
        <w:tc>
          <w:tcPr/>
          <w:p>
            <w:pPr>
              <w:pStyle w:val="Compact"/>
              <w:jc w:val="left"/>
            </w:pPr>
            <w:r>
              <w:t xml:space="preserve">CBOM methodology</w:t>
            </w:r>
          </w:p>
        </w:tc>
      </w:tr>
      <w:tr>
        <w:tc>
          <w:tcPr/>
          <w:p>
            <w:pPr>
              <w:pStyle w:val="Compact"/>
              <w:jc w:val="left"/>
            </w:pPr>
            <w:r>
              <w:rPr>
                <w:bCs/>
                <w:b/>
              </w:rPr>
              <w:t xml:space="preserve">Interoperability</w:t>
            </w:r>
          </w:p>
        </w:tc>
        <w:tc>
          <w:tcPr/>
          <w:p>
            <w:pPr>
              <w:pStyle w:val="Compact"/>
              <w:jc w:val="left"/>
            </w:pPr>
            <w:r>
              <w:t xml:space="preserve">Common reference for vendor and protocol designers</w:t>
            </w:r>
          </w:p>
        </w:tc>
        <w:tc>
          <w:tcPr/>
          <w:p>
            <w:pPr>
              <w:pStyle w:val="Compact"/>
              <w:jc w:val="left"/>
            </w:pPr>
            <w:r>
              <w:t xml:space="preserve">Partner negotiation strategy</w:t>
            </w:r>
          </w:p>
        </w:tc>
      </w:tr>
      <w:tr>
        <w:tc>
          <w:tcPr/>
          <w:p>
            <w:pPr>
              <w:pStyle w:val="Compact"/>
              <w:jc w:val="left"/>
            </w:pPr>
            <w:r>
              <w:rPr>
                <w:bCs/>
                <w:b/>
              </w:rPr>
              <w:t xml:space="preserve">Policy reference</w:t>
            </w:r>
          </w:p>
        </w:tc>
        <w:tc>
          <w:tcPr/>
          <w:p>
            <w:pPr>
              <w:pStyle w:val="Compact"/>
              <w:jc w:val="left"/>
            </w:pPr>
            <w:r>
              <w:t xml:space="preserve">Authoritative names for enterprise cryptography standards</w:t>
            </w:r>
          </w:p>
        </w:tc>
        <w:tc>
          <w:tcPr/>
          <w:p>
            <w:pPr>
              <w:pStyle w:val="Compact"/>
              <w:jc w:val="left"/>
            </w:pPr>
            <w:r>
              <w:t xml:space="preserve">Hybrid sunset criteria (enterprise-defined)</w:t>
            </w:r>
          </w:p>
        </w:tc>
      </w:tr>
    </w:tbl>
    <w:p>
      <w:pPr>
        <w:pStyle w:val="BodyText"/>
      </w:pPr>
      <w:r>
        <w:t xml:space="preserve">Enterprise cryptography policies should</w:t>
      </w:r>
      <w:r>
        <w:t xml:space="preserve"> </w:t>
      </w:r>
      <w:r>
        <w:rPr>
          <w:bCs/>
          <w:b/>
        </w:rPr>
        <w:t xml:space="preserve">reference</w:t>
      </w:r>
      <w:r>
        <w:t xml:space="preserve"> </w:t>
      </w:r>
      <w:r>
        <w:t xml:space="preserve">FIPS 203–205. They should</w:t>
      </w:r>
      <w:r>
        <w:t xml:space="preserve"> </w:t>
      </w:r>
      <w:r>
        <w:rPr>
          <w:bCs/>
          <w:b/>
        </w:rPr>
        <w:t xml:space="preserve">implement</w:t>
      </w:r>
      <w:r>
        <w:t xml:space="preserve"> </w:t>
      </w:r>
      <w:r>
        <w:t xml:space="preserve">the Hybrid Lifecycle Model (Chapter 5), Cryptographic Dependency Graph (Chapter 8), and governance artefacts from Part I. Confusing these layers produces either analysis paralysis (</w:t>
      </w:r>
      <w:r>
        <w:t xml:space="preserve">“</w:t>
      </w:r>
      <w:r>
        <w:t xml:space="preserve">we cannot choose until FN-DSA is final</w:t>
      </w:r>
      <w:r>
        <w:t xml:space="preserve">”</w:t>
      </w:r>
      <w:r>
        <w:t xml:space="preserve">) or false confidence (</w:t>
      </w:r>
      <w:r>
        <w:t xml:space="preserve">“</w:t>
      </w:r>
      <w:r>
        <w:t xml:space="preserve">we deployed ML-KEM in a pilot, therefore we are compliant</w:t>
      </w:r>
      <w:r>
        <w:t xml:space="preserve">”</w:t>
      </w:r>
      <w:r>
        <w:t xml:space="preserve">).</w:t>
      </w:r>
    </w:p>
    <w:p>
      <w:pPr>
        <w:pStyle w:val="BlockText"/>
      </w:pPr>
      <w:r>
        <w:rPr>
          <w:bCs/>
          <w:b/>
        </w:rPr>
        <w:t xml:space="preserve">Migration Moment</w:t>
      </w:r>
    </w:p>
    <w:p>
      <w:pPr>
        <w:pStyle w:val="BlockText"/>
      </w:pPr>
      <w:r>
        <w:rPr>
          <w:iCs/>
          <w:i/>
        </w:rPr>
        <w:t xml:space="preserve">“</w:t>
      </w:r>
      <w:r>
        <w:rPr>
          <w:iCs/>
          <w:i/>
        </w:rPr>
        <w:t xml:space="preserve">We should wait for NIST to finish everything before standardising our algorithm policy.</w:t>
      </w:r>
      <w:r>
        <w:rPr>
          <w:iCs/>
          <w:i/>
        </w:rPr>
        <w:t xml:space="preserve">”</w:t>
      </w:r>
    </w:p>
    <w:p>
      <w:pPr>
        <w:pStyle w:val="BlockText"/>
      </w:pPr>
      <w:r>
        <w:t xml:space="preserve">FIPS 203–205 are final. NIST IR 8547 provides transition timelines. Remaining candidates (FN-DSA, HQC) address specific use cases and contingency planning — not whether your programme begins. Delaying policy definition until every NIST track completes guarantees that inventory, vendor engagement, and regulatory evidence all start late.</w:t>
      </w:r>
    </w:p>
    <w:p>
      <w:r>
        <w:pict>
          <v:rect style="width:0;height:1.5pt" o:hralign="center" o:hrstd="t" o:hr="t"/>
        </w:pict>
      </w:r>
    </w:p>
    <w:bookmarkEnd w:id="21"/>
    <w:bookmarkStart w:id="24" w:name="X8c2091e5b522027673236a94eecb67a4e11d741"/>
    <w:p>
      <w:pPr>
        <w:pStyle w:val="Heading2"/>
      </w:pPr>
      <w:r>
        <w:t xml:space="preserve">4.2 The NIST PQC Project: From Competition to Standard</w:t>
      </w:r>
    </w:p>
    <w:p>
      <w:pPr>
        <w:pStyle w:val="FirstParagraph"/>
      </w:pPr>
      <w:r>
        <w:t xml:space="preserve">Understanding how NIST reached its selections helps architects explain</w:t>
      </w:r>
      <w:r>
        <w:t xml:space="preserve"> </w:t>
      </w:r>
      <w:r>
        <w:rPr>
          <w:iCs/>
          <w:i/>
        </w:rPr>
        <w:t xml:space="preserve">why</w:t>
      </w:r>
      <w:r>
        <w:t xml:space="preserve"> </w:t>
      </w:r>
      <w:r>
        <w:t xml:space="preserve">the enterprise suite looks the way it does — and why certain algorithms remain in development rather than production planning.</w:t>
      </w:r>
    </w:p>
    <w:bookmarkStart w:id="22" w:name="timeline-and-process"/>
    <w:p>
      <w:pPr>
        <w:pStyle w:val="Heading3"/>
      </w:pPr>
      <w:r>
        <w:t xml:space="preserve">Timeline and process</w:t>
      </w:r>
    </w:p>
    <w:p>
      <w:pPr>
        <w:pStyle w:val="FirstParagraph"/>
      </w:pPr>
      <w:r>
        <w:t xml:space="preserve">NIST announced the Post-Quantum Cryptography Standardization Project in December 2016, soliciting submissions across public-key encryption/key establishment and digital signature categories. The process was deliberately public: multiple analysis rounds, cryptanalytic feedback, and adjusted candidate pools when weaknesses emerged.</w:t>
      </w:r>
    </w:p>
    <w:tbl>
      <w:tblPr>
        <w:tblStyle w:val="Table"/>
        <w:tblW w:type="pct" w:w="5000"/>
        <w:tblLook w:firstRow="1" w:lastRow="0" w:firstColumn="0" w:lastColumn="0" w:noHBand="0" w:noVBand="0" w:val="0020"/>
        <w:jc w:val="start"/>
      </w:tblPr>
      <w:tblGrid>
        <w:gridCol w:w="2310"/>
        <w:gridCol w:w="2640"/>
        <w:gridCol w:w="2970"/>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Outcome</w:t>
            </w:r>
          </w:p>
        </w:tc>
      </w:tr>
      <w:tr>
        <w:tc>
          <w:tcPr/>
          <w:p>
            <w:pPr>
              <w:pStyle w:val="Compact"/>
              <w:jc w:val="left"/>
            </w:pPr>
            <w:r>
              <w:t xml:space="preserve">Round 1</w:t>
            </w:r>
          </w:p>
        </w:tc>
        <w:tc>
          <w:tcPr/>
          <w:p>
            <w:pPr>
              <w:pStyle w:val="Compact"/>
              <w:jc w:val="left"/>
            </w:pPr>
            <w:r>
              <w:t xml:space="preserve">2017–2018</w:t>
            </w:r>
          </w:p>
        </w:tc>
        <w:tc>
          <w:tcPr/>
          <w:p>
            <w:pPr>
              <w:pStyle w:val="Compact"/>
              <w:jc w:val="left"/>
            </w:pPr>
            <w:r>
              <w:t xml:space="preserve">69 submissions accepted; 26 advanced</w:t>
            </w:r>
          </w:p>
        </w:tc>
      </w:tr>
      <w:tr>
        <w:tc>
          <w:tcPr/>
          <w:p>
            <w:pPr>
              <w:pStyle w:val="Compact"/>
              <w:jc w:val="left"/>
            </w:pPr>
            <w:r>
              <w:t xml:space="preserve">Round 2</w:t>
            </w:r>
          </w:p>
        </w:tc>
        <w:tc>
          <w:tcPr/>
          <w:p>
            <w:pPr>
              <w:pStyle w:val="Compact"/>
              <w:jc w:val="left"/>
            </w:pPr>
            <w:r>
              <w:t xml:space="preserve">2019–2020</w:t>
            </w:r>
          </w:p>
        </w:tc>
        <w:tc>
          <w:tcPr/>
          <w:p>
            <w:pPr>
              <w:pStyle w:val="Compact"/>
              <w:jc w:val="left"/>
            </w:pPr>
            <w:r>
              <w:t xml:space="preserve">15 finalists and alternates</w:t>
            </w:r>
          </w:p>
        </w:tc>
      </w:tr>
      <w:tr>
        <w:tc>
          <w:tcPr/>
          <w:p>
            <w:pPr>
              <w:pStyle w:val="Compact"/>
              <w:jc w:val="left"/>
            </w:pPr>
            <w:r>
              <w:t xml:space="preserve">Round 3</w:t>
            </w:r>
          </w:p>
        </w:tc>
        <w:tc>
          <w:tcPr/>
          <w:p>
            <w:pPr>
              <w:pStyle w:val="Compact"/>
              <w:jc w:val="left"/>
            </w:pPr>
            <w:r>
              <w:t xml:space="preserve">2020–2022</w:t>
            </w:r>
          </w:p>
        </w:tc>
        <w:tc>
          <w:tcPr/>
          <w:p>
            <w:pPr>
              <w:pStyle w:val="Compact"/>
              <w:jc w:val="left"/>
            </w:pPr>
            <w:r>
              <w:t xml:space="preserve">Primary selections announced: CRYSTALS-Kyber, CRYSTALS-Dilithium, SPHINCS+</w:t>
            </w:r>
          </w:p>
        </w:tc>
      </w:tr>
      <w:tr>
        <w:tc>
          <w:tcPr/>
          <w:p>
            <w:pPr>
              <w:pStyle w:val="Compact"/>
              <w:jc w:val="left"/>
            </w:pPr>
            <w:r>
              <w:t xml:space="preserve">Standardisation</w:t>
            </w:r>
          </w:p>
        </w:tc>
        <w:tc>
          <w:tcPr/>
          <w:p>
            <w:pPr>
              <w:pStyle w:val="Compact"/>
              <w:jc w:val="left"/>
            </w:pPr>
            <w:r>
              <w:t xml:space="preserve">2022–2024</w:t>
            </w:r>
          </w:p>
        </w:tc>
        <w:tc>
          <w:tcPr/>
          <w:p>
            <w:pPr>
              <w:pStyle w:val="Compact"/>
              <w:jc w:val="left"/>
            </w:pPr>
            <w:r>
              <w:t xml:space="preserve">FIPS 203 (ML-KEM), FIPS 204 (ML-DSA), FIPS 205 (SLH-DSA) published</w:t>
            </w:r>
          </w:p>
        </w:tc>
      </w:tr>
      <w:tr>
        <w:tc>
          <w:tcPr/>
          <w:p>
            <w:pPr>
              <w:pStyle w:val="Compact"/>
              <w:jc w:val="left"/>
            </w:pPr>
            <w:r>
              <w:t xml:space="preserve">Ongoing</w:t>
            </w:r>
          </w:p>
        </w:tc>
        <w:tc>
          <w:tcPr/>
          <w:p>
            <w:pPr>
              <w:pStyle w:val="Compact"/>
              <w:jc w:val="left"/>
            </w:pPr>
            <w:r>
              <w:t xml:space="preserve">2024+</w:t>
            </w:r>
          </w:p>
        </w:tc>
        <w:tc>
          <w:tcPr/>
          <w:p>
            <w:pPr>
              <w:pStyle w:val="Compact"/>
              <w:jc w:val="left"/>
            </w:pPr>
            <w:r>
              <w:t xml:space="preserve">FN-DSA (formerly Falcon) and HQC standardisation; additional signatures</w:t>
            </w:r>
          </w:p>
        </w:tc>
      </w:tr>
    </w:tbl>
    <w:p>
      <w:pPr>
        <w:pStyle w:val="BodyText"/>
      </w:pPr>
      <w:r>
        <w:t xml:space="preserve">The process filtered for security, performance, implementation characteristics, and intellectual property considerations. Schemes that showed structural weaknesses in public analysis were eliminated. Schemes with unfavourable key or signature sizes remained viable but influenced use-case fit — a factor enterprises experience directly in protocol and storage design.</w:t>
      </w:r>
    </w:p>
    <w:bookmarkEnd w:id="22"/>
    <w:bookmarkStart w:id="23" w:name="from-candidate-names-to-fips-names"/>
    <w:p>
      <w:pPr>
        <w:pStyle w:val="Heading3"/>
      </w:pPr>
      <w:r>
        <w:t xml:space="preserve">From candidate names to FIPS names</w:t>
      </w:r>
    </w:p>
    <w:p>
      <w:pPr>
        <w:pStyle w:val="FirstParagraph"/>
      </w:pPr>
      <w:r>
        <w:t xml:space="preserve">NIST renamed algorithms upon standardisation to reflect their mathematical structure and disambiguate from pre-standard implementations:</w:t>
      </w:r>
    </w:p>
    <w:tbl>
      <w:tblPr>
        <w:tblStyle w:val="Table"/>
        <w:tblW w:type="pct" w:w="5000"/>
        <w:tblLook w:firstRow="1" w:lastRow="0" w:firstColumn="0" w:lastColumn="0" w:noHBand="0" w:noVBand="0" w:val="0020"/>
        <w:jc w:val="start"/>
      </w:tblPr>
      <w:tblGrid>
        <w:gridCol w:w="2594"/>
        <w:gridCol w:w="1502"/>
        <w:gridCol w:w="2048"/>
        <w:gridCol w:w="1775"/>
      </w:tblGrid>
      <w:tr>
        <w:trPr>
          <w:tblHeader w:val="true"/>
        </w:trPr>
        <w:tc>
          <w:tcPr/>
          <w:p>
            <w:pPr>
              <w:pStyle w:val="Compact"/>
              <w:jc w:val="left"/>
            </w:pPr>
            <w:r>
              <w:t xml:space="preserve">Pre-standard name</w:t>
            </w:r>
          </w:p>
        </w:tc>
        <w:tc>
          <w:tcPr/>
          <w:p>
            <w:pPr>
              <w:pStyle w:val="Compact"/>
              <w:jc w:val="left"/>
            </w:pPr>
            <w:r>
              <w:t xml:space="preserve">FIPS name</w:t>
            </w:r>
          </w:p>
        </w:tc>
        <w:tc>
          <w:tcPr/>
          <w:p>
            <w:pPr>
              <w:pStyle w:val="Compact"/>
              <w:jc w:val="left"/>
            </w:pPr>
            <w:r>
              <w:t xml:space="preserve">FIPS document</w:t>
            </w:r>
          </w:p>
        </w:tc>
        <w:tc>
          <w:tcPr/>
          <w:p>
            <w:pPr>
              <w:pStyle w:val="Compact"/>
              <w:jc w:val="left"/>
            </w:pPr>
            <w:r>
              <w:t xml:space="preserve">Primary use</w:t>
            </w:r>
          </w:p>
        </w:tc>
      </w:tr>
      <w:tr>
        <w:tc>
          <w:tcPr/>
          <w:p>
            <w:pPr>
              <w:pStyle w:val="Compact"/>
              <w:jc w:val="left"/>
            </w:pPr>
            <w:r>
              <w:t xml:space="preserve">CRYSTALS-Kyber</w:t>
            </w:r>
          </w:p>
        </w:tc>
        <w:tc>
          <w:tcPr/>
          <w:p>
            <w:pPr>
              <w:pStyle w:val="Compact"/>
              <w:jc w:val="left"/>
            </w:pPr>
            <w:r>
              <w:rPr>
                <w:bCs/>
                <w:b/>
              </w:rPr>
              <w:t xml:space="preserve">ML-KEM</w:t>
            </w:r>
          </w:p>
        </w:tc>
        <w:tc>
          <w:tcPr/>
          <w:p>
            <w:pPr>
              <w:pStyle w:val="Compact"/>
              <w:jc w:val="left"/>
            </w:pPr>
            <w:r>
              <w:t xml:space="preserve">FIPS 203</w:t>
            </w:r>
          </w:p>
        </w:tc>
        <w:tc>
          <w:tcPr/>
          <w:p>
            <w:pPr>
              <w:pStyle w:val="Compact"/>
              <w:jc w:val="left"/>
            </w:pPr>
            <w:r>
              <w:t xml:space="preserve">Key encapsulation (KEM)</w:t>
            </w:r>
          </w:p>
        </w:tc>
      </w:tr>
      <w:tr>
        <w:tc>
          <w:tcPr/>
          <w:p>
            <w:pPr>
              <w:pStyle w:val="Compact"/>
              <w:jc w:val="left"/>
            </w:pPr>
            <w:r>
              <w:t xml:space="preserve">CRYSTALS-Dilithium</w:t>
            </w:r>
          </w:p>
        </w:tc>
        <w:tc>
          <w:tcPr/>
          <w:p>
            <w:pPr>
              <w:pStyle w:val="Compact"/>
              <w:jc w:val="left"/>
            </w:pPr>
            <w:r>
              <w:rPr>
                <w:bCs/>
                <w:b/>
              </w:rPr>
              <w:t xml:space="preserve">ML-DSA</w:t>
            </w:r>
          </w:p>
        </w:tc>
        <w:tc>
          <w:tcPr/>
          <w:p>
            <w:pPr>
              <w:pStyle w:val="Compact"/>
              <w:jc w:val="left"/>
            </w:pPr>
            <w:r>
              <w:t xml:space="preserve">FIPS 204</w:t>
            </w:r>
          </w:p>
        </w:tc>
        <w:tc>
          <w:tcPr/>
          <w:p>
            <w:pPr>
              <w:pStyle w:val="Compact"/>
              <w:jc w:val="left"/>
            </w:pPr>
            <w:r>
              <w:t xml:space="preserve">Digital signatures</w:t>
            </w:r>
          </w:p>
        </w:tc>
      </w:tr>
      <w:tr>
        <w:tc>
          <w:tcPr/>
          <w:p>
            <w:pPr>
              <w:pStyle w:val="Compact"/>
              <w:jc w:val="left"/>
            </w:pPr>
            <w:r>
              <w:t xml:space="preserve">SPHINCS+</w:t>
            </w:r>
          </w:p>
        </w:tc>
        <w:tc>
          <w:tcPr/>
          <w:p>
            <w:pPr>
              <w:pStyle w:val="Compact"/>
              <w:jc w:val="left"/>
            </w:pPr>
            <w:r>
              <w:rPr>
                <w:bCs/>
                <w:b/>
              </w:rPr>
              <w:t xml:space="preserve">SLH-DSA</w:t>
            </w:r>
          </w:p>
        </w:tc>
        <w:tc>
          <w:tcPr/>
          <w:p>
            <w:pPr>
              <w:pStyle w:val="Compact"/>
              <w:jc w:val="left"/>
            </w:pPr>
            <w:r>
              <w:t xml:space="preserve">FIPS 205</w:t>
            </w:r>
          </w:p>
        </w:tc>
        <w:tc>
          <w:tcPr/>
          <w:p>
            <w:pPr>
              <w:pStyle w:val="Compact"/>
              <w:jc w:val="left"/>
            </w:pPr>
            <w:r>
              <w:t xml:space="preserve">Stateless hash-based signatures</w:t>
            </w:r>
          </w:p>
        </w:tc>
      </w:tr>
      <w:tr>
        <w:tc>
          <w:tcPr/>
          <w:p>
            <w:pPr>
              <w:pStyle w:val="Compact"/>
              <w:jc w:val="left"/>
            </w:pPr>
            <w:r>
              <w:t xml:space="preserve">Falcon</w:t>
            </w:r>
          </w:p>
        </w:tc>
        <w:tc>
          <w:tcPr/>
          <w:p>
            <w:pPr>
              <w:pStyle w:val="Compact"/>
              <w:jc w:val="left"/>
            </w:pPr>
            <w:r>
              <w:rPr>
                <w:bCs/>
                <w:b/>
              </w:rPr>
              <w:t xml:space="preserve">FN-DSA</w:t>
            </w:r>
            <w:r>
              <w:t xml:space="preserve"> </w:t>
            </w:r>
            <w:r>
              <w:t xml:space="preserve">(in development)</w:t>
            </w:r>
          </w:p>
        </w:tc>
        <w:tc>
          <w:tcPr/>
          <w:p>
            <w:pPr>
              <w:pStyle w:val="Compact"/>
              <w:jc w:val="left"/>
            </w:pPr>
            <w:r>
              <w:t xml:space="preserve">Pending</w:t>
            </w:r>
          </w:p>
        </w:tc>
        <w:tc>
          <w:tcPr/>
          <w:p>
            <w:pPr>
              <w:pStyle w:val="Compact"/>
              <w:jc w:val="left"/>
            </w:pPr>
            <w:r>
              <w:t xml:space="preserve">Compact signatures</w:t>
            </w:r>
          </w:p>
        </w:tc>
      </w:tr>
      <w:tr>
        <w:tc>
          <w:tcPr/>
          <w:p>
            <w:pPr>
              <w:pStyle w:val="Compact"/>
              <w:jc w:val="left"/>
            </w:pPr>
            <w:r>
              <w:t xml:space="preserve">HQC</w:t>
            </w:r>
          </w:p>
        </w:tc>
        <w:tc>
          <w:tcPr/>
          <w:p>
            <w:pPr>
              <w:pStyle w:val="Compact"/>
              <w:jc w:val="left"/>
            </w:pPr>
            <w:r>
              <w:rPr>
                <w:bCs/>
                <w:b/>
              </w:rPr>
              <w:t xml:space="preserve">HQC-KEM</w:t>
            </w:r>
            <w:r>
              <w:t xml:space="preserve"> </w:t>
            </w:r>
            <w:r>
              <w:t xml:space="preserve">(in development)</w:t>
            </w:r>
          </w:p>
        </w:tc>
        <w:tc>
          <w:tcPr/>
          <w:p>
            <w:pPr>
              <w:pStyle w:val="Compact"/>
              <w:jc w:val="left"/>
            </w:pPr>
            <w:r>
              <w:t xml:space="preserve">Pending</w:t>
            </w:r>
          </w:p>
        </w:tc>
        <w:tc>
          <w:tcPr/>
          <w:p>
            <w:pPr>
              <w:pStyle w:val="Compact"/>
              <w:jc w:val="left"/>
            </w:pPr>
            <w:r>
              <w:t xml:space="preserve">Alternative KEM (code-based)</w:t>
            </w:r>
          </w:p>
        </w:tc>
      </w:tr>
    </w:tbl>
    <w:p>
      <w:pPr>
        <w:pStyle w:val="BodyText"/>
      </w:pPr>
      <w:r>
        <w:t xml:space="preserve">Enterprise documentation, procurement specifications, and CBOM entries should use</w:t>
      </w:r>
      <w:r>
        <w:t xml:space="preserve"> </w:t>
      </w:r>
      <w:r>
        <w:rPr>
          <w:bCs/>
          <w:b/>
        </w:rPr>
        <w:t xml:space="preserve">FIPS names</w:t>
      </w:r>
      <w:r>
        <w:t xml:space="preserve"> </w:t>
      </w:r>
      <w:r>
        <w:t xml:space="preserve">for anything intended for production deployment. Pre-standard names appear in legacy pilot code, research literature, and vendor marketing from 2020–2023 — CBOM normalisation must map them to FIPS equivalents.</w:t>
      </w:r>
    </w:p>
    <w:p>
      <w:pPr>
        <w:pStyle w:val="BodyText"/>
      </w:pPr>
      <w:r>
        <w:rPr>
          <w:bCs/>
          <w:b/>
        </w:rPr>
        <w:t xml:space="preserve">Figure 4.1 — NIST PQC Standards Family Tree</w:t>
      </w:r>
    </w:p>
    <w:p>
      <w:pPr>
        <w:pStyle w:val="SourceCode"/>
      </w:pPr>
      <w:r>
        <w:rPr>
          <w:rStyle w:val="VerbatimChar"/>
        </w:rPr>
        <w:t xml:space="preserve">                    NIST PQC Standardization (2016–)</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KEY ESTABLISHMENT                    SIGNATURES</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FIPS 203         HQC-KEM        FIPS 204    FIPS 205    FN-DSA</w:t>
      </w:r>
      <w:r>
        <w:br/>
      </w:r>
      <w:r>
        <w:rPr>
          <w:rStyle w:val="VerbatimChar"/>
        </w:rPr>
        <w:t xml:space="preserve">  ML-KEM         (pending)       ML-DSA      SLH-DSA     (pending)</w:t>
      </w:r>
      <w:r>
        <w:br/>
      </w:r>
      <w:r>
        <w:rPr>
          <w:rStyle w:val="VerbatimChar"/>
        </w:rPr>
        <w:t xml:space="preserve">    |                               |           |</w:t>
      </w:r>
      <w:r>
        <w:br/>
      </w:r>
      <w:r>
        <w:rPr>
          <w:rStyle w:val="VerbatimChar"/>
        </w:rPr>
        <w:t xml:space="preserve"> Lattice-based                 Lattice-based  Hash-based</w:t>
      </w:r>
      <w:r>
        <w:br/>
      </w:r>
      <w:r>
        <w:rPr>
          <w:rStyle w:val="VerbatimChar"/>
        </w:rPr>
        <w:t xml:space="preserve"> (Kyber family)                 (Dilithium)   (SPHINCS+)</w:t>
      </w:r>
    </w:p>
    <w:p>
      <w:r>
        <w:pict>
          <v:rect style="width:0;height:1.5pt" o:hralign="center" o:hrstd="t" o:hr="t"/>
        </w:pict>
      </w:r>
    </w:p>
    <w:bookmarkEnd w:id="23"/>
    <w:bookmarkEnd w:id="24"/>
    <w:bookmarkStart w:id="29" w:name="X098b3238d61f6eca5276c13cbab4ad017c833d2"/>
    <w:p>
      <w:pPr>
        <w:pStyle w:val="Heading2"/>
      </w:pPr>
      <w:r>
        <w:t xml:space="preserve">4.3 FIPS 203: ML-KEM (Module-Lattice-Based Key Encapsulation)</w:t>
      </w:r>
    </w:p>
    <w:p>
      <w:pPr>
        <w:pStyle w:val="FirstParagraph"/>
      </w:pPr>
      <w:r>
        <w:t xml:space="preserve">ML-KEM is the enterprise’s replacement for quantum-vulnerable key establishment — the operations performed by RSA key transport, finite-field Diffie-Hellman, and elliptic-curve Diffie-Hellman in protocols such as TLS, VPN, and encrypted messaging.</w:t>
      </w:r>
    </w:p>
    <w:bookmarkStart w:id="25" w:name="what-a-kem-does"/>
    <w:p>
      <w:pPr>
        <w:pStyle w:val="Heading3"/>
      </w:pPr>
      <w:r>
        <w:t xml:space="preserve">What a KEM does</w:t>
      </w:r>
    </w:p>
    <w:p>
      <w:pPr>
        <w:pStyle w:val="FirstParagraph"/>
      </w:pPr>
      <w:r>
        <w:t xml:space="preserve">A key encapsulation mechanism allows two parties to establish a shared secret key. Unlike Diffie-Hellman, which produces a shared secret through interactive exchange, a KEM typically works as follows:</w:t>
      </w:r>
    </w:p>
    <w:p>
      <w:pPr>
        <w:numPr>
          <w:ilvl w:val="0"/>
          <w:numId w:val="1001"/>
        </w:numPr>
        <w:pStyle w:val="Compact"/>
      </w:pPr>
      <w:r>
        <w:t xml:space="preserve">The recipient publishes a public key.</w:t>
      </w:r>
    </w:p>
    <w:p>
      <w:pPr>
        <w:numPr>
          <w:ilvl w:val="0"/>
          <w:numId w:val="1001"/>
        </w:numPr>
        <w:pStyle w:val="Compact"/>
      </w:pPr>
      <w:r>
        <w:t xml:space="preserve">The sender uses the public key to encapsulate a random shared secret, producing a ciphertext.</w:t>
      </w:r>
    </w:p>
    <w:p>
      <w:pPr>
        <w:numPr>
          <w:ilvl w:val="0"/>
          <w:numId w:val="1001"/>
        </w:numPr>
        <w:pStyle w:val="Compact"/>
      </w:pPr>
      <w:r>
        <w:t xml:space="preserve">The recipient decapsulates the ciphertext to recover the shared secret.</w:t>
      </w:r>
    </w:p>
    <w:p>
      <w:pPr>
        <w:pStyle w:val="FirstParagraph"/>
      </w:pPr>
      <w:r>
        <w:t xml:space="preserve">Architects do not need the lattice mathematics. They need to know that ML-KEM replaces</w:t>
      </w:r>
      <w:r>
        <w:t xml:space="preserve"> </w:t>
      </w:r>
      <w:r>
        <w:rPr>
          <w:bCs/>
          <w:b/>
        </w:rPr>
        <w:t xml:space="preserve">key establishment</w:t>
      </w:r>
      <w:r>
        <w:t xml:space="preserve"> </w:t>
      </w:r>
      <w:r>
        <w:t xml:space="preserve">operations in protocol redesign — TLS key shares, VPN IKE exchanges, HPKE modes, and key-wrapping constructions that currently use RSA or ECDH.</w:t>
      </w:r>
    </w:p>
    <w:bookmarkEnd w:id="25"/>
    <w:bookmarkStart w:id="26" w:name="parameter-sets-and-security-categories"/>
    <w:p>
      <w:pPr>
        <w:pStyle w:val="Heading3"/>
      </w:pPr>
      <w:r>
        <w:t xml:space="preserve">Parameter sets and security categories</w:t>
      </w:r>
    </w:p>
    <w:p>
      <w:pPr>
        <w:pStyle w:val="FirstParagraph"/>
      </w:pPr>
      <w:r>
        <w:t xml:space="preserve">FIPS 203 defines three parameter sets, historically corresponding to Kyber-512, Kyber-768, and Kyber-1024:</w:t>
      </w:r>
    </w:p>
    <w:p>
      <w:pPr>
        <w:pStyle w:val="BodyText"/>
      </w:pPr>
      <w:r>
        <w:rPr>
          <w:bCs/>
          <w:b/>
        </w:rPr>
        <w:t xml:space="preserve">Table 4.1 — ML-KEM Parameter Sets</w:t>
      </w:r>
    </w:p>
    <w:tbl>
      <w:tblPr>
        <w:tblStyle w:val="Table"/>
        <w:tblW w:type="pct" w:w="5000"/>
        <w:tblLook w:firstRow="1" w:lastRow="0" w:firstColumn="0" w:lastColumn="0" w:noHBand="0" w:noVBand="0" w:val="0020"/>
        <w:jc w:val="start"/>
      </w:tblPr>
      <w:tblGrid>
        <w:gridCol w:w="1250"/>
        <w:gridCol w:w="2000"/>
        <w:gridCol w:w="2667"/>
        <w:gridCol w:w="2000"/>
      </w:tblGrid>
      <w:tr>
        <w:trPr>
          <w:tblHeader w:val="true"/>
        </w:trPr>
        <w:tc>
          <w:tcPr/>
          <w:p>
            <w:pPr>
              <w:pStyle w:val="Compact"/>
              <w:jc w:val="left"/>
            </w:pPr>
            <w:r>
              <w:t xml:space="preserve">Parameter set</w:t>
            </w:r>
          </w:p>
        </w:tc>
        <w:tc>
          <w:tcPr/>
          <w:p>
            <w:pPr>
              <w:pStyle w:val="Compact"/>
              <w:jc w:val="left"/>
            </w:pPr>
            <w:r>
              <w:t xml:space="preserve">NIST security category</w:t>
            </w:r>
          </w:p>
        </w:tc>
        <w:tc>
          <w:tcPr/>
          <w:p>
            <w:pPr>
              <w:pStyle w:val="Compact"/>
              <w:jc w:val="left"/>
            </w:pPr>
            <w:r>
              <w:t xml:space="preserve">Classical equivalent (informal)</w:t>
            </w:r>
          </w:p>
        </w:tc>
        <w:tc>
          <w:tcPr/>
          <w:p>
            <w:pPr>
              <w:pStyle w:val="Compact"/>
              <w:jc w:val="left"/>
            </w:pPr>
            <w:r>
              <w:t xml:space="preserve">Typical enterprise use</w:t>
            </w:r>
          </w:p>
        </w:tc>
      </w:tr>
      <w:tr>
        <w:tc>
          <w:tcPr/>
          <w:p>
            <w:pPr>
              <w:pStyle w:val="Compact"/>
              <w:jc w:val="left"/>
            </w:pPr>
            <w:r>
              <w:t xml:space="preserve">ML-KEM-512</w:t>
            </w:r>
          </w:p>
        </w:tc>
        <w:tc>
          <w:tcPr/>
          <w:p>
            <w:pPr>
              <w:pStyle w:val="Compact"/>
              <w:jc w:val="left"/>
            </w:pPr>
            <w:r>
              <w:t xml:space="preserve">Category 1</w:t>
            </w:r>
          </w:p>
        </w:tc>
        <w:tc>
          <w:tcPr/>
          <w:p>
            <w:pPr>
              <w:pStyle w:val="Compact"/>
              <w:jc w:val="left"/>
            </w:pPr>
            <w:r>
              <w:t xml:space="preserve">~AES-128</w:t>
            </w:r>
          </w:p>
        </w:tc>
        <w:tc>
          <w:tcPr/>
          <w:p>
            <w:pPr>
              <w:pStyle w:val="Compact"/>
              <w:jc w:val="left"/>
            </w:pPr>
            <w:r>
              <w:t xml:space="preserve">Constrained IoT; generally avoid for new enterprise deployments</w:t>
            </w:r>
          </w:p>
        </w:tc>
      </w:tr>
      <w:tr>
        <w:tc>
          <w:tcPr/>
          <w:p>
            <w:pPr>
              <w:pStyle w:val="Compact"/>
              <w:jc w:val="left"/>
            </w:pPr>
            <w:r>
              <w:t xml:space="preserve">ML-KEM-768</w:t>
            </w:r>
          </w:p>
        </w:tc>
        <w:tc>
          <w:tcPr/>
          <w:p>
            <w:pPr>
              <w:pStyle w:val="Compact"/>
              <w:jc w:val="left"/>
            </w:pPr>
            <w:r>
              <w:t xml:space="preserve">Category 3</w:t>
            </w:r>
          </w:p>
        </w:tc>
        <w:tc>
          <w:tcPr/>
          <w:p>
            <w:pPr>
              <w:pStyle w:val="Compact"/>
              <w:jc w:val="left"/>
            </w:pPr>
            <w:r>
              <w:t xml:space="preserve">~AES-192</w:t>
            </w:r>
          </w:p>
        </w:tc>
        <w:tc>
          <w:tcPr/>
          <w:p>
            <w:pPr>
              <w:pStyle w:val="Compact"/>
              <w:jc w:val="left"/>
            </w:pPr>
            <w:r>
              <w:rPr>
                <w:bCs/>
                <w:b/>
              </w:rPr>
              <w:t xml:space="preserve">Default enterprise choice</w:t>
            </w:r>
            <w:r>
              <w:t xml:space="preserve"> </w:t>
            </w:r>
            <w:r>
              <w:t xml:space="preserve">for general-purpose key establishment</w:t>
            </w:r>
          </w:p>
        </w:tc>
      </w:tr>
      <w:tr>
        <w:tc>
          <w:tcPr/>
          <w:p>
            <w:pPr>
              <w:pStyle w:val="Compact"/>
              <w:jc w:val="left"/>
            </w:pPr>
            <w:r>
              <w:t xml:space="preserve">ML-KEM-1024</w:t>
            </w:r>
          </w:p>
        </w:tc>
        <w:tc>
          <w:tcPr/>
          <w:p>
            <w:pPr>
              <w:pStyle w:val="Compact"/>
              <w:jc w:val="left"/>
            </w:pPr>
            <w:r>
              <w:t xml:space="preserve">Category 5</w:t>
            </w:r>
          </w:p>
        </w:tc>
        <w:tc>
          <w:tcPr/>
          <w:p>
            <w:pPr>
              <w:pStyle w:val="Compact"/>
              <w:jc w:val="left"/>
            </w:pPr>
            <w:r>
              <w:t xml:space="preserve">~AES-256</w:t>
            </w:r>
          </w:p>
        </w:tc>
        <w:tc>
          <w:tcPr/>
          <w:p>
            <w:pPr>
              <w:pStyle w:val="Compact"/>
              <w:jc w:val="left"/>
            </w:pPr>
            <w:r>
              <w:t xml:space="preserve">Regulated long-life data; NSS; defence; high-value key wrapping</w:t>
            </w:r>
          </w:p>
        </w:tc>
      </w:tr>
    </w:tbl>
    <w:p>
      <w:pPr>
        <w:pStyle w:val="BlockText"/>
      </w:pPr>
      <w:r>
        <w:rPr>
          <w:bCs/>
          <w:b/>
        </w:rPr>
        <w:t xml:space="preserve">Architect’s Decision</w:t>
      </w:r>
    </w:p>
    <w:p>
      <w:pPr>
        <w:pStyle w:val="BlockText"/>
      </w:pPr>
      <w:r>
        <w:t xml:space="preserve">For new enterprise deployments absent specific NSS or contractual requirements mandating ML-KEM-1024,</w:t>
      </w:r>
      <w:r>
        <w:t xml:space="preserve"> </w:t>
      </w:r>
      <w:r>
        <w:rPr>
          <w:bCs/>
          <w:b/>
        </w:rPr>
        <w:t xml:space="preserve">standardise on ML-KEM-768</w:t>
      </w:r>
      <w:r>
        <w:t xml:space="preserve"> </w:t>
      </w:r>
      <w:r>
        <w:t xml:space="preserve">as the default key establishment algorithm. Reserve ML-KEM-1024 for NSS-aligned systems, long-confidentiality key wrapping, and contracts explicitly requiring Category 5. Do not deploy ML-KEM-512 for new enterprise systems — the performance benefit rarely justifies reduced margin against future cryptanalytic advances.</w:t>
      </w:r>
    </w:p>
    <w:p>
      <w:pPr>
        <w:pStyle w:val="FirstParagraph"/>
      </w:pPr>
      <w:r>
        <w:t xml:space="preserve">CNSA 2.0 mandates ML-KEM-1024 for National Security Systems. Apex Defense Technologies maps NSS workloads to ML-KEM-1024 and corporate IT to ML-KEM-768 unless contract flow-down elevates the requirement — a dual-track pattern common in defence industrial base enterprises (Chapter 3).</w:t>
      </w:r>
    </w:p>
    <w:bookmarkEnd w:id="26"/>
    <w:bookmarkStart w:id="27" w:name="size-and-performance-implications"/>
    <w:p>
      <w:pPr>
        <w:pStyle w:val="Heading3"/>
      </w:pPr>
      <w:r>
        <w:t xml:space="preserve">Size and performance implications</w:t>
      </w:r>
    </w:p>
    <w:p>
      <w:pPr>
        <w:pStyle w:val="FirstParagraph"/>
      </w:pPr>
      <w:r>
        <w:t xml:space="preserve">ML-KEM public keys, ciphertexts, and shared secrets are larger than elliptic-curve equivalents. These sizes affect:</w:t>
      </w:r>
    </w:p>
    <w:p>
      <w:pPr>
        <w:numPr>
          <w:ilvl w:val="0"/>
          <w:numId w:val="1002"/>
        </w:numPr>
        <w:pStyle w:val="Compact"/>
      </w:pPr>
      <w:r>
        <w:t xml:space="preserve">TLS handshake message sizes (ClientHello/ServerHello extensions)</w:t>
      </w:r>
    </w:p>
    <w:p>
      <w:pPr>
        <w:numPr>
          <w:ilvl w:val="0"/>
          <w:numId w:val="1002"/>
        </w:numPr>
        <w:pStyle w:val="Compact"/>
      </w:pPr>
      <w:r>
        <w:t xml:space="preserve">VPN IKE message fragmentation</w:t>
      </w:r>
    </w:p>
    <w:p>
      <w:pPr>
        <w:numPr>
          <w:ilvl w:val="0"/>
          <w:numId w:val="1002"/>
        </w:numPr>
        <w:pStyle w:val="Compact"/>
      </w:pPr>
      <w:r>
        <w:t xml:space="preserve">DNS packet sizes when keys appear in DNSSEC or related contexts</w:t>
      </w:r>
    </w:p>
    <w:p>
      <w:pPr>
        <w:numPr>
          <w:ilvl w:val="0"/>
          <w:numId w:val="1002"/>
        </w:numPr>
        <w:pStyle w:val="Compact"/>
      </w:pPr>
      <w:r>
        <w:t xml:space="preserve">Embedded devices with fixed buffer allocations</w:t>
      </w:r>
    </w:p>
    <w:p>
      <w:pPr>
        <w:numPr>
          <w:ilvl w:val="0"/>
          <w:numId w:val="1002"/>
        </w:numPr>
        <w:pStyle w:val="Compact"/>
      </w:pPr>
      <w:r>
        <w:t xml:space="preserve">API gateways and load balancers with header or body size limits</w:t>
      </w:r>
    </w:p>
    <w:p>
      <w:pPr>
        <w:pStyle w:val="FirstParagraph"/>
      </w:pPr>
      <w:r>
        <w:t xml:space="preserve">These are not theoretical concerns. GlobalSync Logistics discovered that three API gateway configurations enforced maximum TLS handshake sizes below what hybrid ML-KEM constructions required — a discovery made during architecture assessment, not during the successful pilot on a single unconstrained endpoint (Chapter 1).</w:t>
      </w:r>
    </w:p>
    <w:bookmarkEnd w:id="27"/>
    <w:bookmarkStart w:id="28" w:name="validation-path"/>
    <w:p>
      <w:pPr>
        <w:pStyle w:val="Heading3"/>
      </w:pPr>
      <w:r>
        <w:t xml:space="preserve">Validation path</w:t>
      </w:r>
    </w:p>
    <w:p>
      <w:pPr>
        <w:pStyle w:val="FirstParagraph"/>
      </w:pPr>
      <w:r>
        <w:t xml:space="preserve">Production deployments require FIPS 140-3 validated modules implementing ML-KEM for regulated environments. Software-only implementations may suffice for development and interoperability testing but not for payment HSM, federal, or FIPS-mandated contexts. Enterprise procurement should require</w:t>
      </w:r>
      <w:r>
        <w:t xml:space="preserve"> </w:t>
      </w:r>
      <w:r>
        <w:rPr>
          <w:bCs/>
          <w:b/>
        </w:rPr>
        <w:t xml:space="preserve">FIPS 140-3 validation certificates</w:t>
      </w:r>
      <w:r>
        <w:t xml:space="preserve"> </w:t>
      </w:r>
      <w:r>
        <w:t xml:space="preserve">listing ML-KEM implementations — not vendor assertions of</w:t>
      </w:r>
      <w:r>
        <w:t xml:space="preserve"> </w:t>
      </w:r>
      <w:r>
        <w:t xml:space="preserve">“</w:t>
      </w:r>
      <w:r>
        <w:t xml:space="preserve">FIPS-aligned</w:t>
      </w:r>
      <w:r>
        <w:t xml:space="preserve">”</w:t>
      </w:r>
      <w:r>
        <w:t xml:space="preserve"> </w:t>
      </w:r>
      <w:r>
        <w:t xml:space="preserve">code.</w:t>
      </w:r>
    </w:p>
    <w:p>
      <w:r>
        <w:pict>
          <v:rect style="width:0;height:1.5pt" o:hralign="center" o:hrstd="t" o:hr="t"/>
        </w:pict>
      </w:r>
    </w:p>
    <w:bookmarkEnd w:id="28"/>
    <w:bookmarkEnd w:id="29"/>
    <w:bookmarkStart w:id="32" w:name="X5c752c90b909d86b738150ffaad8b9a6ba5190b"/>
    <w:p>
      <w:pPr>
        <w:pStyle w:val="Heading2"/>
      </w:pPr>
      <w:r>
        <w:t xml:space="preserve">4.4 FIPS 204: ML-DSA (Module-Lattice-Based Digital Signatures)</w:t>
      </w:r>
    </w:p>
    <w:p>
      <w:pPr>
        <w:pStyle w:val="FirstParagraph"/>
      </w:pPr>
      <w:r>
        <w:t xml:space="preserve">ML-DSA replaces quantum-vulnerable digital signature algorithms — RSA, DSA, ECDSA, EdDSA — in code signing, document signing, certificate signatures, email S/MIME, and general-purpose authentication.</w:t>
      </w:r>
    </w:p>
    <w:bookmarkStart w:id="30" w:name="parameter-sets"/>
    <w:p>
      <w:pPr>
        <w:pStyle w:val="Heading3"/>
      </w:pPr>
      <w:r>
        <w:t xml:space="preserve">Parameter sets</w:t>
      </w:r>
    </w:p>
    <w:p>
      <w:pPr>
        <w:pStyle w:val="FirstParagraph"/>
      </w:pPr>
      <w:r>
        <w:rPr>
          <w:bCs/>
          <w:b/>
        </w:rPr>
        <w:t xml:space="preserve">Table 4.2 — ML-DSA Parameter Sets</w:t>
      </w:r>
    </w:p>
    <w:tbl>
      <w:tblPr>
        <w:tblStyle w:val="Table"/>
        <w:tblW w:type="pct" w:w="5000"/>
        <w:tblLook w:firstRow="1" w:lastRow="0" w:firstColumn="0" w:lastColumn="0" w:noHBand="0" w:noVBand="0" w:val="0020"/>
        <w:jc w:val="start"/>
      </w:tblPr>
      <w:tblGrid>
        <w:gridCol w:w="1563"/>
        <w:gridCol w:w="1980"/>
        <w:gridCol w:w="2709"/>
        <w:gridCol w:w="1667"/>
      </w:tblGrid>
      <w:tr>
        <w:trPr>
          <w:tblHeader w:val="true"/>
        </w:trPr>
        <w:tc>
          <w:tcPr/>
          <w:p>
            <w:pPr>
              <w:pStyle w:val="Compact"/>
              <w:jc w:val="left"/>
            </w:pPr>
            <w:r>
              <w:t xml:space="preserve">Parameter set</w:t>
            </w:r>
          </w:p>
        </w:tc>
        <w:tc>
          <w:tcPr/>
          <w:p>
            <w:pPr>
              <w:pStyle w:val="Compact"/>
              <w:jc w:val="left"/>
            </w:pPr>
            <w:r>
              <w:t xml:space="preserve">Security category</w:t>
            </w:r>
          </w:p>
        </w:tc>
        <w:tc>
          <w:tcPr/>
          <w:p>
            <w:pPr>
              <w:pStyle w:val="Compact"/>
              <w:jc w:val="left"/>
            </w:pPr>
            <w:r>
              <w:t xml:space="preserve">Signature size (approx.)</w:t>
            </w:r>
          </w:p>
        </w:tc>
        <w:tc>
          <w:tcPr/>
          <w:p>
            <w:pPr>
              <w:pStyle w:val="Compact"/>
              <w:jc w:val="left"/>
            </w:pPr>
            <w:r>
              <w:t xml:space="preserve">Enterprise fit</w:t>
            </w:r>
          </w:p>
        </w:tc>
      </w:tr>
      <w:tr>
        <w:tc>
          <w:tcPr/>
          <w:p>
            <w:pPr>
              <w:pStyle w:val="Compact"/>
              <w:jc w:val="left"/>
            </w:pPr>
            <w:r>
              <w:t xml:space="preserve">ML-DSA-44</w:t>
            </w:r>
          </w:p>
        </w:tc>
        <w:tc>
          <w:tcPr/>
          <w:p>
            <w:pPr>
              <w:pStyle w:val="Compact"/>
              <w:jc w:val="left"/>
            </w:pPr>
            <w:r>
              <w:t xml:space="preserve">Category 2</w:t>
            </w:r>
          </w:p>
        </w:tc>
        <w:tc>
          <w:tcPr/>
          <w:p>
            <w:pPr>
              <w:pStyle w:val="Compact"/>
              <w:jc w:val="left"/>
            </w:pPr>
            <w:r>
              <w:t xml:space="preserve">~2.4 KB</w:t>
            </w:r>
          </w:p>
        </w:tc>
        <w:tc>
          <w:tcPr/>
          <w:p>
            <w:pPr>
              <w:pStyle w:val="Compact"/>
              <w:jc w:val="left"/>
            </w:pPr>
            <w:r>
              <w:t xml:space="preserve">Legacy-constrained systems; limited use</w:t>
            </w:r>
          </w:p>
        </w:tc>
      </w:tr>
      <w:tr>
        <w:tc>
          <w:tcPr/>
          <w:p>
            <w:pPr>
              <w:pStyle w:val="Compact"/>
              <w:jc w:val="left"/>
            </w:pPr>
            <w:r>
              <w:t xml:space="preserve">ML-DSA-65</w:t>
            </w:r>
          </w:p>
        </w:tc>
        <w:tc>
          <w:tcPr/>
          <w:p>
            <w:pPr>
              <w:pStyle w:val="Compact"/>
              <w:jc w:val="left"/>
            </w:pPr>
            <w:r>
              <w:t xml:space="preserve">Category 3</w:t>
            </w:r>
          </w:p>
        </w:tc>
        <w:tc>
          <w:tcPr/>
          <w:p>
            <w:pPr>
              <w:pStyle w:val="Compact"/>
              <w:jc w:val="left"/>
            </w:pPr>
            <w:r>
              <w:t xml:space="preserve">~3.3 KB</w:t>
            </w:r>
          </w:p>
        </w:tc>
        <w:tc>
          <w:tcPr/>
          <w:p>
            <w:pPr>
              <w:pStyle w:val="Compact"/>
              <w:jc w:val="left"/>
            </w:pPr>
            <w:r>
              <w:rPr>
                <w:bCs/>
                <w:b/>
              </w:rPr>
              <w:t xml:space="preserve">Default enterprise choice</w:t>
            </w:r>
          </w:p>
        </w:tc>
      </w:tr>
      <w:tr>
        <w:tc>
          <w:tcPr/>
          <w:p>
            <w:pPr>
              <w:pStyle w:val="Compact"/>
              <w:jc w:val="left"/>
            </w:pPr>
            <w:r>
              <w:t xml:space="preserve">ML-DSA-87</w:t>
            </w:r>
          </w:p>
        </w:tc>
        <w:tc>
          <w:tcPr/>
          <w:p>
            <w:pPr>
              <w:pStyle w:val="Compact"/>
              <w:jc w:val="left"/>
            </w:pPr>
            <w:r>
              <w:t xml:space="preserve">Category 5</w:t>
            </w:r>
          </w:p>
        </w:tc>
        <w:tc>
          <w:tcPr/>
          <w:p>
            <w:pPr>
              <w:pStyle w:val="Compact"/>
              <w:jc w:val="left"/>
            </w:pPr>
            <w:r>
              <w:t xml:space="preserve">~4.6 KB</w:t>
            </w:r>
          </w:p>
        </w:tc>
        <w:tc>
          <w:tcPr/>
          <w:p>
            <w:pPr>
              <w:pStyle w:val="Compact"/>
              <w:jc w:val="left"/>
            </w:pPr>
            <w:r>
              <w:t xml:space="preserve">NSS; long-trust-chain roots; defence</w:t>
            </w:r>
          </w:p>
        </w:tc>
      </w:tr>
    </w:tbl>
    <w:p>
      <w:pPr>
        <w:pStyle w:val="BodyText"/>
      </w:pPr>
      <w:r>
        <w:t xml:space="preserve">ML-DSA signatures and public keys are substantially larger than ECDSA. A certificate chain that previously fit within smart card storage may not accommodate ML-DSA without hardware redesign. PDF signing containers, log aggregation systems, and blockchain anchoring constructions sized for ECDSA may require schema updates.</w:t>
      </w:r>
    </w:p>
    <w:p>
      <w:pPr>
        <w:pStyle w:val="BlockText"/>
      </w:pPr>
      <w:r>
        <w:rPr>
          <w:bCs/>
          <w:b/>
        </w:rPr>
        <w:t xml:space="preserve">Architect’s Decision</w:t>
      </w:r>
    </w:p>
    <w:p>
      <w:pPr>
        <w:pStyle w:val="BlockText"/>
      </w:pPr>
      <w:r>
        <w:t xml:space="preserve">Standardise on</w:t>
      </w:r>
      <w:r>
        <w:t xml:space="preserve"> </w:t>
      </w:r>
      <w:r>
        <w:rPr>
          <w:bCs/>
          <w:b/>
        </w:rPr>
        <w:t xml:space="preserve">ML-DSA-65</w:t>
      </w:r>
      <w:r>
        <w:t xml:space="preserve"> </w:t>
      </w:r>
      <w:r>
        <w:t xml:space="preserve">for general enterprise signing — certificates, code signing where size permits, document signing. Use</w:t>
      </w:r>
      <w:r>
        <w:t xml:space="preserve"> </w:t>
      </w:r>
      <w:r>
        <w:rPr>
          <w:bCs/>
          <w:b/>
        </w:rPr>
        <w:t xml:space="preserve">ML-DSA-87</w:t>
      </w:r>
      <w:r>
        <w:t xml:space="preserve"> </w:t>
      </w:r>
      <w:r>
        <w:t xml:space="preserve">where CNSA 2.0, contractual flow-down, or root CA long-trust requirements mandate Category 5. Evaluate size constraints in firmware, smart cards, and OT devices before committing — Chapter 6 addresses cases where ML-DSA does not fit.</w:t>
      </w:r>
    </w:p>
    <w:bookmarkEnd w:id="30"/>
    <w:bookmarkStart w:id="31" w:name="where-ml-dsa-applies-in-the-enterprise"/>
    <w:p>
      <w:pPr>
        <w:pStyle w:val="Heading3"/>
      </w:pPr>
      <w:r>
        <w:t xml:space="preserve">Where ML-DSA applies in the enterprise</w:t>
      </w:r>
    </w:p>
    <w:tbl>
      <w:tblPr>
        <w:tblStyle w:val="Table"/>
        <w:tblW w:type="pct" w:w="5000"/>
        <w:tblLook w:firstRow="1" w:lastRow="0" w:firstColumn="0" w:lastColumn="0" w:noHBand="0" w:noVBand="0" w:val="0020"/>
        <w:jc w:val="start"/>
      </w:tblPr>
      <w:tblGrid>
        <w:gridCol w:w="1584"/>
        <w:gridCol w:w="4276"/>
        <w:gridCol w:w="2059"/>
      </w:tblGrid>
      <w:tr>
        <w:trPr>
          <w:tblHeader w:val="true"/>
        </w:trPr>
        <w:tc>
          <w:tcPr/>
          <w:p>
            <w:pPr>
              <w:pStyle w:val="Compact"/>
              <w:jc w:val="left"/>
            </w:pPr>
            <w:r>
              <w:t xml:space="preserve">Use case</w:t>
            </w:r>
          </w:p>
        </w:tc>
        <w:tc>
          <w:tcPr/>
          <w:p>
            <w:pPr>
              <w:pStyle w:val="Compact"/>
              <w:jc w:val="left"/>
            </w:pPr>
            <w:r>
              <w:t xml:space="preserve">Current typical algorithm</w:t>
            </w:r>
          </w:p>
        </w:tc>
        <w:tc>
          <w:tcPr/>
          <w:p>
            <w:pPr>
              <w:pStyle w:val="Compact"/>
              <w:jc w:val="left"/>
            </w:pPr>
            <w:r>
              <w:t xml:space="preserve">ML-DSA role</w:t>
            </w:r>
          </w:p>
        </w:tc>
      </w:tr>
      <w:tr>
        <w:tc>
          <w:tcPr/>
          <w:p>
            <w:pPr>
              <w:pStyle w:val="Compact"/>
              <w:jc w:val="left"/>
            </w:pPr>
            <w:r>
              <w:t xml:space="preserve">TLS server certificates</w:t>
            </w:r>
          </w:p>
        </w:tc>
        <w:tc>
          <w:tcPr/>
          <w:p>
            <w:pPr>
              <w:pStyle w:val="Compact"/>
              <w:jc w:val="left"/>
            </w:pPr>
            <w:r>
              <w:t xml:space="preserve">ECDSA/RSA</w:t>
            </w:r>
          </w:p>
        </w:tc>
        <w:tc>
          <w:tcPr/>
          <w:p>
            <w:pPr>
              <w:pStyle w:val="Compact"/>
              <w:jc w:val="left"/>
            </w:pPr>
            <w:r>
              <w:t xml:space="preserve">CA and end-entity certificate signatures</w:t>
            </w:r>
          </w:p>
        </w:tc>
      </w:tr>
      <w:tr>
        <w:tc>
          <w:tcPr/>
          <w:p>
            <w:pPr>
              <w:pStyle w:val="Compact"/>
              <w:jc w:val="left"/>
            </w:pPr>
            <w:r>
              <w:t xml:space="preserve">Code signing</w:t>
            </w:r>
          </w:p>
        </w:tc>
        <w:tc>
          <w:tcPr/>
          <w:p>
            <w:pPr>
              <w:pStyle w:val="Compact"/>
              <w:jc w:val="left"/>
            </w:pPr>
            <w:r>
              <w:t xml:space="preserve">RSA/ECDSA</w:t>
            </w:r>
          </w:p>
        </w:tc>
        <w:tc>
          <w:tcPr/>
          <w:p>
            <w:pPr>
              <w:pStyle w:val="Compact"/>
              <w:jc w:val="left"/>
            </w:pPr>
            <w:r>
              <w:t xml:space="preserve">Binary and package signatures</w:t>
            </w:r>
          </w:p>
        </w:tc>
      </w:tr>
      <w:tr>
        <w:tc>
          <w:tcPr/>
          <w:p>
            <w:pPr>
              <w:pStyle w:val="Compact"/>
              <w:jc w:val="left"/>
            </w:pPr>
            <w:r>
              <w:t xml:space="preserve">Document signing</w:t>
            </w:r>
          </w:p>
        </w:tc>
        <w:tc>
          <w:tcPr/>
          <w:p>
            <w:pPr>
              <w:pStyle w:val="Compact"/>
              <w:jc w:val="left"/>
            </w:pPr>
            <w:r>
              <w:t xml:space="preserve">RSA/ECDSA</w:t>
            </w:r>
          </w:p>
        </w:tc>
        <w:tc>
          <w:tcPr/>
          <w:p>
            <w:pPr>
              <w:pStyle w:val="Compact"/>
              <w:jc w:val="left"/>
            </w:pPr>
            <w:r>
              <w:t xml:space="preserve">PDF, Office, legal document signatures</w:t>
            </w:r>
          </w:p>
        </w:tc>
      </w:tr>
      <w:tr>
        <w:tc>
          <w:tcPr/>
          <w:p>
            <w:pPr>
              <w:pStyle w:val="Compact"/>
              <w:jc w:val="left"/>
            </w:pPr>
            <w:r>
              <w:t xml:space="preserve">Email signing (S/MIME)</w:t>
            </w:r>
          </w:p>
        </w:tc>
        <w:tc>
          <w:tcPr/>
          <w:p>
            <w:pPr>
              <w:pStyle w:val="Compact"/>
              <w:jc w:val="left"/>
            </w:pPr>
            <w:r>
              <w:t xml:space="preserve">RSA/ECDSA</w:t>
            </w:r>
          </w:p>
        </w:tc>
        <w:tc>
          <w:tcPr/>
          <w:p>
            <w:pPr>
              <w:pStyle w:val="Compact"/>
              <w:jc w:val="left"/>
            </w:pPr>
            <w:r>
              <w:t xml:space="preserve">Message and certificate signatures</w:t>
            </w:r>
          </w:p>
        </w:tc>
      </w:tr>
      <w:tr>
        <w:tc>
          <w:tcPr/>
          <w:p>
            <w:pPr>
              <w:pStyle w:val="Compact"/>
              <w:jc w:val="left"/>
            </w:pPr>
            <w:r>
              <w:t xml:space="preserve">Firmware signing</w:t>
            </w:r>
          </w:p>
        </w:tc>
        <w:tc>
          <w:tcPr/>
          <w:p>
            <w:pPr>
              <w:pStyle w:val="Compact"/>
              <w:jc w:val="left"/>
            </w:pPr>
            <w:r>
              <w:t xml:space="preserve">RSA/ECDSA</w:t>
            </w:r>
          </w:p>
        </w:tc>
        <w:tc>
          <w:tcPr/>
          <w:p>
            <w:pPr>
              <w:pStyle w:val="Compact"/>
              <w:jc w:val="left"/>
            </w:pPr>
            <w:r>
              <w:t xml:space="preserve">Often constrained — see Chapter 6</w:t>
            </w:r>
          </w:p>
        </w:tc>
      </w:tr>
      <w:tr>
        <w:tc>
          <w:tcPr/>
          <w:p>
            <w:pPr>
              <w:pStyle w:val="Compact"/>
              <w:jc w:val="left"/>
            </w:pPr>
            <w:r>
              <w:t xml:space="preserve">Blockchain / ledger anchoring</w:t>
            </w:r>
          </w:p>
        </w:tc>
        <w:tc>
          <w:tcPr/>
          <w:p>
            <w:pPr>
              <w:pStyle w:val="Compact"/>
              <w:jc w:val="left"/>
            </w:pPr>
            <w:r>
              <w:t xml:space="preserve">ECDSA/EdDSA</w:t>
            </w:r>
          </w:p>
        </w:tc>
        <w:tc>
          <w:tcPr/>
          <w:p>
            <w:pPr>
              <w:pStyle w:val="Compact"/>
              <w:jc w:val="left"/>
            </w:pPr>
            <w:r>
              <w:t xml:space="preserve">Size and performance sensitive</w:t>
            </w:r>
          </w:p>
        </w:tc>
      </w:tr>
    </w:tbl>
    <w:p>
      <w:pPr>
        <w:pStyle w:val="BodyText"/>
      </w:pPr>
      <w:r>
        <w:t xml:space="preserve">Meridian Mutual Bank’s payment HSM firmware signing chain — the blocking dependency from Chapter 1 — requires ML-DSA support in FIPS-validated HSM firmware. The algorithm choice is determined; the ecosystem readiness score is not.</w:t>
      </w:r>
    </w:p>
    <w:p>
      <w:r>
        <w:pict>
          <v:rect style="width:0;height:1.5pt" o:hralign="center" o:hrstd="t" o:hr="t"/>
        </w:pict>
      </w:r>
    </w:p>
    <w:bookmarkEnd w:id="31"/>
    <w:bookmarkEnd w:id="32"/>
    <w:bookmarkStart w:id="36" w:name="Xbdeea27effe79853bcd1039f1c9fd6ee9321da7"/>
    <w:p>
      <w:pPr>
        <w:pStyle w:val="Heading2"/>
      </w:pPr>
      <w:r>
        <w:t xml:space="preserve">4.5 FIPS 205: SLH-DSA (Stateless Hash-Based Signatures)</w:t>
      </w:r>
    </w:p>
    <w:p>
      <w:pPr>
        <w:pStyle w:val="FirstParagraph"/>
      </w:pPr>
      <w:r>
        <w:t xml:space="preserve">SLH-DSA (derived from SPHINCS+) provides digital signatures based on hash functions rather than lattice problems. For enterprise architects, SLH-DSA is the</w:t>
      </w:r>
      <w:r>
        <w:t xml:space="preserve"> </w:t>
      </w:r>
      <w:r>
        <w:rPr>
          <w:bCs/>
          <w:b/>
        </w:rPr>
        <w:t xml:space="preserve">diversity and conservatism</w:t>
      </w:r>
      <w:r>
        <w:t xml:space="preserve"> </w:t>
      </w:r>
      <w:r>
        <w:t xml:space="preserve">algorithm — not the default workhorse. Its security assumptions differ from ML-DSA — conservative from a mathematical perspective, expensive from a performance perspective.</w:t>
      </w:r>
    </w:p>
    <w:bookmarkStart w:id="33" w:name="when-enterprises-choose-slh-dsa"/>
    <w:p>
      <w:pPr>
        <w:pStyle w:val="Heading3"/>
      </w:pPr>
      <w:r>
        <w:t xml:space="preserve">When enterprises choose SLH-DSA</w:t>
      </w:r>
    </w:p>
    <w:p>
      <w:pPr>
        <w:pStyle w:val="FirstParagraph"/>
      </w:pPr>
      <w:r>
        <w:t xml:space="preserve">SLH-DSA serves as:</w:t>
      </w:r>
    </w:p>
    <w:p>
      <w:pPr>
        <w:numPr>
          <w:ilvl w:val="0"/>
          <w:numId w:val="1003"/>
        </w:numPr>
        <w:pStyle w:val="Compact"/>
      </w:pPr>
      <w:r>
        <w:rPr>
          <w:bCs/>
          <w:b/>
        </w:rPr>
        <w:t xml:space="preserve">Algorithmic diversity</w:t>
      </w:r>
      <w:r>
        <w:t xml:space="preserve"> </w:t>
      </w:r>
      <w:r>
        <w:t xml:space="preserve">alongside ML-DSA in high-assurance environments that require multiple signature families</w:t>
      </w:r>
    </w:p>
    <w:p>
      <w:pPr>
        <w:numPr>
          <w:ilvl w:val="0"/>
          <w:numId w:val="1003"/>
        </w:numPr>
        <w:pStyle w:val="Compact"/>
      </w:pPr>
      <w:r>
        <w:rPr>
          <w:bCs/>
          <w:b/>
        </w:rPr>
        <w:t xml:space="preserve">Conservative alternative</w:t>
      </w:r>
      <w:r>
        <w:t xml:space="preserve"> </w:t>
      </w:r>
      <w:r>
        <w:t xml:space="preserve">where lattice-based assumptions are considered unacceptable for specific classified or long-trust applications</w:t>
      </w:r>
    </w:p>
    <w:p>
      <w:pPr>
        <w:numPr>
          <w:ilvl w:val="0"/>
          <w:numId w:val="1003"/>
        </w:numPr>
        <w:pStyle w:val="Compact"/>
      </w:pPr>
      <w:r>
        <w:rPr>
          <w:bCs/>
          <w:b/>
        </w:rPr>
        <w:t xml:space="preserve">Fallback path</w:t>
      </w:r>
      <w:r>
        <w:t xml:space="preserve"> </w:t>
      </w:r>
      <w:r>
        <w:t xml:space="preserve">if ML-DSA implementations prove problematic in specific constrained environments — though size and performance trade-offs often favour SP 800-208 stateful schemes for firmware (Chapter 6)</w:t>
      </w:r>
    </w:p>
    <w:p>
      <w:pPr>
        <w:pStyle w:val="FirstParagraph"/>
      </w:pPr>
      <w:r>
        <w:t xml:space="preserve">CNSA 2.0 includes SLH-DSA in the approved suite alongside ML-DSA. NSS planning should account for both. Commercial enterprises without NSS obligations may standardise on ML-DSA alone for most use cases, documenting SLH-DSA as an approved alternative where policy requires algorithmic diversity.</w:t>
      </w:r>
    </w:p>
    <w:bookmarkEnd w:id="33"/>
    <w:bookmarkStart w:id="34" w:name="performance-and-size-characteristics"/>
    <w:p>
      <w:pPr>
        <w:pStyle w:val="Heading3"/>
      </w:pPr>
      <w:r>
        <w:t xml:space="preserve">Performance and size characteristics</w:t>
      </w:r>
    </w:p>
    <w:p>
      <w:pPr>
        <w:pStyle w:val="FirstParagraph"/>
      </w:pPr>
      <w:r>
        <w:t xml:space="preserve">SLH-DSA signatures are significantly larger than ML-DSA and substantially larger than ECDSA. Signing and verification operations are slower. These characteristics limit SLH-DSA’s fit for high-throughput protocols — TLS handshakes, high-volume API authentication, real-time OT messaging — without careful engineering.</w:t>
      </w:r>
    </w:p>
    <w:p>
      <w:pPr>
        <w:pStyle w:val="BodyText"/>
      </w:pPr>
      <w:r>
        <w:t xml:space="preserve">SLH-DSA’s value proposition is</w:t>
      </w:r>
      <w:r>
        <w:t xml:space="preserve"> </w:t>
      </w:r>
      <w:r>
        <w:rPr>
          <w:bCs/>
          <w:b/>
        </w:rPr>
        <w:t xml:space="preserve">conservative security assumptions</w:t>
      </w:r>
      <w:r>
        <w:t xml:space="preserve"> </w:t>
      </w:r>
      <w:r>
        <w:t xml:space="preserve">and</w:t>
      </w:r>
      <w:r>
        <w:t xml:space="preserve"> </w:t>
      </w:r>
      <w:r>
        <w:rPr>
          <w:bCs/>
          <w:b/>
        </w:rPr>
        <w:t xml:space="preserve">hash-function-based construction</w:t>
      </w:r>
      <w:r>
        <w:t xml:space="preserve"> </w:t>
      </w:r>
      <w:r>
        <w:t xml:space="preserve">— not operational efficiency. Enterprise policies should specify SLH-DSA for use cases where diversity or conservative assumptions justify performance cost, not as a default replacement for ECDSA in performance-sensitive paths.</w:t>
      </w:r>
    </w:p>
    <w:bookmarkEnd w:id="34"/>
    <w:bookmarkStart w:id="35" w:name="enterprise-slh-dsa-deployment-patterns"/>
    <w:p>
      <w:pPr>
        <w:pStyle w:val="Heading3"/>
      </w:pPr>
      <w:r>
        <w:t xml:space="preserve">Enterprise SLH-DSA deployment patterns</w:t>
      </w:r>
    </w:p>
    <w:tbl>
      <w:tblPr>
        <w:tblStyle w:val="Table"/>
        <w:tblW w:type="pct" w:w="5000"/>
        <w:tblLook w:firstRow="1" w:lastRow="0" w:firstColumn="0" w:lastColumn="0" w:noHBand="0" w:noVBand="0" w:val="0020"/>
        <w:jc w:val="start"/>
      </w:tblPr>
      <w:tblGrid>
        <w:gridCol w:w="1980"/>
        <w:gridCol w:w="3960"/>
        <w:gridCol w:w="1980"/>
      </w:tblGrid>
      <w:tr>
        <w:trPr>
          <w:tblHeader w:val="true"/>
        </w:trPr>
        <w:tc>
          <w:tcPr/>
          <w:p>
            <w:pPr>
              <w:pStyle w:val="Compact"/>
              <w:jc w:val="left"/>
            </w:pPr>
            <w:r>
              <w:t xml:space="preserve">Pattern</w:t>
            </w:r>
          </w:p>
        </w:tc>
        <w:tc>
          <w:tcPr/>
          <w:p>
            <w:pPr>
              <w:pStyle w:val="Compact"/>
              <w:jc w:val="left"/>
            </w:pPr>
            <w:r>
              <w:t xml:space="preserve">When appropriate</w:t>
            </w:r>
          </w:p>
        </w:tc>
        <w:tc>
          <w:tcPr/>
          <w:p>
            <w:pPr>
              <w:pStyle w:val="Compact"/>
              <w:jc w:val="left"/>
            </w:pPr>
            <w:r>
              <w:t xml:space="preserve">Caution</w:t>
            </w:r>
          </w:p>
        </w:tc>
      </w:tr>
      <w:tr>
        <w:tc>
          <w:tcPr/>
          <w:p>
            <w:pPr>
              <w:pStyle w:val="Compact"/>
              <w:jc w:val="left"/>
            </w:pPr>
            <w:r>
              <w:t xml:space="preserve">Dual-algorithm signing with ML-DSA</w:t>
            </w:r>
          </w:p>
        </w:tc>
        <w:tc>
          <w:tcPr/>
          <w:p>
            <w:pPr>
              <w:pStyle w:val="Compact"/>
              <w:jc w:val="left"/>
            </w:pPr>
            <w:r>
              <w:t xml:space="preserve">NSS diversity; high-assurance archives</w:t>
            </w:r>
          </w:p>
        </w:tc>
        <w:tc>
          <w:tcPr/>
          <w:p>
            <w:pPr>
              <w:pStyle w:val="Compact"/>
              <w:jc w:val="left"/>
            </w:pPr>
            <w:r>
              <w:t xml:space="preserve">Operational complexity; two signatures</w:t>
            </w:r>
          </w:p>
        </w:tc>
      </w:tr>
      <w:tr>
        <w:tc>
          <w:tcPr/>
          <w:p>
            <w:pPr>
              <w:pStyle w:val="Compact"/>
              <w:jc w:val="left"/>
            </w:pPr>
            <w:r>
              <w:t xml:space="preserve">Root-of-trust alternative</w:t>
            </w:r>
          </w:p>
        </w:tc>
        <w:tc>
          <w:tcPr/>
          <w:p>
            <w:pPr>
              <w:pStyle w:val="Compact"/>
              <w:jc w:val="left"/>
            </w:pPr>
            <w:r>
              <w:t xml:space="preserve">Policy mandates hash-based backup for CA</w:t>
            </w:r>
          </w:p>
        </w:tc>
        <w:tc>
          <w:tcPr/>
          <w:p>
            <w:pPr>
              <w:pStyle w:val="Compact"/>
              <w:jc w:val="left"/>
            </w:pPr>
            <w:r>
              <w:t xml:space="preserve">Certificate size; CRL/OCSP load</w:t>
            </w:r>
          </w:p>
        </w:tc>
      </w:tr>
      <w:tr>
        <w:tc>
          <w:tcPr/>
          <w:p>
            <w:pPr>
              <w:pStyle w:val="Compact"/>
              <w:jc w:val="left"/>
            </w:pPr>
            <w:r>
              <w:t xml:space="preserve">Long-archive document signing</w:t>
            </w:r>
          </w:p>
        </w:tc>
        <w:tc>
          <w:tcPr/>
          <w:p>
            <w:pPr>
              <w:pStyle w:val="Compact"/>
              <w:jc w:val="left"/>
            </w:pPr>
            <w:r>
              <w:t xml:space="preserve">Legal hold; infrequent verification</w:t>
            </w:r>
          </w:p>
        </w:tc>
        <w:tc>
          <w:tcPr/>
          <w:p>
            <w:pPr>
              <w:pStyle w:val="Compact"/>
              <w:jc w:val="left"/>
            </w:pPr>
            <w:r>
              <w:t xml:space="preserve">Storage cost acceptable</w:t>
            </w:r>
          </w:p>
        </w:tc>
      </w:tr>
      <w:tr>
        <w:tc>
          <w:tcPr/>
          <w:p>
            <w:pPr>
              <w:pStyle w:val="Compact"/>
              <w:jc w:val="left"/>
            </w:pPr>
            <w:r>
              <w:t xml:space="preserve">Protocol signing</w:t>
            </w:r>
          </w:p>
        </w:tc>
        <w:tc>
          <w:tcPr/>
          <w:p>
            <w:pPr>
              <w:pStyle w:val="Compact"/>
              <w:jc w:val="left"/>
            </w:pPr>
            <w:r>
              <w:t xml:space="preserve">Rarely</w:t>
            </w:r>
          </w:p>
        </w:tc>
        <w:tc>
          <w:tcPr/>
          <w:p>
            <w:pPr>
              <w:pStyle w:val="Compact"/>
              <w:jc w:val="left"/>
            </w:pPr>
            <w:r>
              <w:t xml:space="preserve">Latency and size usually prohibitive</w:t>
            </w:r>
          </w:p>
        </w:tc>
      </w:tr>
    </w:tbl>
    <w:p>
      <w:pPr>
        <w:pStyle w:val="BodyText"/>
      </w:pPr>
      <w:r>
        <w:t xml:space="preserve">Apex deployed SLH-DSA alongside ML-DSA for selected NSS archive signing — documents verified infrequently, stored in high-assurance archives, with verification latency irrelevant. Apex did</w:t>
      </w:r>
      <w:r>
        <w:t xml:space="preserve"> </w:t>
      </w:r>
      <w:r>
        <w:rPr>
          <w:bCs/>
          <w:b/>
        </w:rPr>
        <w:t xml:space="preserve">not</w:t>
      </w:r>
      <w:r>
        <w:t xml:space="preserve"> </w:t>
      </w:r>
      <w:r>
        <w:t xml:space="preserve">deploy SLH-DSA for TLS or real-time transaction paths — engineering benchmarks showed order-of-magnitude latency increase versus ML-DSA.</w:t>
      </w:r>
    </w:p>
    <w:p>
      <w:pPr>
        <w:pStyle w:val="BodyText"/>
      </w:pPr>
      <w:r>
        <w:t xml:space="preserve">Meridian evaluated SLH-DSA for root CA diversity and rejected production deployment in 2026 — ML-DSA-87 met regulatory requirements with lower operational impact. SLH-DSA remained in policy as an</w:t>
      </w:r>
      <w:r>
        <w:t xml:space="preserve"> </w:t>
      </w:r>
      <w:r>
        <w:rPr>
          <w:bCs/>
          <w:b/>
        </w:rPr>
        <w:t xml:space="preserve">approved alternative</w:t>
      </w:r>
      <w:r>
        <w:t xml:space="preserve"> </w:t>
      </w:r>
      <w:r>
        <w:t xml:space="preserve">if lattice assumptions weakened — agility posture, not immediate deployment.</w:t>
      </w:r>
    </w:p>
    <w:p>
      <w:r>
        <w:pict>
          <v:rect style="width:0;height:1.5pt" o:hralign="center" o:hrstd="t" o:hr="t"/>
        </w:pict>
      </w:r>
    </w:p>
    <w:bookmarkEnd w:id="35"/>
    <w:bookmarkEnd w:id="36"/>
    <w:bookmarkStart w:id="37" w:name="Xb1a6afb24948479f47bb2ac103339f047783885"/>
    <w:p>
      <w:pPr>
        <w:pStyle w:val="Heading2"/>
      </w:pPr>
      <w:r>
        <w:t xml:space="preserve">4.6 Security Categories and Enterprise Mapping</w:t>
      </w:r>
    </w:p>
    <w:p>
      <w:pPr>
        <w:pStyle w:val="FirstParagraph"/>
      </w:pPr>
      <w:r>
        <w:t xml:space="preserve">NIST organises post-quantum algorithms into security categories linked to the hardness of underlying problems against classical and quantum attacks. Enterprise architects map categories to data classification and regulatory requirements — not to conduct independent cryptanalysis.</w:t>
      </w:r>
    </w:p>
    <w:p>
      <w:pPr>
        <w:pStyle w:val="BodyText"/>
      </w:pPr>
      <w:r>
        <w:rPr>
          <w:bCs/>
          <w:b/>
        </w:rPr>
        <w:t xml:space="preserve">Table 4.3 — Security Category × Enterprise Data Mapping</w:t>
      </w:r>
    </w:p>
    <w:tbl>
      <w:tblPr>
        <w:tblStyle w:val="Table"/>
        <w:tblW w:type="pct" w:w="5000"/>
        <w:tblLook w:firstRow="1" w:lastRow="0" w:firstColumn="0" w:lastColumn="0" w:noHBand="0" w:noVBand="0" w:val="0020"/>
        <w:jc w:val="start"/>
      </w:tblPr>
      <w:tblGrid>
        <w:gridCol w:w="2329"/>
        <w:gridCol w:w="2950"/>
        <w:gridCol w:w="2640"/>
      </w:tblGrid>
      <w:tr>
        <w:trPr>
          <w:tblHeader w:val="true"/>
        </w:trPr>
        <w:tc>
          <w:tcPr/>
          <w:p>
            <w:pPr>
              <w:pStyle w:val="Compact"/>
              <w:jc w:val="left"/>
            </w:pPr>
            <w:r>
              <w:t xml:space="preserve">NIST category</w:t>
            </w:r>
          </w:p>
        </w:tc>
        <w:tc>
          <w:tcPr/>
          <w:p>
            <w:pPr>
              <w:pStyle w:val="Compact"/>
              <w:jc w:val="left"/>
            </w:pPr>
            <w:r>
              <w:t xml:space="preserve">Informal strength</w:t>
            </w:r>
          </w:p>
        </w:tc>
        <w:tc>
          <w:tcPr/>
          <w:p>
            <w:pPr>
              <w:pStyle w:val="Compact"/>
              <w:jc w:val="left"/>
            </w:pPr>
            <w:r>
              <w:t xml:space="preserve">Typical mapping</w:t>
            </w:r>
          </w:p>
        </w:tc>
      </w:tr>
      <w:tr>
        <w:tc>
          <w:tcPr/>
          <w:p>
            <w:pPr>
              <w:pStyle w:val="Compact"/>
              <w:jc w:val="left"/>
            </w:pPr>
            <w:r>
              <w:t xml:space="preserve">Category 1</w:t>
            </w:r>
          </w:p>
        </w:tc>
        <w:tc>
          <w:tcPr/>
          <w:p>
            <w:pPr>
              <w:pStyle w:val="Compact"/>
              <w:jc w:val="left"/>
            </w:pPr>
            <w:r>
              <w:t xml:space="preserve">Lower PQC margin</w:t>
            </w:r>
          </w:p>
        </w:tc>
        <w:tc>
          <w:tcPr/>
          <w:p>
            <w:pPr>
              <w:pStyle w:val="Compact"/>
              <w:jc w:val="left"/>
            </w:pPr>
            <w:r>
              <w:t xml:space="preserve">Avoid for new enterprise deployments</w:t>
            </w:r>
          </w:p>
        </w:tc>
      </w:tr>
      <w:tr>
        <w:tc>
          <w:tcPr/>
          <w:p>
            <w:pPr>
              <w:pStyle w:val="Compact"/>
              <w:jc w:val="left"/>
            </w:pPr>
            <w:r>
              <w:t xml:space="preserve">Category 2</w:t>
            </w:r>
          </w:p>
        </w:tc>
        <w:tc>
          <w:tcPr/>
          <w:p>
            <w:pPr>
              <w:pStyle w:val="Compact"/>
              <w:jc w:val="left"/>
            </w:pPr>
            <w:r>
              <w:t xml:space="preserve">Moderate</w:t>
            </w:r>
          </w:p>
        </w:tc>
        <w:tc>
          <w:tcPr/>
          <w:p>
            <w:pPr>
              <w:pStyle w:val="Compact"/>
              <w:jc w:val="left"/>
            </w:pPr>
            <w:r>
              <w:t xml:space="preserve">Legacy transition only with documented rationale</w:t>
            </w:r>
          </w:p>
        </w:tc>
      </w:tr>
      <w:tr>
        <w:tc>
          <w:tcPr/>
          <w:p>
            <w:pPr>
              <w:pStyle w:val="Compact"/>
              <w:jc w:val="left"/>
            </w:pPr>
            <w:r>
              <w:t xml:space="preserve">Category 3</w:t>
            </w:r>
          </w:p>
        </w:tc>
        <w:tc>
          <w:tcPr/>
          <w:p>
            <w:pPr>
              <w:pStyle w:val="Compact"/>
              <w:jc w:val="left"/>
            </w:pPr>
            <w:r>
              <w:rPr>
                <w:bCs/>
                <w:b/>
              </w:rPr>
              <w:t xml:space="preserve">Enterprise default</w:t>
            </w:r>
          </w:p>
        </w:tc>
        <w:tc>
          <w:tcPr/>
          <w:p>
            <w:pPr>
              <w:pStyle w:val="Compact"/>
              <w:jc w:val="left"/>
            </w:pPr>
            <w:r>
              <w:t xml:space="preserve">Standard business data; general TLS and signing</w:t>
            </w:r>
          </w:p>
        </w:tc>
      </w:tr>
      <w:tr>
        <w:tc>
          <w:tcPr/>
          <w:p>
            <w:pPr>
              <w:pStyle w:val="Compact"/>
              <w:jc w:val="left"/>
            </w:pPr>
            <w:r>
              <w:t xml:space="preserve">Category 5</w:t>
            </w:r>
          </w:p>
        </w:tc>
        <w:tc>
          <w:tcPr/>
          <w:p>
            <w:pPr>
              <w:pStyle w:val="Compact"/>
              <w:jc w:val="left"/>
            </w:pPr>
            <w:r>
              <w:t xml:space="preserve">High</w:t>
            </w:r>
          </w:p>
        </w:tc>
        <w:tc>
          <w:tcPr/>
          <w:p>
            <w:pPr>
              <w:pStyle w:val="Compact"/>
              <w:jc w:val="left"/>
            </w:pPr>
            <w:r>
              <w:t xml:space="preserve">NSS; classified; long-life national security data; contractual mandate</w:t>
            </w:r>
          </w:p>
        </w:tc>
      </w:tr>
    </w:tbl>
    <w:p>
      <w:pPr>
        <w:pStyle w:val="BodyText"/>
      </w:pPr>
      <w:r>
        <w:t xml:space="preserve">NIST security categories describe hardness against known classical and quantum attacks on the underlying problem — they are</w:t>
      </w:r>
      <w:r>
        <w:t xml:space="preserve"> </w:t>
      </w:r>
      <w:r>
        <w:rPr>
          <w:bCs/>
          <w:b/>
        </w:rPr>
        <w:t xml:space="preserve">not</w:t>
      </w:r>
      <w:r>
        <w:t xml:space="preserve"> </w:t>
      </w:r>
      <w:r>
        <w:t xml:space="preserve">literal mappings to AES key lengths. The informal</w:t>
      </w:r>
      <w:r>
        <w:t xml:space="preserve"> </w:t>
      </w:r>
      <w:r>
        <w:t xml:space="preserve">“</w:t>
      </w:r>
      <w:r>
        <w:t xml:space="preserve">Classical equivalent</w:t>
      </w:r>
      <w:r>
        <w:t xml:space="preserve">”</w:t>
      </w:r>
      <w:r>
        <w:t xml:space="preserve"> </w:t>
      </w:r>
      <w:r>
        <w:t xml:space="preserve">column in Table 4.1 is a communication aid for executives, not a specification for parameter selection.</w:t>
      </w:r>
    </w:p>
    <w:p>
      <w:pPr>
        <w:pStyle w:val="BodyText"/>
      </w:pPr>
      <w:r>
        <w:t xml:space="preserve">The mapping connects to Part I’s threat analysis: systems with TES 4–5 and long confidentiality horizons justify Category 5 parameters for key establishment and signing. Systems with shorter horizons still benefit from Category 3 as the enterprise default — over-provisioning Category 5 everywhere increases bandwidth, storage, and validation cost without proportional risk reduction.</w:t>
      </w:r>
    </w:p>
    <w:p>
      <w:pPr>
        <w:pStyle w:val="BlockText"/>
      </w:pPr>
      <w:r>
        <w:rPr>
          <w:bCs/>
          <w:b/>
        </w:rPr>
        <w:t xml:space="preserve">Regulatory Lens</w:t>
      </w:r>
    </w:p>
    <w:p>
      <w:pPr>
        <w:pStyle w:val="BlockText"/>
      </w:pPr>
      <w:r>
        <w:t xml:space="preserve">DORA RTS Article 6 requires encryption policies based on ICT risk assessment. Supervisory reviewers will ask whether parameter set selection is</w:t>
      </w:r>
      <w:r>
        <w:t xml:space="preserve"> </w:t>
      </w:r>
      <w:r>
        <w:rPr>
          <w:bCs/>
          <w:b/>
        </w:rPr>
        <w:t xml:space="preserve">risk-based</w:t>
      </w:r>
      <w:r>
        <w:t xml:space="preserve"> </w:t>
      </w:r>
      <w:r>
        <w:t xml:space="preserve">— not whether every system uses the largest available parameters. Document the mapping from data classification to security category in the Policy layer of the PQC Governance Stack (Chapter 3).</w:t>
      </w:r>
    </w:p>
    <w:p>
      <w:r>
        <w:pict>
          <v:rect style="width:0;height:1.5pt" o:hralign="center" o:hrstd="t" o:hr="t"/>
        </w:pict>
      </w:r>
    </w:p>
    <w:bookmarkEnd w:id="37"/>
    <w:bookmarkStart w:id="41" w:name="contingency-algorithms-fn-dsa-and-hqc"/>
    <w:p>
      <w:pPr>
        <w:pStyle w:val="Heading2"/>
      </w:pPr>
      <w:r>
        <w:t xml:space="preserve">4.7 Contingency Algorithms: FN-DSA and HQC</w:t>
      </w:r>
    </w:p>
    <w:p>
      <w:pPr>
        <w:pStyle w:val="FirstParagraph"/>
      </w:pPr>
      <w:r>
        <w:t xml:space="preserve">NIST continues standardisation work on FN-DSA (compact lattice signatures) and HQC-KEM (code-based key establishment). Enterprise architects must understand their status:</w:t>
      </w:r>
      <w:r>
        <w:t xml:space="preserve"> </w:t>
      </w:r>
      <w:r>
        <w:rPr>
          <w:bCs/>
          <w:b/>
        </w:rPr>
        <w:t xml:space="preserve">contingency and diversification, not blocking dependencies.</w:t>
      </w:r>
    </w:p>
    <w:bookmarkStart w:id="38" w:name="fn-dsa"/>
    <w:p>
      <w:pPr>
        <w:pStyle w:val="Heading3"/>
      </w:pPr>
      <w:r>
        <w:t xml:space="preserve">FN-DSA</w:t>
      </w:r>
    </w:p>
    <w:p>
      <w:pPr>
        <w:pStyle w:val="FirstParagraph"/>
      </w:pPr>
      <w:r>
        <w:t xml:space="preserve">FN-DSA (formerly Falcon) offers smaller signatures than ML-DSA — attractive for bandwidth-constrained protocols and size-limited embedded systems. It remains in the NIST standardisation process at time of writing. Implementation complexity, constant-time execution requirements, and validation availability are more immature than ML-DSA.</w:t>
      </w:r>
    </w:p>
    <w:p>
      <w:pPr>
        <w:pStyle w:val="BodyText"/>
      </w:pPr>
      <w:r>
        <w:rPr>
          <w:bCs/>
          <w:b/>
        </w:rPr>
        <w:t xml:space="preserve">Enterprise posture:</w:t>
      </w:r>
      <w:r>
        <w:t xml:space="preserve"> </w:t>
      </w:r>
      <w:r>
        <w:t xml:space="preserve">Monitor FN-DSA progress. Do not build production migration plans assuming FN-DSA availability on a specific date. Do not reject ML-DSA deployments pending FN-DSA. Include FN-DSA in cryptography policy as a</w:t>
      </w:r>
      <w:r>
        <w:t xml:space="preserve"> </w:t>
      </w:r>
      <w:r>
        <w:rPr>
          <w:bCs/>
          <w:b/>
        </w:rPr>
        <w:t xml:space="preserve">future approved algorithm</w:t>
      </w:r>
      <w:r>
        <w:t xml:space="preserve"> </w:t>
      </w:r>
      <w:r>
        <w:t xml:space="preserve">subject to FIPS publication and validation availability.</w:t>
      </w:r>
    </w:p>
    <w:bookmarkEnd w:id="38"/>
    <w:bookmarkStart w:id="39" w:name="hqc-kem"/>
    <w:p>
      <w:pPr>
        <w:pStyle w:val="Heading3"/>
      </w:pPr>
      <w:r>
        <w:t xml:space="preserve">HQC-KEM</w:t>
      </w:r>
    </w:p>
    <w:p>
      <w:pPr>
        <w:pStyle w:val="FirstParagraph"/>
      </w:pPr>
      <w:r>
        <w:t xml:space="preserve">HQC provides an alternative code-based KEM — algorithmically distinct from ML-KEM’s lattice construction. NIST selected ML-KEM as the primary KEM and continues HQC standardisation for diversification.</w:t>
      </w:r>
    </w:p>
    <w:p>
      <w:pPr>
        <w:pStyle w:val="BodyText"/>
      </w:pPr>
      <w:r>
        <w:rPr>
          <w:bCs/>
          <w:b/>
        </w:rPr>
        <w:t xml:space="preserve">Enterprise posture:</w:t>
      </w:r>
      <w:r>
        <w:t xml:space="preserve"> </w:t>
      </w:r>
      <w:r>
        <w:t xml:space="preserve">Treat HQC as contingency against future cryptanalytic developments affecting lattice schemes — a scenario requiring governance review, not automatic migration. Commercial enterprises should not delay ML-KEM deployment for HQC availability.</w:t>
      </w:r>
    </w:p>
    <w:bookmarkEnd w:id="39"/>
    <w:bookmarkStart w:id="40" w:name="why-contingency-planning-matters"/>
    <w:p>
      <w:pPr>
        <w:pStyle w:val="Heading3"/>
      </w:pPr>
      <w:r>
        <w:t xml:space="preserve">Why contingency planning matters</w:t>
      </w:r>
    </w:p>
    <w:p>
      <w:pPr>
        <w:pStyle w:val="FirstParagraph"/>
      </w:pPr>
      <w:r>
        <w:t xml:space="preserve">Cryptographic history includes algorithm families weakened by unexpected analysis. Responsible programmes plan for algorithm agility (Chapter 10) and monitor NIST’s ongoing work. Irresponsible programmes use</w:t>
      </w:r>
      <w:r>
        <w:t xml:space="preserve"> </w:t>
      </w:r>
      <w:r>
        <w:t xml:space="preserve">“</w:t>
      </w:r>
      <w:r>
        <w:t xml:space="preserve">FN-DSA isn’t final yet</w:t>
      </w:r>
      <w:r>
        <w:t xml:space="preserve">”</w:t>
      </w:r>
      <w:r>
        <w:t xml:space="preserve"> </w:t>
      </w:r>
      <w:r>
        <w:t xml:space="preserve">as justification for programme paralysis. The distinction is operational: contingency algorithms inform</w:t>
      </w:r>
      <w:r>
        <w:t xml:space="preserve"> </w:t>
      </w:r>
      <w:r>
        <w:rPr>
          <w:bCs/>
          <w:b/>
        </w:rPr>
        <w:t xml:space="preserve">policy future-proofing</w:t>
      </w:r>
      <w:r>
        <w:t xml:space="preserve"> </w:t>
      </w:r>
      <w:r>
        <w:t xml:space="preserve">and</w:t>
      </w:r>
      <w:r>
        <w:t xml:space="preserve"> </w:t>
      </w:r>
      <w:r>
        <w:rPr>
          <w:bCs/>
          <w:b/>
        </w:rPr>
        <w:t xml:space="preserve">agility requirements</w:t>
      </w:r>
      <w:r>
        <w:t xml:space="preserve">; finalised algorithms inform</w:t>
      </w:r>
      <w:r>
        <w:t xml:space="preserve"> </w:t>
      </w:r>
      <w:r>
        <w:rPr>
          <w:bCs/>
          <w:b/>
        </w:rPr>
        <w:t xml:space="preserve">deployment planning</w:t>
      </w:r>
      <w:r>
        <w:t xml:space="preserve">.</w:t>
      </w:r>
    </w:p>
    <w:p>
      <w:r>
        <w:pict>
          <v:rect style="width:0;height:1.5pt" o:hralign="center" o:hrstd="t" o:hr="t"/>
        </w:pict>
      </w:r>
    </w:p>
    <w:bookmarkEnd w:id="40"/>
    <w:bookmarkEnd w:id="41"/>
    <w:bookmarkStart w:id="42" w:name="algorithm-selection-decision-logic"/>
    <w:p>
      <w:pPr>
        <w:pStyle w:val="Heading2"/>
      </w:pPr>
      <w:r>
        <w:t xml:space="preserve">4.8 Algorithm Selection Decision Logic</w:t>
      </w:r>
    </w:p>
    <w:p>
      <w:pPr>
        <w:pStyle w:val="FirstParagraph"/>
      </w:pPr>
      <w:r>
        <w:t xml:space="preserve">Enterprises do not need bespoke algorithm selection committees for each system. They need a</w:t>
      </w:r>
      <w:r>
        <w:t xml:space="preserve"> </w:t>
      </w:r>
      <w:r>
        <w:rPr>
          <w:bCs/>
          <w:b/>
        </w:rPr>
        <w:t xml:space="preserve">decision tree</w:t>
      </w:r>
      <w:r>
        <w:t xml:space="preserve"> </w:t>
      </w:r>
      <w:r>
        <w:t xml:space="preserve">applied consistently across the estate, with documented exceptions.</w:t>
      </w:r>
    </w:p>
    <w:p>
      <w:pPr>
        <w:pStyle w:val="BodyText"/>
      </w:pPr>
      <w:r>
        <w:rPr>
          <w:bCs/>
          <w:b/>
        </w:rPr>
        <w:t xml:space="preserve">Figure 4.2 — Enterprise Algorithm Selection Decision Tree</w:t>
      </w:r>
    </w:p>
    <w:p>
      <w:pPr>
        <w:pStyle w:val="SourceCode"/>
      </w:pPr>
      <w:r>
        <w:rPr>
          <w:rStyle w:val="VerbatimChar"/>
        </w:rPr>
        <w:t xml:space="preserve">START: New cryptographic deployment or migration</w:t>
      </w:r>
      <w:r>
        <w:br/>
      </w:r>
      <w:r>
        <w:rPr>
          <w:rStyle w:val="VerbatimChar"/>
        </w:rPr>
        <w:t xml:space="preserve">  |</w:t>
      </w:r>
      <w:r>
        <w:br/>
      </w:r>
      <w:r>
        <w:rPr>
          <w:rStyle w:val="VerbatimChar"/>
        </w:rPr>
        <w:t xml:space="preserve">  v</w:t>
      </w:r>
      <w:r>
        <w:br/>
      </w:r>
      <w:r>
        <w:rPr>
          <w:rStyle w:val="VerbatimChar"/>
        </w:rPr>
        <w:t xml:space="preserve">Is this an NSS or CNSA 2.0-mandated system?</w:t>
      </w:r>
      <w:r>
        <w:br/>
      </w:r>
      <w:r>
        <w:rPr>
          <w:rStyle w:val="VerbatimChar"/>
        </w:rPr>
        <w:t xml:space="preserve">  |-- YES --&gt; ML-KEM-1024 + ML-DSA-87 + SLH-DSA (per CNSA 2.0 profile)</w:t>
      </w:r>
      <w:r>
        <w:br/>
      </w:r>
      <w:r>
        <w:rPr>
          <w:rStyle w:val="VerbatimChar"/>
        </w:rPr>
        <w:t xml:space="preserve">  |-- NO  --&gt; Continue</w:t>
      </w:r>
      <w:r>
        <w:br/>
      </w:r>
      <w:r>
        <w:rPr>
          <w:rStyle w:val="VerbatimChar"/>
        </w:rPr>
        <w:t xml:space="preserve">              |</w:t>
      </w:r>
      <w:r>
        <w:br/>
      </w:r>
      <w:r>
        <w:rPr>
          <w:rStyle w:val="VerbatimChar"/>
        </w:rPr>
        <w:t xml:space="preserve">              v</w:t>
      </w:r>
      <w:r>
        <w:br/>
      </w:r>
      <w:r>
        <w:rPr>
          <w:rStyle w:val="VerbatimChar"/>
        </w:rPr>
        <w:t xml:space="preserve">Operation type?</w:t>
      </w:r>
      <w:r>
        <w:br/>
      </w:r>
      <w:r>
        <w:rPr>
          <w:rStyle w:val="VerbatimChar"/>
        </w:rPr>
        <w:t xml:space="preserve">  |-- Key establishment --&gt; ML-KEM-768 (default)</w:t>
      </w:r>
      <w:r>
        <w:br/>
      </w:r>
      <w:r>
        <w:rPr>
          <w:rStyle w:val="VerbatimChar"/>
        </w:rPr>
        <w:t xml:space="preserve">  |                         ML-KEM-1024 if Category 5 required by risk assessment</w:t>
      </w:r>
      <w:r>
        <w:br/>
      </w:r>
      <w:r>
        <w:rPr>
          <w:rStyle w:val="VerbatimChar"/>
        </w:rPr>
        <w:t xml:space="preserve">  |-- Digital signature  --&gt; ML-DSA-65 (default)</w:t>
      </w:r>
      <w:r>
        <w:br/>
      </w:r>
      <w:r>
        <w:rPr>
          <w:rStyle w:val="VerbatimChar"/>
        </w:rPr>
        <w:t xml:space="preserve">  |                         ML-DSA-87 if Category 5 required</w:t>
      </w:r>
      <w:r>
        <w:br/>
      </w:r>
      <w:r>
        <w:rPr>
          <w:rStyle w:val="VerbatimChar"/>
        </w:rPr>
        <w:t xml:space="preserve">  |                         SLH-DSA if diversity policy or NSS requires</w:t>
      </w:r>
      <w:r>
        <w:br/>
      </w:r>
      <w:r>
        <w:rPr>
          <w:rStyle w:val="VerbatimChar"/>
        </w:rPr>
        <w:t xml:space="preserve">  |-- Firmware / embedded --&gt; Chapter 6 decision matrix (may be LMS/XMSS)</w:t>
      </w:r>
      <w:r>
        <w:br/>
      </w:r>
      <w:r>
        <w:rPr>
          <w:rStyle w:val="VerbatimChar"/>
        </w:rPr>
        <w:t xml:space="preserve">              |</w:t>
      </w:r>
      <w:r>
        <w:br/>
      </w:r>
      <w:r>
        <w:rPr>
          <w:rStyle w:val="VerbatimChar"/>
        </w:rPr>
        <w:t xml:space="preserve">              v</w:t>
      </w:r>
      <w:r>
        <w:br/>
      </w:r>
      <w:r>
        <w:rPr>
          <w:rStyle w:val="VerbatimChar"/>
        </w:rPr>
        <w:t xml:space="preserve">Size or performance constraints prevent ML-DSA?</w:t>
      </w:r>
      <w:r>
        <w:br/>
      </w:r>
      <w:r>
        <w:rPr>
          <w:rStyle w:val="VerbatimChar"/>
        </w:rPr>
        <w:t xml:space="preserve">  |-- YES --&gt; Evaluate SLH-DSA fit OR SP 800-208 stateful scheme (Ch. 6)</w:t>
      </w:r>
      <w:r>
        <w:br/>
      </w:r>
      <w:r>
        <w:rPr>
          <w:rStyle w:val="VerbatimChar"/>
        </w:rPr>
        <w:t xml:space="preserve">  |           Document exception with sunset criteria</w:t>
      </w:r>
      <w:r>
        <w:br/>
      </w:r>
      <w:r>
        <w:rPr>
          <w:rStyle w:val="VerbatimChar"/>
        </w:rPr>
        <w:t xml:space="preserve">  |-- NO  --&gt; Continue with ML-DSA selection</w:t>
      </w:r>
      <w:r>
        <w:br/>
      </w:r>
      <w:r>
        <w:rPr>
          <w:rStyle w:val="VerbatimChar"/>
        </w:rPr>
        <w:t xml:space="preserve">              |</w:t>
      </w:r>
      <w:r>
        <w:br/>
      </w:r>
      <w:r>
        <w:rPr>
          <w:rStyle w:val="VerbatimChar"/>
        </w:rPr>
        <w:t xml:space="preserve">              v</w:t>
      </w:r>
      <w:r>
        <w:br/>
      </w:r>
      <w:r>
        <w:rPr>
          <w:rStyle w:val="VerbatimChar"/>
        </w:rPr>
        <w:t xml:space="preserve">FIPS 140-3 validated module available for target platform?</w:t>
      </w:r>
      <w:r>
        <w:br/>
      </w:r>
      <w:r>
        <w:rPr>
          <w:rStyle w:val="VerbatimChar"/>
        </w:rPr>
        <w:t xml:space="preserve">  |-- NO  --&gt; Ecosystem readiness gates deployment (TRADE E dimension)</w:t>
      </w:r>
      <w:r>
        <w:br/>
      </w:r>
      <w:r>
        <w:rPr>
          <w:rStyle w:val="VerbatimChar"/>
        </w:rPr>
        <w:t xml:space="preserve">  |           Begin vendor escalation; plan hybrid interim (Ch. 5)</w:t>
      </w:r>
      <w:r>
        <w:br/>
      </w:r>
      <w:r>
        <w:rPr>
          <w:rStyle w:val="VerbatimChar"/>
        </w:rPr>
        <w:t xml:space="preserve">  |-- YES --&gt; Proceed to HLM phase planning (Ch. 5)</w:t>
      </w:r>
    </w:p>
    <w:p>
      <w:pPr>
        <w:pStyle w:val="FirstParagraph"/>
      </w:pPr>
      <w:r>
        <w:t xml:space="preserve">The decision tree produces</w:t>
      </w:r>
      <w:r>
        <w:t xml:space="preserve"> </w:t>
      </w:r>
      <w:r>
        <w:rPr>
          <w:bCs/>
          <w:b/>
        </w:rPr>
        <w:t xml:space="preserve">policy defaults</w:t>
      </w:r>
      <w:r>
        <w:t xml:space="preserve">, not per-engineer discretion. Individual systems deviate only through the exception process defined in enterprise cryptography policy (Chapter 5).</w:t>
      </w:r>
    </w:p>
    <w:p>
      <w:r>
        <w:pict>
          <v:rect style="width:0;height:1.5pt" o:hralign="center" o:hrstd="t" o:hr="t"/>
        </w:pict>
      </w:r>
    </w:p>
    <w:bookmarkEnd w:id="42"/>
    <w:bookmarkStart w:id="43" w:name="X6274d1e1077522d3f4cab73dd835344e9e00952"/>
    <w:p>
      <w:pPr>
        <w:pStyle w:val="Heading2"/>
      </w:pPr>
      <w:r>
        <w:t xml:space="preserve">4.9 Northfield Energy: Parameter Size Constraints in OT</w:t>
      </w:r>
    </w:p>
    <w:p>
      <w:pPr>
        <w:pStyle w:val="FirstParagraph"/>
      </w:pPr>
      <w:r>
        <w:t xml:space="preserve">Northfield Energy Systems illustrates why algorithm policy must precede device-level migration planning. During Phase 1 architecture assessment, Northfield’s OT security team catalogued certificate stores across four device classes. Three of four could not accommodate ML-DSA-65 certificate chains without profile redesign or hardware refresh.</w:t>
      </w:r>
    </w:p>
    <w:tbl>
      <w:tblPr>
        <w:tblStyle w:val="Table"/>
        <w:tblW w:type="pct" w:w="5000"/>
        <w:tblLook w:firstRow="1" w:lastRow="0" w:firstColumn="0" w:lastColumn="0" w:noHBand="0" w:noVBand="0" w:val="0020"/>
        <w:jc w:val="start"/>
      </w:tblPr>
      <w:tblGrid>
        <w:gridCol w:w="1320"/>
        <w:gridCol w:w="1037"/>
        <w:gridCol w:w="3488"/>
        <w:gridCol w:w="2074"/>
      </w:tblGrid>
      <w:tr>
        <w:trPr>
          <w:tblHeader w:val="true"/>
        </w:trPr>
        <w:tc>
          <w:tcPr/>
          <w:p>
            <w:pPr>
              <w:pStyle w:val="Compact"/>
              <w:jc w:val="left"/>
            </w:pPr>
            <w:r>
              <w:t xml:space="preserve">Device class</w:t>
            </w:r>
          </w:p>
        </w:tc>
        <w:tc>
          <w:tcPr/>
          <w:p>
            <w:pPr>
              <w:pStyle w:val="Compact"/>
              <w:jc w:val="left"/>
            </w:pPr>
            <w:r>
              <w:t xml:space="preserve">Cert store</w:t>
            </w:r>
          </w:p>
        </w:tc>
        <w:tc>
          <w:tcPr/>
          <w:p>
            <w:pPr>
              <w:pStyle w:val="Compact"/>
              <w:jc w:val="left"/>
            </w:pPr>
            <w:r>
              <w:t xml:space="preserve">ML-DSA-65 chain (default profile)</w:t>
            </w:r>
          </w:p>
        </w:tc>
        <w:tc>
          <w:tcPr/>
          <w:p>
            <w:pPr>
              <w:pStyle w:val="Compact"/>
              <w:jc w:val="left"/>
            </w:pPr>
            <w:r>
              <w:t xml:space="preserve">Programme implication</w:t>
            </w:r>
          </w:p>
        </w:tc>
      </w:tr>
      <w:tr>
        <w:tc>
          <w:tcPr/>
          <w:p>
            <w:pPr>
              <w:pStyle w:val="Compact"/>
              <w:jc w:val="left"/>
            </w:pPr>
            <w:r>
              <w:t xml:space="preserve">Compressor controller</w:t>
            </w:r>
          </w:p>
        </w:tc>
        <w:tc>
          <w:tcPr/>
          <w:p>
            <w:pPr>
              <w:pStyle w:val="Compact"/>
              <w:jc w:val="left"/>
            </w:pPr>
            <w:r>
              <w:t xml:space="preserve">4 KB</w:t>
            </w:r>
          </w:p>
        </w:tc>
        <w:tc>
          <w:tcPr/>
          <w:p>
            <w:pPr>
              <w:pStyle w:val="Compact"/>
              <w:jc w:val="left"/>
            </w:pPr>
            <w:r>
              <w:t xml:space="preserve">Does not fit</w:t>
            </w:r>
          </w:p>
        </w:tc>
        <w:tc>
          <w:tcPr/>
          <w:p>
            <w:pPr>
              <w:pStyle w:val="Compact"/>
              <w:jc w:val="left"/>
            </w:pPr>
            <w:r>
              <w:t xml:space="preserve">LMS/XMSS evaluation (Chapter 6)</w:t>
            </w:r>
          </w:p>
        </w:tc>
      </w:tr>
      <w:tr>
        <w:tc>
          <w:tcPr/>
          <w:p>
            <w:pPr>
              <w:pStyle w:val="Compact"/>
              <w:jc w:val="left"/>
            </w:pPr>
            <w:r>
              <w:t xml:space="preserve">Remote terminal unit</w:t>
            </w:r>
          </w:p>
        </w:tc>
        <w:tc>
          <w:tcPr/>
          <w:p>
            <w:pPr>
              <w:pStyle w:val="Compact"/>
              <w:jc w:val="left"/>
            </w:pPr>
            <w:r>
              <w:t xml:space="preserve">8 KB</w:t>
            </w:r>
          </w:p>
        </w:tc>
        <w:tc>
          <w:tcPr/>
          <w:p>
            <w:pPr>
              <w:pStyle w:val="Compact"/>
              <w:jc w:val="left"/>
            </w:pPr>
            <w:r>
              <w:t xml:space="preserve">Fits with compressed profile</w:t>
            </w:r>
          </w:p>
        </w:tc>
        <w:tc>
          <w:tcPr/>
          <w:p>
            <w:pPr>
              <w:pStyle w:val="Compact"/>
              <w:jc w:val="left"/>
            </w:pPr>
            <w:r>
              <w:t xml:space="preserve">Dual-sign H1 bridge</w:t>
            </w:r>
          </w:p>
        </w:tc>
      </w:tr>
      <w:tr>
        <w:tc>
          <w:tcPr/>
          <w:p>
            <w:pPr>
              <w:pStyle w:val="Compact"/>
              <w:jc w:val="left"/>
            </w:pPr>
            <w:r>
              <w:t xml:space="preserve">VPN concentrator</w:t>
            </w:r>
          </w:p>
        </w:tc>
        <w:tc>
          <w:tcPr/>
          <w:p>
            <w:pPr>
              <w:pStyle w:val="Compact"/>
              <w:jc w:val="left"/>
            </w:pPr>
            <w:r>
              <w:t xml:space="preserve">Software</w:t>
            </w:r>
          </w:p>
        </w:tc>
        <w:tc>
          <w:tcPr/>
          <w:p>
            <w:pPr>
              <w:pStyle w:val="Compact"/>
              <w:jc w:val="left"/>
            </w:pPr>
            <w:r>
              <w:t xml:space="preserve">Fits</w:t>
            </w:r>
          </w:p>
        </w:tc>
        <w:tc>
          <w:tcPr/>
          <w:p>
            <w:pPr>
              <w:pStyle w:val="Compact"/>
              <w:jc w:val="left"/>
            </w:pPr>
            <w:r>
              <w:t xml:space="preserve">ML-KEM hybrid IKE — Wave 1 capital</w:t>
            </w:r>
          </w:p>
        </w:tc>
      </w:tr>
      <w:tr>
        <w:tc>
          <w:tcPr/>
          <w:p>
            <w:pPr>
              <w:pStyle w:val="Compact"/>
              <w:jc w:val="left"/>
            </w:pPr>
            <w:r>
              <w:t xml:space="preserve">Engineering workstation</w:t>
            </w:r>
          </w:p>
        </w:tc>
        <w:tc>
          <w:tcPr/>
          <w:p>
            <w:pPr>
              <w:pStyle w:val="Compact"/>
              <w:jc w:val="left"/>
            </w:pPr>
            <w:r>
              <w:t xml:space="preserve">Workstation</w:t>
            </w:r>
          </w:p>
        </w:tc>
        <w:tc>
          <w:tcPr/>
          <w:p>
            <w:pPr>
              <w:pStyle w:val="Compact"/>
              <w:jc w:val="left"/>
            </w:pPr>
            <w:r>
              <w:t xml:space="preserve">Fits</w:t>
            </w:r>
          </w:p>
        </w:tc>
        <w:tc>
          <w:tcPr/>
          <w:p>
            <w:pPr>
              <w:pStyle w:val="Compact"/>
              <w:jc w:val="left"/>
            </w:pPr>
            <w:r>
              <w:t xml:space="preserve">ML-DSA signing service upgrade</w:t>
            </w:r>
          </w:p>
        </w:tc>
      </w:tr>
    </w:tbl>
    <w:p>
      <w:pPr>
        <w:pStyle w:val="BodyText"/>
      </w:pPr>
      <w:r>
        <w:t xml:space="preserve">Northfield’s programme did not debate whether to</w:t>
      </w:r>
      <w:r>
        <w:t xml:space="preserve"> </w:t>
      </w:r>
      <w:r>
        <w:t xml:space="preserve">“</w:t>
      </w:r>
      <w:r>
        <w:t xml:space="preserve">use PQC.</w:t>
      </w:r>
      <w:r>
        <w:t xml:space="preserve">”</w:t>
      </w:r>
      <w:r>
        <w:t xml:space="preserve"> </w:t>
      </w:r>
      <w:r>
        <w:t xml:space="preserve">It debated</w:t>
      </w:r>
      <w:r>
        <w:t xml:space="preserve"> </w:t>
      </w:r>
      <w:r>
        <w:rPr>
          <w:bCs/>
          <w:b/>
        </w:rPr>
        <w:t xml:space="preserve">which PQC signature family fit each device class</w:t>
      </w:r>
      <w:r>
        <w:t xml:space="preserve"> </w:t>
      </w:r>
      <w:r>
        <w:t xml:space="preserve">— a question Chapter 4’s parameter tables alone do not answer. James Whitfield’s team flagged fourteen compressor sites for LMS evaluation in the algorithm standards matrix before procurement issued a single RFP. That sequencing prevented a programme collision where PKI issued ML-DSA certificates that field devices could not store.</w:t>
      </w:r>
    </w:p>
    <w:p>
      <w:pPr>
        <w:pStyle w:val="BlockText"/>
      </w:pPr>
      <w:r>
        <w:rPr>
          <w:bCs/>
          <w:b/>
        </w:rPr>
        <w:t xml:space="preserve">Dependency Alert</w:t>
      </w:r>
    </w:p>
    <w:p>
      <w:pPr>
        <w:pStyle w:val="BlockText"/>
      </w:pPr>
      <w:r>
        <w:rPr>
          <w:bCs/>
          <w:b/>
        </w:rPr>
        <w:t xml:space="preserve">Default parameter sets assume default certificate profiles.</w:t>
      </w:r>
      <w:r>
        <w:t xml:space="preserve"> </w:t>
      </w:r>
      <w:r>
        <w:t xml:space="preserve">ML-KEM-768 and ML-DSA-65 are correct enterprise defaults for unconstrained IT. OT and embedded estates require a</w:t>
      </w:r>
      <w:r>
        <w:t xml:space="preserve"> </w:t>
      </w:r>
      <w:r>
        <w:rPr>
          <w:bCs/>
          <w:b/>
        </w:rPr>
        <w:t xml:space="preserve">device-class column</w:t>
      </w:r>
      <w:r>
        <w:t xml:space="preserve"> </w:t>
      </w:r>
      <w:r>
        <w:t xml:space="preserve">in the algorithm standards matrix — not an estate-wide algorithm mandate applied uniformly.</w:t>
      </w:r>
    </w:p>
    <w:p>
      <w:r>
        <w:pict>
          <v:rect style="width:0;height:1.5pt" o:hralign="center" o:hrstd="t" o:hr="t"/>
        </w:pict>
      </w:r>
    </w:p>
    <w:bookmarkEnd w:id="43"/>
    <w:bookmarkStart w:id="48" w:name="Xb4c93556b3065bb905d0788f7b35772568b3161"/>
    <w:p>
      <w:pPr>
        <w:pStyle w:val="Heading2"/>
      </w:pPr>
      <w:r>
        <w:t xml:space="preserve">4.10 Performance, Size, and Protocol Interdependencies</w:t>
      </w:r>
    </w:p>
    <w:p>
      <w:pPr>
        <w:pStyle w:val="FirstParagraph"/>
      </w:pPr>
      <w:r>
        <w:t xml:space="preserve">Algorithm selection cannot be separated from protocol and infrastructure design. The following interdependencies appear repeatedly in enterprise assessments:</w:t>
      </w:r>
    </w:p>
    <w:bookmarkStart w:id="44" w:name="tls-and-hybrid-constructions"/>
    <w:p>
      <w:pPr>
        <w:pStyle w:val="Heading3"/>
      </w:pPr>
      <w:r>
        <w:t xml:space="preserve">TLS and hybrid constructions</w:t>
      </w:r>
    </w:p>
    <w:p>
      <w:pPr>
        <w:pStyle w:val="FirstParagraph"/>
      </w:pPr>
      <w:r>
        <w:t xml:space="preserve">IETF standards-track hybrid TLS combines classical key exchange (typically X25519) with ML-KEM. Handshake sizes increase. Middleboxes, intrusion prevention systems, and load balancers that inspect or buffer handshakes may require reconfiguration. Enterprises should assess</w:t>
      </w:r>
      <w:r>
        <w:t xml:space="preserve"> </w:t>
      </w:r>
      <w:r>
        <w:rPr>
          <w:bCs/>
          <w:b/>
        </w:rPr>
        <w:t xml:space="preserve">TLS termination infrastructure</w:t>
      </w:r>
      <w:r>
        <w:t xml:space="preserve"> </w:t>
      </w:r>
      <w:r>
        <w:t xml:space="preserve">before committing to production hybrid rollout — not after pilot success on unconstrained endpoints.</w:t>
      </w:r>
    </w:p>
    <w:bookmarkEnd w:id="44"/>
    <w:bookmarkStart w:id="45" w:name="pki-and-certificate-chains"/>
    <w:p>
      <w:pPr>
        <w:pStyle w:val="Heading3"/>
      </w:pPr>
      <w:r>
        <w:t xml:space="preserve">PKI and certificate chains</w:t>
      </w:r>
    </w:p>
    <w:p>
      <w:pPr>
        <w:pStyle w:val="FirstParagraph"/>
      </w:pPr>
      <w:r>
        <w:t xml:space="preserve">ML-DSA certificate signatures increase certificate size. Root and intermediate CA certificates with long validity periods signed with ML-DSA-87 produce chains that may exceed constraints in:</w:t>
      </w:r>
    </w:p>
    <w:p>
      <w:pPr>
        <w:numPr>
          <w:ilvl w:val="0"/>
          <w:numId w:val="1004"/>
        </w:numPr>
        <w:pStyle w:val="Compact"/>
      </w:pPr>
      <w:r>
        <w:t xml:space="preserve">Smart cards and hardware tokens</w:t>
      </w:r>
    </w:p>
    <w:p>
      <w:pPr>
        <w:numPr>
          <w:ilvl w:val="0"/>
          <w:numId w:val="1004"/>
        </w:numPr>
        <w:pStyle w:val="Compact"/>
      </w:pPr>
      <w:r>
        <w:t xml:space="preserve">IoT devices with fixed certificate stores</w:t>
      </w:r>
    </w:p>
    <w:p>
      <w:pPr>
        <w:numPr>
          <w:ilvl w:val="0"/>
          <w:numId w:val="1004"/>
        </w:numPr>
        <w:pStyle w:val="Compact"/>
      </w:pPr>
      <w:r>
        <w:t xml:space="preserve">OT devices with decade-long certificate lifetimes</w:t>
      </w:r>
    </w:p>
    <w:p>
      <w:pPr>
        <w:numPr>
          <w:ilvl w:val="0"/>
          <w:numId w:val="1004"/>
        </w:numPr>
        <w:pStyle w:val="Compact"/>
      </w:pPr>
      <w:r>
        <w:t xml:space="preserve">Partner trust stores with size limits</w:t>
      </w:r>
    </w:p>
    <w:p>
      <w:pPr>
        <w:pStyle w:val="FirstParagraph"/>
      </w:pPr>
      <w:r>
        <w:t xml:space="preserve">Northfield Energy’s OT certificate validity — often ten to twenty years — amplifies this constraint. Certificate profile updates must precede end-entity migration (Chapter 12).</w:t>
      </w:r>
    </w:p>
    <w:bookmarkEnd w:id="45"/>
    <w:bookmarkStart w:id="46" w:name="code-and-document-signing"/>
    <w:p>
      <w:pPr>
        <w:pStyle w:val="Heading3"/>
      </w:pPr>
      <w:r>
        <w:t xml:space="preserve">Code and document signing</w:t>
      </w:r>
    </w:p>
    <w:p>
      <w:pPr>
        <w:pStyle w:val="FirstParagraph"/>
      </w:pPr>
      <w:r>
        <w:t xml:space="preserve">ML-DSA signatures increase signed artefact size. Package repositories, content delivery networks, and document management systems may enforce size limits designed for RSA-2048 or ECDSA signatures. GlobalSync’s container registry required configuration changes to accept post-quantum signed images — a dependency not visible in TLS-only pilots.</w:t>
      </w:r>
    </w:p>
    <w:bookmarkEnd w:id="46"/>
    <w:bookmarkStart w:id="47" w:name="X8c64a33cff8ef0f3d2e34e979cdb39a067f1962"/>
    <w:p>
      <w:pPr>
        <w:pStyle w:val="Heading3"/>
      </w:pPr>
      <w:r>
        <w:t xml:space="preserve">Database and application-layer cryptography</w:t>
      </w:r>
    </w:p>
    <w:p>
      <w:pPr>
        <w:pStyle w:val="FirstParagraph"/>
      </w:pPr>
      <w:r>
        <w:t xml:space="preserve">Applications using RSA for key wrapping or encrypted field storage must accommodate ML-KEM ciphertext sizes and ML-DSA signature sizes in schema design. Fixed-width database columns, message queue payloads, and API response buffers sized for classical cryptography require assessment.</w:t>
      </w:r>
    </w:p>
    <w:p>
      <w:pPr>
        <w:pStyle w:val="BlockText"/>
      </w:pPr>
      <w:r>
        <w:rPr>
          <w:bCs/>
          <w:b/>
        </w:rPr>
        <w:t xml:space="preserve">Dependency Alert</w:t>
      </w:r>
    </w:p>
    <w:p>
      <w:pPr>
        <w:pStyle w:val="BlockText"/>
      </w:pPr>
      <w:r>
        <w:t xml:space="preserve">Algorithm parameter selection gates</w:t>
      </w:r>
      <w:r>
        <w:t xml:space="preserve"> </w:t>
      </w:r>
      <w:r>
        <w:rPr>
          <w:bCs/>
          <w:b/>
        </w:rPr>
        <w:t xml:space="preserve">infrastructure capacity planning</w:t>
      </w:r>
      <w:r>
        <w:t xml:space="preserve">, not only cryptographic library choice. A programme that selects ML-DSA-87 without assessing certificate chain storage in OT devices will discover blocking constraints during production deployment — not during a web server pilot.</w:t>
      </w:r>
    </w:p>
    <w:p>
      <w:r>
        <w:pict>
          <v:rect style="width:0;height:1.5pt" o:hralign="center" o:hrstd="t" o:hr="t"/>
        </w:pict>
      </w:r>
    </w:p>
    <w:bookmarkEnd w:id="47"/>
    <w:bookmarkEnd w:id="48"/>
    <w:bookmarkStart w:id="52" w:name="X954b4ab65206817677281590144599621f7e2ff"/>
    <w:p>
      <w:pPr>
        <w:pStyle w:val="Heading2"/>
      </w:pPr>
      <w:r>
        <w:t xml:space="preserve">4.11 International Alignment: ISO, ETSI, and IETF</w:t>
      </w:r>
    </w:p>
    <w:p>
      <w:pPr>
        <w:pStyle w:val="FirstParagraph"/>
      </w:pPr>
      <w:r>
        <w:t xml:space="preserve">NIST FIPS 203–205 are the practical deployment baseline. International bodies provide normative references and protocol specifications that enterprises need for multi-jurisdiction operations.</w:t>
      </w:r>
    </w:p>
    <w:bookmarkStart w:id="49" w:name="isoiec-jtc-1-sc-27"/>
    <w:p>
      <w:pPr>
        <w:pStyle w:val="Heading3"/>
      </w:pPr>
      <w:r>
        <w:t xml:space="preserve">ISO/IEC JTC 1 SC 27</w:t>
      </w:r>
    </w:p>
    <w:p>
      <w:pPr>
        <w:pStyle w:val="FirstParagraph"/>
      </w:pPr>
      <w:r>
        <w:t xml:space="preserve">ISO/IEC working groups incorporate ML-KEM and ML-DSA into international standards including ISO/IEC 18033 (encryption) and ISO/IEC 14888 (signatures). ISO 27001 Annex A control 8.24 references organisational cryptography policies — which, post-2024, should name FIPS-aligned algorithm suites. Appendix C §C.5 provides regulatory supplement depth.</w:t>
      </w:r>
    </w:p>
    <w:bookmarkEnd w:id="49"/>
    <w:bookmarkStart w:id="50" w:name="etsi"/>
    <w:p>
      <w:pPr>
        <w:pStyle w:val="Heading3"/>
      </w:pPr>
      <w:r>
        <w:t xml:space="preserve">ETSI</w:t>
      </w:r>
    </w:p>
    <w:p>
      <w:pPr>
        <w:pStyle w:val="FirstParagraph"/>
      </w:pPr>
      <w:r>
        <w:t xml:space="preserve">ETSI develops quantum-safe profiles for telecommunications and PKI infrastructure. EU financial entities operating private MPLS or dedicated WAN infrastructure should monitor ETSI TR 103 619 and related work items for protocol-level requirements that may precede enterprise internal timelines.</w:t>
      </w:r>
    </w:p>
    <w:bookmarkEnd w:id="50"/>
    <w:bookmarkStart w:id="51" w:name="ietf"/>
    <w:p>
      <w:pPr>
        <w:pStyle w:val="Heading3"/>
      </w:pPr>
      <w:r>
        <w:t xml:space="preserve">IETF</w:t>
      </w:r>
    </w:p>
    <w:p>
      <w:pPr>
        <w:pStyle w:val="FirstParagraph"/>
      </w:pPr>
      <w:r>
        <w:t xml:space="preserve">The IETF specifies deployable protocol formats. Hybrid TLS, HPKE with ML-KEM, and CMS/PKCS#7 updates for post-quantum algorithms flow through IETF working groups. Enterprise policies should reference</w:t>
      </w:r>
      <w:r>
        <w:t xml:space="preserve"> </w:t>
      </w:r>
      <w:r>
        <w:rPr>
          <w:bCs/>
          <w:b/>
        </w:rPr>
        <w:t xml:space="preserve">standards-track IETF specifications</w:t>
      </w:r>
      <w:r>
        <w:t xml:space="preserve"> </w:t>
      </w:r>
      <w:r>
        <w:t xml:space="preserve">for protocol deployment — not proprietary hybrid implementations.</w:t>
      </w:r>
    </w:p>
    <w:p>
      <w:pPr>
        <w:pStyle w:val="BodyText"/>
      </w:pPr>
      <w:r>
        <w:t xml:space="preserve">GlobalSync Logistics maintains a protocol standards watchlist across IETF, ETSI, and NIST — feeding quarterly updates to its cryptography policy owner. The watchlist prevents tenant-facing API changes from referencing expired Internet-Drafts.</w:t>
      </w:r>
    </w:p>
    <w:p>
      <w:r>
        <w:pict>
          <v:rect style="width:0;height:1.5pt" o:hralign="center" o:hrstd="t" o:hr="t"/>
        </w:pict>
      </w:r>
    </w:p>
    <w:bookmarkEnd w:id="51"/>
    <w:bookmarkEnd w:id="52"/>
    <w:bookmarkStart w:id="53" w:name="evaluating-vendor-pqc-claims"/>
    <w:p>
      <w:pPr>
        <w:pStyle w:val="Heading2"/>
      </w:pPr>
      <w:r>
        <w:t xml:space="preserve">4.12 Evaluating Vendor PQC Claims</w:t>
      </w:r>
    </w:p>
    <w:p>
      <w:pPr>
        <w:pStyle w:val="FirstParagraph"/>
      </w:pPr>
      <w:r>
        <w:t xml:space="preserve">Vendor marketing outpaces FIPS validation. Enterprise procurement and architecture teams need a structured evaluation rubric — not a checklist of algorithm names in slide decks.</w:t>
      </w:r>
    </w:p>
    <w:p>
      <w:pPr>
        <w:pStyle w:val="BodyText"/>
      </w:pPr>
      <w:r>
        <w:rPr>
          <w:bCs/>
          <w:b/>
        </w:rPr>
        <w:t xml:space="preserve">Table 4.4 — Vendor PQC Claim Evaluation Rubric</w:t>
      </w:r>
    </w:p>
    <w:tbl>
      <w:tblPr>
        <w:tblStyle w:val="Table"/>
        <w:tblW w:type="pct" w:w="5000"/>
        <w:tblLook w:firstRow="1" w:lastRow="0" w:firstColumn="0" w:lastColumn="0" w:noHBand="0" w:noVBand="0" w:val="0020"/>
        <w:jc w:val="start"/>
      </w:tblPr>
      <w:tblGrid>
        <w:gridCol w:w="1540"/>
        <w:gridCol w:w="4620"/>
        <w:gridCol w:w="1760"/>
      </w:tblGrid>
      <w:tr>
        <w:trPr>
          <w:tblHeader w:val="true"/>
        </w:trPr>
        <w:tc>
          <w:tcPr/>
          <w:p>
            <w:pPr>
              <w:pStyle w:val="Compact"/>
              <w:jc w:val="left"/>
            </w:pPr>
            <w:r>
              <w:t xml:space="preserve">Claim</w:t>
            </w:r>
          </w:p>
        </w:tc>
        <w:tc>
          <w:tcPr/>
          <w:p>
            <w:pPr>
              <w:pStyle w:val="Compact"/>
              <w:jc w:val="left"/>
            </w:pPr>
            <w:r>
              <w:t xml:space="preserve">Acceptable evidence</w:t>
            </w:r>
          </w:p>
        </w:tc>
        <w:tc>
          <w:tcPr/>
          <w:p>
            <w:pPr>
              <w:pStyle w:val="Compact"/>
              <w:jc w:val="left"/>
            </w:pPr>
            <w:r>
              <w:t xml:space="preserve">Reject</w:t>
            </w:r>
          </w:p>
        </w:tc>
      </w:tr>
      <w:tr>
        <w:tc>
          <w:tcPr/>
          <w:p>
            <w:pPr>
              <w:pStyle w:val="Compact"/>
              <w:jc w:val="left"/>
            </w:pPr>
            <w:r>
              <w:t xml:space="preserve">“</w:t>
            </w:r>
            <w:r>
              <w:t xml:space="preserve">PQC-ready</w:t>
            </w:r>
            <w:r>
              <w:t xml:space="preserve">”</w:t>
            </w:r>
          </w:p>
        </w:tc>
        <w:tc>
          <w:tcPr/>
          <w:p>
            <w:pPr>
              <w:pStyle w:val="Compact"/>
              <w:jc w:val="left"/>
            </w:pPr>
            <w:r>
              <w:t xml:space="preserve">FIPS 140-3 cert listing specific algorithms and module version</w:t>
            </w:r>
          </w:p>
        </w:tc>
        <w:tc>
          <w:tcPr/>
          <w:p>
            <w:pPr>
              <w:pStyle w:val="Compact"/>
              <w:jc w:val="left"/>
            </w:pPr>
            <w:r>
              <w:t xml:space="preserve">Algorithm in beta branch without validation</w:t>
            </w:r>
          </w:p>
        </w:tc>
      </w:tr>
      <w:tr>
        <w:tc>
          <w:tcPr/>
          <w:p>
            <w:pPr>
              <w:pStyle w:val="Compact"/>
              <w:jc w:val="left"/>
            </w:pPr>
            <w:r>
              <w:t xml:space="preserve">“</w:t>
            </w:r>
            <w:r>
              <w:t xml:space="preserve">Supports ML-KEM</w:t>
            </w:r>
            <w:r>
              <w:t xml:space="preserve">”</w:t>
            </w:r>
          </w:p>
        </w:tc>
        <w:tc>
          <w:tcPr/>
          <w:p>
            <w:pPr>
              <w:pStyle w:val="Compact"/>
              <w:jc w:val="left"/>
            </w:pPr>
            <w:r>
              <w:t xml:space="preserve">Certificate number; supported parameter sets; platform list</w:t>
            </w:r>
          </w:p>
        </w:tc>
        <w:tc>
          <w:tcPr/>
          <w:p>
            <w:pPr>
              <w:pStyle w:val="Compact"/>
              <w:jc w:val="left"/>
            </w:pPr>
            <w:r>
              <w:t xml:space="preserve">Internet-Draft implementation only</w:t>
            </w:r>
          </w:p>
        </w:tc>
      </w:tr>
      <w:tr>
        <w:tc>
          <w:tcPr/>
          <w:p>
            <w:pPr>
              <w:pStyle w:val="Compact"/>
              <w:jc w:val="left"/>
            </w:pPr>
            <w:r>
              <w:t xml:space="preserve">“</w:t>
            </w:r>
            <w:r>
              <w:t xml:space="preserve">Hybrid TLS enabled</w:t>
            </w:r>
            <w:r>
              <w:t xml:space="preserve">”</w:t>
            </w:r>
          </w:p>
        </w:tc>
        <w:tc>
          <w:tcPr/>
          <w:p>
            <w:pPr>
              <w:pStyle w:val="Compact"/>
              <w:jc w:val="left"/>
            </w:pPr>
            <w:r>
              <w:t xml:space="preserve">Standards-track construction ID; tested client matrix</w:t>
            </w:r>
          </w:p>
        </w:tc>
        <w:tc>
          <w:tcPr/>
          <w:p>
            <w:pPr>
              <w:pStyle w:val="Compact"/>
              <w:jc w:val="left"/>
            </w:pPr>
            <w:r>
              <w:t xml:space="preserve">Proprietary hybrid without public spec</w:t>
            </w:r>
          </w:p>
        </w:tc>
      </w:tr>
      <w:tr>
        <w:tc>
          <w:tcPr/>
          <w:p>
            <w:pPr>
              <w:pStyle w:val="Compact"/>
              <w:jc w:val="left"/>
            </w:pPr>
            <w:r>
              <w:t xml:space="preserve">“</w:t>
            </w:r>
            <w:r>
              <w:t xml:space="preserve">Roadmap Q3 2026</w:t>
            </w:r>
            <w:r>
              <w:t xml:space="preserve">”</w:t>
            </w:r>
          </w:p>
        </w:tc>
        <w:tc>
          <w:tcPr/>
          <w:p>
            <w:pPr>
              <w:pStyle w:val="Compact"/>
              <w:jc w:val="left"/>
            </w:pPr>
            <w:r>
              <w:t xml:space="preserve">Contractual milestone with liquidated damages or termination right</w:t>
            </w:r>
          </w:p>
        </w:tc>
        <w:tc>
          <w:tcPr/>
          <w:p>
            <w:pPr>
              <w:pStyle w:val="Compact"/>
              <w:jc w:val="left"/>
            </w:pPr>
            <w:r>
              <w:t xml:space="preserve">Verbal account manager assurance</w:t>
            </w:r>
          </w:p>
        </w:tc>
      </w:tr>
      <w:tr>
        <w:tc>
          <w:tcPr/>
          <w:p>
            <w:pPr>
              <w:pStyle w:val="Compact"/>
              <w:jc w:val="left"/>
            </w:pPr>
            <w:r>
              <w:t xml:space="preserve">“</w:t>
            </w:r>
            <w:r>
              <w:t xml:space="preserve">FN-DSA supported</w:t>
            </w:r>
            <w:r>
              <w:t xml:space="preserve">”</w:t>
            </w:r>
          </w:p>
        </w:tc>
        <w:tc>
          <w:tcPr/>
          <w:p>
            <w:pPr>
              <w:pStyle w:val="Compact"/>
              <w:jc w:val="left"/>
            </w:pPr>
            <w:r>
              <w:t xml:space="preserve">FIPS publication + validation (or explicit lab scope)</w:t>
            </w:r>
          </w:p>
        </w:tc>
        <w:tc>
          <w:tcPr/>
          <w:p>
            <w:pPr>
              <w:pStyle w:val="Compact"/>
              <w:jc w:val="left"/>
            </w:pPr>
            <w:r>
              <w:t xml:space="preserve">Pre-standard reference implementation</w:t>
            </w:r>
          </w:p>
        </w:tc>
      </w:tr>
      <w:tr>
        <w:tc>
          <w:tcPr/>
          <w:p>
            <w:pPr>
              <w:pStyle w:val="Compact"/>
              <w:jc w:val="left"/>
            </w:pPr>
            <w:r>
              <w:t xml:space="preserve">“</w:t>
            </w:r>
            <w:r>
              <w:t xml:space="preserve">Full suite support</w:t>
            </w:r>
            <w:r>
              <w:t xml:space="preserve">”</w:t>
            </w:r>
          </w:p>
        </w:tc>
        <w:tc>
          <w:tcPr/>
          <w:p>
            <w:pPr>
              <w:pStyle w:val="Compact"/>
              <w:jc w:val="left"/>
            </w:pPr>
            <w:r>
              <w:t xml:space="preserve">Per-algorithm validation rows — not aggregate marketing</w:t>
            </w:r>
          </w:p>
        </w:tc>
        <w:tc>
          <w:tcPr/>
          <w:p>
            <w:pPr>
              <w:pStyle w:val="Compact"/>
              <w:jc w:val="left"/>
            </w:pPr>
            <w:r>
              <w:t xml:space="preserve">Any single validated algorithm cited as full coverage</w:t>
            </w:r>
          </w:p>
        </w:tc>
      </w:tr>
    </w:tbl>
    <w:p>
      <w:pPr>
        <w:pStyle w:val="BodyText"/>
      </w:pPr>
      <w:r>
        <w:t xml:space="preserve">Apex’s procurement team rejected three vendor responses in 2025 for citing</w:t>
      </w:r>
      <w:r>
        <w:t xml:space="preserve"> </w:t>
      </w:r>
      <w:r>
        <w:t xml:space="preserve">“</w:t>
      </w:r>
      <w:r>
        <w:t xml:space="preserve">CRYSTALS-Dilithium support</w:t>
      </w:r>
      <w:r>
        <w:t xml:space="preserve">”</w:t>
      </w:r>
      <w:r>
        <w:t xml:space="preserve"> </w:t>
      </w:r>
      <w:r>
        <w:t xml:space="preserve">without FIPS 204 module validation — pre-standard naming in a post-August 2024 RFP was treated as a negative indicator of implementation maturity.</w:t>
      </w:r>
    </w:p>
    <w:p>
      <w:pPr>
        <w:pStyle w:val="BodyText"/>
      </w:pPr>
      <w:r>
        <w:t xml:space="preserve">Meridian embedded the rubric in RFP Annex D. Evaluators scored responses 0–2 per row; minimum passing score required evidence in every row applicable to the workload class. The rubric prevented a repeat of Elena’s pre-programme experience: an HSM vendor’s</w:t>
      </w:r>
      <w:r>
        <w:t xml:space="preserve"> </w:t>
      </w:r>
      <w:r>
        <w:t xml:space="preserve">“</w:t>
      </w:r>
      <w:r>
        <w:t xml:space="preserve">PQC roadmap</w:t>
      </w:r>
      <w:r>
        <w:t xml:space="preserve">”</w:t>
      </w:r>
      <w:r>
        <w:t xml:space="preserve"> </w:t>
      </w:r>
      <w:r>
        <w:t xml:space="preserve">slide without binding delivery dates.</w:t>
      </w:r>
    </w:p>
    <w:p>
      <w:pPr>
        <w:pStyle w:val="BlockText"/>
      </w:pPr>
      <w:r>
        <w:rPr>
          <w:bCs/>
          <w:b/>
        </w:rPr>
        <w:t xml:space="preserve">Migration Moment</w:t>
      </w:r>
    </w:p>
    <w:p>
      <w:pPr>
        <w:pStyle w:val="BlockText"/>
      </w:pPr>
      <w:r>
        <w:rPr>
          <w:iCs/>
          <w:i/>
        </w:rPr>
        <w:t xml:space="preserve">“</w:t>
      </w:r>
      <w:r>
        <w:rPr>
          <w:iCs/>
          <w:i/>
        </w:rPr>
        <w:t xml:space="preserve">Our vendor says they’re quantum-ready — do we need a separate PQC programme?</w:t>
      </w:r>
      <w:r>
        <w:rPr>
          <w:iCs/>
          <w:i/>
        </w:rPr>
        <w:t xml:space="preserve">”</w:t>
      </w:r>
    </w:p>
    <w:p>
      <w:pPr>
        <w:pStyle w:val="BlockText"/>
      </w:pPr>
      <w:r>
        <w:t xml:space="preserve">Vendor readiness for one algorithm in a lab build is not enterprise migration. Readiness requires validated modules on your platforms, in your configurations, under your compliance regime — with contractual delivery dates for gaps. Programme chartering proceeds independently of vendor marketing; vendor evidence informs TRADE Ecosystem readiness scores.</w:t>
      </w:r>
    </w:p>
    <w:p>
      <w:r>
        <w:pict>
          <v:rect style="width:0;height:1.5pt" o:hralign="center" o:hrstd="t" o:hr="t"/>
        </w:pict>
      </w:r>
    </w:p>
    <w:bookmarkEnd w:id="53"/>
    <w:bookmarkStart w:id="55" w:name="X4825402e811cf5d245fd2d8ec24dd50c29c3dfd"/>
    <w:p>
      <w:pPr>
        <w:pStyle w:val="Heading2"/>
      </w:pPr>
      <w:r>
        <w:t xml:space="preserve">4.13 GlobalSync Logistics: Platform-Wide Algorithm Consistency</w:t>
      </w:r>
    </w:p>
    <w:p>
      <w:pPr>
        <w:pStyle w:val="FirstParagraph"/>
      </w:pPr>
      <w:r>
        <w:t xml:space="preserve">GlobalSync operates forty regional deployments with shared platform code but tenant-variable compliance overlays. Algorithm policy must be</w:t>
      </w:r>
      <w:r>
        <w:t xml:space="preserve"> </w:t>
      </w:r>
      <w:r>
        <w:rPr>
          <w:bCs/>
          <w:b/>
        </w:rPr>
        <w:t xml:space="preserve">globally consistent</w:t>
      </w:r>
      <w:r>
        <w:t xml:space="preserve"> </w:t>
      </w:r>
      <w:r>
        <w:t xml:space="preserve">while</w:t>
      </w:r>
      <w:r>
        <w:t xml:space="preserve"> </w:t>
      </w:r>
      <w:r>
        <w:rPr>
          <w:bCs/>
          <w:b/>
        </w:rPr>
        <w:t xml:space="preserve">locally annotated</w:t>
      </w:r>
      <w:r>
        <w:t xml:space="preserve"> </w:t>
      </w:r>
      <w:r>
        <w:t xml:space="preserve">— the same pattern as regulatory timeline overlays (Chapter 5).</w:t>
      </w:r>
    </w:p>
    <w:p>
      <w:pPr>
        <w:pStyle w:val="BodyText"/>
      </w:pPr>
      <w:r>
        <w:t xml:space="preserve">Marcus Chen’s architecture team defined a</w:t>
      </w:r>
      <w:r>
        <w:t xml:space="preserve"> </w:t>
      </w:r>
      <w:r>
        <w:rPr>
          <w:bCs/>
          <w:b/>
        </w:rPr>
        <w:t xml:space="preserve">single platform algorithm baseline</w:t>
      </w:r>
      <w:r>
        <w:t xml:space="preserve">:</w:t>
      </w:r>
    </w:p>
    <w:p>
      <w:pPr>
        <w:numPr>
          <w:ilvl w:val="0"/>
          <w:numId w:val="1005"/>
        </w:numPr>
        <w:pStyle w:val="Compact"/>
      </w:pPr>
      <w:r>
        <w:t xml:space="preserve">TLS termination: ML-KEM-768 hybrid (H1) on all public API tiers</w:t>
      </w:r>
    </w:p>
    <w:p>
      <w:pPr>
        <w:numPr>
          <w:ilvl w:val="0"/>
          <w:numId w:val="1005"/>
        </w:numPr>
        <w:pStyle w:val="Compact"/>
      </w:pPr>
      <w:r>
        <w:t xml:space="preserve">Internal mTLS: ML-KEM-768; ML-DSA-65 certificates from shared PKI</w:t>
      </w:r>
    </w:p>
    <w:p>
      <w:pPr>
        <w:numPr>
          <w:ilvl w:val="0"/>
          <w:numId w:val="1005"/>
        </w:numPr>
        <w:pStyle w:val="Compact"/>
      </w:pPr>
      <w:r>
        <w:t xml:space="preserve">Container signing: ML-DSA-65 dual-sign H1</w:t>
      </w:r>
    </w:p>
    <w:p>
      <w:pPr>
        <w:numPr>
          <w:ilvl w:val="0"/>
          <w:numId w:val="1005"/>
        </w:numPr>
        <w:pStyle w:val="Compact"/>
      </w:pPr>
      <w:r>
        <w:t xml:space="preserve">Tenant-dedicated HSM partitions: parameter elevation per contract, not per region</w:t>
      </w:r>
    </w:p>
    <w:p>
      <w:pPr>
        <w:pStyle w:val="FirstParagraph"/>
      </w:pPr>
      <w:r>
        <w:t xml:space="preserve">Regional annotations applied only where law or contract mandated Category 5 — for example, a US federal logistics tenant requiring ML-KEM-1024 on dedicated endpoints. GlobalSync did not operate separate EU and US algorithm policies; it operated one matrix with</w:t>
      </w:r>
      <w:r>
        <w:t xml:space="preserve"> </w:t>
      </w:r>
      <w:r>
        <w:rPr>
          <w:bCs/>
          <w:b/>
        </w:rPr>
        <w:t xml:space="preserve">tenant rows</w:t>
      </w:r>
      <w:r>
        <w:t xml:space="preserve">, avoiding the contradictory hybrid constructions that arose during its failed first-year dual-programme experiment (Chapter 3).</w:t>
      </w:r>
    </w:p>
    <w:p>
      <w:pPr>
        <w:pStyle w:val="BodyText"/>
      </w:pPr>
      <w:r>
        <w:t xml:space="preserve">Platform-wide consistency reduced engineering cost: one TLS configuration template, one certificate profile set, one CBOM normalisation pipeline. Tenant exceptions were CBOM rows — not forked codebases.</w:t>
      </w:r>
    </w:p>
    <w:bookmarkStart w:id="54" w:name="api-and-message-size-regression-testing"/>
    <w:p>
      <w:pPr>
        <w:pStyle w:val="Heading3"/>
      </w:pPr>
      <w:r>
        <w:t xml:space="preserve">API and message size regression testing</w:t>
      </w:r>
    </w:p>
    <w:p>
      <w:pPr>
        <w:pStyle w:val="FirstParagraph"/>
      </w:pPr>
      <w:r>
        <w:t xml:space="preserve">GlobalSync added PQC regression tests to CI/CD after ML-DSA-signed JWT prototypes exceeded API gateway header limits. Test categories:</w:t>
      </w:r>
    </w:p>
    <w:p>
      <w:pPr>
        <w:numPr>
          <w:ilvl w:val="0"/>
          <w:numId w:val="1006"/>
        </w:numPr>
        <w:pStyle w:val="Compact"/>
      </w:pPr>
      <w:r>
        <w:t xml:space="preserve">Maximum HTTP header size with ML-DSA-signed bearer tokens</w:t>
      </w:r>
    </w:p>
    <w:p>
      <w:pPr>
        <w:numPr>
          <w:ilvl w:val="0"/>
          <w:numId w:val="1006"/>
        </w:numPr>
        <w:pStyle w:val="Compact"/>
      </w:pPr>
      <w:r>
        <w:t xml:space="preserve">gRPC metadata limits with post-quantum certificate chains</w:t>
      </w:r>
    </w:p>
    <w:p>
      <w:pPr>
        <w:numPr>
          <w:ilvl w:val="0"/>
          <w:numId w:val="1006"/>
        </w:numPr>
        <w:pStyle w:val="Compact"/>
      </w:pPr>
      <w:r>
        <w:t xml:space="preserve">Webhook payload size with dual-signed container attestations</w:t>
      </w:r>
    </w:p>
    <w:p>
      <w:pPr>
        <w:pStyle w:val="FirstParagraph"/>
      </w:pPr>
      <w:r>
        <w:t xml:space="preserve">Failures blocked release — treating parameter size as a</w:t>
      </w:r>
      <w:r>
        <w:t xml:space="preserve"> </w:t>
      </w:r>
      <w:r>
        <w:rPr>
          <w:bCs/>
          <w:b/>
        </w:rPr>
        <w:t xml:space="preserve">platform SLO</w:t>
      </w:r>
      <w:r>
        <w:t xml:space="preserve">, not a cryptographic afterthought. Three services required header limit configuration changes before platform baseline approval; none were discovered during the initial TLS-only pilot.</w:t>
      </w:r>
    </w:p>
    <w:p>
      <w:r>
        <w:pict>
          <v:rect style="width:0;height:1.5pt" o:hralign="center" o:hrstd="t" o:hr="t"/>
        </w:pict>
      </w:r>
    </w:p>
    <w:bookmarkEnd w:id="54"/>
    <w:bookmarkEnd w:id="55"/>
    <w:bookmarkStart w:id="56" w:name="X19012e8e73f01e76d566f22a17fb63328f50b60"/>
    <w:p>
      <w:pPr>
        <w:pStyle w:val="Heading2"/>
      </w:pPr>
      <w:r>
        <w:t xml:space="preserve">4.14 Apex Defense: CNSA 2.0 vs. Commercial Availability</w:t>
      </w:r>
    </w:p>
    <w:p>
      <w:pPr>
        <w:pStyle w:val="FirstParagraph"/>
      </w:pPr>
      <w:r>
        <w:t xml:space="preserve">Apex Defense Technologies operates dual cryptographic tracks: NSS workloads under CNSA 2.0 mandates and commercial IT under NIST IR 8547 guidance. Priya Nair’s architecture team documented the mapping in a single</w:t>
      </w:r>
      <w:r>
        <w:t xml:space="preserve"> </w:t>
      </w:r>
      <w:r>
        <w:rPr>
          <w:bCs/>
          <w:b/>
        </w:rPr>
        <w:t xml:space="preserve">algorithm standards matrix</w:t>
      </w:r>
      <w:r>
        <w:t xml:space="preserve"> </w:t>
      </w:r>
      <w:r>
        <w:t xml:space="preserve">— the Policy layer artefact regulators and customers expect.</w:t>
      </w:r>
    </w:p>
    <w:p>
      <w:pPr>
        <w:pStyle w:val="BodyText"/>
      </w:pPr>
      <w:r>
        <w:rPr>
          <w:bCs/>
          <w:b/>
        </w:rPr>
        <w:t xml:space="preserve">Table 4.5 — Apex Algorithm Standards Matrix (Excerpt)</w:t>
      </w:r>
    </w:p>
    <w:tbl>
      <w:tblPr>
        <w:tblStyle w:val="Table"/>
        <w:tblW w:type="pct" w:w="5000"/>
        <w:tblLook w:firstRow="1" w:lastRow="0" w:firstColumn="0" w:lastColumn="0" w:noHBand="0" w:noVBand="0" w:val="0020"/>
        <w:jc w:val="start"/>
      </w:tblPr>
      <w:tblGrid>
        <w:gridCol w:w="2184"/>
        <w:gridCol w:w="2594"/>
        <w:gridCol w:w="1638"/>
        <w:gridCol w:w="1502"/>
      </w:tblGrid>
      <w:tr>
        <w:trPr>
          <w:tblHeader w:val="true"/>
        </w:trPr>
        <w:tc>
          <w:tcPr/>
          <w:p>
            <w:pPr>
              <w:pStyle w:val="Compact"/>
              <w:jc w:val="left"/>
            </w:pPr>
            <w:r>
              <w:t xml:space="preserve">Workload class</w:t>
            </w:r>
          </w:p>
        </w:tc>
        <w:tc>
          <w:tcPr/>
          <w:p>
            <w:pPr>
              <w:pStyle w:val="Compact"/>
              <w:jc w:val="left"/>
            </w:pPr>
            <w:r>
              <w:t xml:space="preserve">Key establishment</w:t>
            </w:r>
          </w:p>
        </w:tc>
        <w:tc>
          <w:tcPr/>
          <w:p>
            <w:pPr>
              <w:pStyle w:val="Compact"/>
              <w:jc w:val="left"/>
            </w:pPr>
            <w:r>
              <w:t xml:space="preserve">Signatures</w:t>
            </w:r>
          </w:p>
        </w:tc>
        <w:tc>
          <w:tcPr/>
          <w:p>
            <w:pPr>
              <w:pStyle w:val="Compact"/>
              <w:jc w:val="left"/>
            </w:pPr>
            <w:r>
              <w:t xml:space="preserve">Authority</w:t>
            </w:r>
          </w:p>
        </w:tc>
      </w:tr>
      <w:tr>
        <w:tc>
          <w:tcPr/>
          <w:p>
            <w:pPr>
              <w:pStyle w:val="Compact"/>
              <w:jc w:val="left"/>
            </w:pPr>
            <w:r>
              <w:t xml:space="preserve">NSS / classified-adjacent</w:t>
            </w:r>
          </w:p>
        </w:tc>
        <w:tc>
          <w:tcPr/>
          <w:p>
            <w:pPr>
              <w:pStyle w:val="Compact"/>
              <w:jc w:val="left"/>
            </w:pPr>
            <w:r>
              <w:t xml:space="preserve">ML-KEM-1024</w:t>
            </w:r>
          </w:p>
        </w:tc>
        <w:tc>
          <w:tcPr/>
          <w:p>
            <w:pPr>
              <w:pStyle w:val="Compact"/>
              <w:jc w:val="left"/>
            </w:pPr>
            <w:r>
              <w:t xml:space="preserve">ML-DSA-87, SLH-DSA</w:t>
            </w:r>
          </w:p>
        </w:tc>
        <w:tc>
          <w:tcPr/>
          <w:p>
            <w:pPr>
              <w:pStyle w:val="Compact"/>
              <w:jc w:val="left"/>
            </w:pPr>
            <w:r>
              <w:t xml:space="preserve">CNSA 2.0</w:t>
            </w:r>
          </w:p>
        </w:tc>
      </w:tr>
      <w:tr>
        <w:tc>
          <w:tcPr/>
          <w:p>
            <w:pPr>
              <w:pStyle w:val="Compact"/>
              <w:jc w:val="left"/>
            </w:pPr>
            <w:r>
              <w:t xml:space="preserve">FedRAMP workloads</w:t>
            </w:r>
          </w:p>
        </w:tc>
        <w:tc>
          <w:tcPr/>
          <w:p>
            <w:pPr>
              <w:pStyle w:val="Compact"/>
              <w:jc w:val="left"/>
            </w:pPr>
            <w:r>
              <w:t xml:space="preserve">ML-KEM-768 minimum</w:t>
            </w:r>
          </w:p>
        </w:tc>
        <w:tc>
          <w:tcPr/>
          <w:p>
            <w:pPr>
              <w:pStyle w:val="Compact"/>
              <w:jc w:val="left"/>
            </w:pPr>
            <w:r>
              <w:t xml:space="preserve">ML-DSA-65 minimum</w:t>
            </w:r>
          </w:p>
        </w:tc>
        <w:tc>
          <w:tcPr/>
          <w:p>
            <w:pPr>
              <w:pStyle w:val="Compact"/>
              <w:jc w:val="left"/>
            </w:pPr>
            <w:r>
              <w:t xml:space="preserve">NIST IR 8547 + agency overlay</w:t>
            </w:r>
          </w:p>
        </w:tc>
      </w:tr>
      <w:tr>
        <w:tc>
          <w:tcPr/>
          <w:p>
            <w:pPr>
              <w:pStyle w:val="Compact"/>
              <w:jc w:val="left"/>
            </w:pPr>
            <w:r>
              <w:t xml:space="preserve">Corporate IT</w:t>
            </w:r>
          </w:p>
        </w:tc>
        <w:tc>
          <w:tcPr/>
          <w:p>
            <w:pPr>
              <w:pStyle w:val="Compact"/>
              <w:jc w:val="left"/>
            </w:pPr>
            <w:r>
              <w:t xml:space="preserve">ML-KEM-768</w:t>
            </w:r>
          </w:p>
        </w:tc>
        <w:tc>
          <w:tcPr/>
          <w:p>
            <w:pPr>
              <w:pStyle w:val="Compact"/>
              <w:jc w:val="left"/>
            </w:pPr>
            <w:r>
              <w:t xml:space="preserve">ML-DSA-65</w:t>
            </w:r>
          </w:p>
        </w:tc>
        <w:tc>
          <w:tcPr/>
          <w:p>
            <w:pPr>
              <w:pStyle w:val="Compact"/>
              <w:jc w:val="left"/>
            </w:pPr>
            <w:r>
              <w:t xml:space="preserve">Enterprise policy</w:t>
            </w:r>
          </w:p>
        </w:tc>
      </w:tr>
      <w:tr>
        <w:tc>
          <w:tcPr/>
          <w:p>
            <w:pPr>
              <w:pStyle w:val="Compact"/>
              <w:jc w:val="left"/>
            </w:pPr>
            <w:r>
              <w:t xml:space="preserve">R&amp;D / non-production</w:t>
            </w:r>
          </w:p>
        </w:tc>
        <w:tc>
          <w:tcPr/>
          <w:p>
            <w:pPr>
              <w:pStyle w:val="Compact"/>
              <w:jc w:val="left"/>
            </w:pPr>
            <w:r>
              <w:t xml:space="preserve">Approved candidates in test labs only</w:t>
            </w:r>
          </w:p>
        </w:tc>
        <w:tc>
          <w:tcPr/>
          <w:p>
            <w:pPr>
              <w:pStyle w:val="Compact"/>
              <w:jc w:val="left"/>
            </w:pPr>
            <w:r>
              <w:t xml:space="preserve">Same</w:t>
            </w:r>
          </w:p>
        </w:tc>
        <w:tc>
          <w:tcPr/>
          <w:p>
            <w:pPr>
              <w:pStyle w:val="Compact"/>
              <w:jc w:val="left"/>
            </w:pPr>
            <w:r>
              <w:t xml:space="preserve">Lab isolation policy</w:t>
            </w:r>
          </w:p>
        </w:tc>
      </w:tr>
    </w:tbl>
    <w:p>
      <w:pPr>
        <w:pStyle w:val="BodyText"/>
      </w:pPr>
      <w:r>
        <w:t xml:space="preserve">The matrix resolved three recurring programme conflicts:</w:t>
      </w:r>
    </w:p>
    <w:p>
      <w:pPr>
        <w:numPr>
          <w:ilvl w:val="0"/>
          <w:numId w:val="1007"/>
        </w:numPr>
      </w:pPr>
      <w:r>
        <w:rPr>
          <w:bCs/>
          <w:b/>
        </w:rPr>
        <w:t xml:space="preserve">Procurement ambiguity.</w:t>
      </w:r>
      <w:r>
        <w:t xml:space="preserve"> </w:t>
      </w:r>
      <w:r>
        <w:t xml:space="preserve">Suppliers received unambiguous algorithm names and parameter sets per workload class — not</w:t>
      </w:r>
      <w:r>
        <w:t xml:space="preserve"> </w:t>
      </w:r>
      <w:r>
        <w:t xml:space="preserve">“</w:t>
      </w:r>
      <w:r>
        <w:t xml:space="preserve">PQC-ready</w:t>
      </w:r>
      <w:r>
        <w:t xml:space="preserve">”</w:t>
      </w:r>
      <w:r>
        <w:t xml:space="preserve"> </w:t>
      </w:r>
      <w:r>
        <w:t xml:space="preserve">language.</w:t>
      </w:r>
    </w:p>
    <w:p>
      <w:pPr>
        <w:numPr>
          <w:ilvl w:val="0"/>
          <w:numId w:val="1007"/>
        </w:numPr>
      </w:pPr>
      <w:r>
        <w:rPr>
          <w:bCs/>
          <w:b/>
        </w:rPr>
        <w:t xml:space="preserve">Engineering scope creep.</w:t>
      </w:r>
      <w:r>
        <w:t xml:space="preserve"> </w:t>
      </w:r>
      <w:r>
        <w:t xml:space="preserve">Teams could not add FN-DSA to production roadmaps without policy committee approval and FIPS publication.</w:t>
      </w:r>
    </w:p>
    <w:p>
      <w:pPr>
        <w:numPr>
          <w:ilvl w:val="0"/>
          <w:numId w:val="1007"/>
        </w:numPr>
      </w:pPr>
      <w:r>
        <w:rPr>
          <w:bCs/>
          <w:b/>
        </w:rPr>
        <w:t xml:space="preserve">Customer questionnaire consistency.</w:t>
      </w:r>
      <w:r>
        <w:t xml:space="preserve"> </w:t>
      </w:r>
      <w:r>
        <w:t xml:space="preserve">Federal integrators received identical answers across product lines because the matrix was the single source of truth.</w:t>
      </w:r>
    </w:p>
    <w:p>
      <w:pPr>
        <w:pStyle w:val="FirstParagraph"/>
      </w:pPr>
      <w:r>
        <w:t xml:space="preserve">Apex’s commercial subsidiaries without NSS obligations followed the corporate IT row — but federal flow-down clauses frequently elevated specific contracts to ML-KEM-1024 and ML-DSA-87. Contract review became a standard step in the algorithm applicability workflow.</w:t>
      </w:r>
    </w:p>
    <w:p>
      <w:r>
        <w:pict>
          <v:rect style="width:0;height:1.5pt" o:hralign="center" o:hrstd="t" o:hr="t"/>
        </w:pict>
      </w:r>
    </w:p>
    <w:bookmarkEnd w:id="56"/>
    <w:bookmarkStart w:id="57" w:name="Xe8e11c000318f34dff119bd8f41f728414ea799"/>
    <w:p>
      <w:pPr>
        <w:pStyle w:val="Heading2"/>
      </w:pPr>
      <w:r>
        <w:t xml:space="preserve">4.15 Meridian and GlobalSync: Standards in Policy Documents</w:t>
      </w:r>
    </w:p>
    <w:p>
      <w:pPr>
        <w:pStyle w:val="FirstParagraph"/>
      </w:pPr>
      <w:r>
        <w:t xml:space="preserve">Meridian Mutual Bank translated FIPS references into its</w:t>
      </w:r>
      <w:r>
        <w:t xml:space="preserve"> </w:t>
      </w:r>
      <w:r>
        <w:rPr>
          <w:bCs/>
          <w:b/>
        </w:rPr>
        <w:t xml:space="preserve">Cryptographic Control Policy</w:t>
      </w:r>
      <w:r>
        <w:t xml:space="preserve"> </w:t>
      </w:r>
      <w:r>
        <w:t xml:space="preserve">— the DORA-linked document Thomas Bergström’s regulatory team defended in supervisory dialogue. The policy did not reproduce FIPS content. It stated:</w:t>
      </w:r>
    </w:p>
    <w:p>
      <w:pPr>
        <w:numPr>
          <w:ilvl w:val="0"/>
          <w:numId w:val="1008"/>
        </w:numPr>
        <w:pStyle w:val="Compact"/>
      </w:pPr>
      <w:r>
        <w:t xml:space="preserve">Approved key establishment algorithms: ML-KEM-768 (enterprise default), ML-KEM-1024 (high-assurance systems per risk assessment)</w:t>
      </w:r>
    </w:p>
    <w:p>
      <w:pPr>
        <w:numPr>
          <w:ilvl w:val="0"/>
          <w:numId w:val="1008"/>
        </w:numPr>
        <w:pStyle w:val="Compact"/>
      </w:pPr>
      <w:r>
        <w:t xml:space="preserve">Approved signature algorithms: ML-DSA-65 (enterprise default), ML-DSA-87 (root CA and long-trust components)</w:t>
      </w:r>
    </w:p>
    <w:p>
      <w:pPr>
        <w:numPr>
          <w:ilvl w:val="0"/>
          <w:numId w:val="1008"/>
        </w:numPr>
        <w:pStyle w:val="Compact"/>
      </w:pPr>
      <w:r>
        <w:t xml:space="preserve">Transition status: hybrid classical/PQC permitted per Hybrid Lifecycle Model; quantum-vulnerable PKC sunset dates aligned to NIST IR 8547 anchors</w:t>
      </w:r>
    </w:p>
    <w:p>
      <w:pPr>
        <w:numPr>
          <w:ilvl w:val="0"/>
          <w:numId w:val="1008"/>
        </w:numPr>
        <w:pStyle w:val="Compact"/>
      </w:pPr>
      <w:r>
        <w:t xml:space="preserve">Exception process: risk acceptance with CISO approval, maximum twelve-month renewal, CBOM annotation</w:t>
      </w:r>
    </w:p>
    <w:p>
      <w:pPr>
        <w:pStyle w:val="FirstParagraph"/>
      </w:pPr>
      <w:r>
        <w:t xml:space="preserve">GlobalSync Logistics faced a different challenge:</w:t>
      </w:r>
      <w:r>
        <w:t xml:space="preserve"> </w:t>
      </w:r>
      <w:r>
        <w:rPr>
          <w:bCs/>
          <w:b/>
        </w:rPr>
        <w:t xml:space="preserve">tenant-visible cryptography policy.</w:t>
      </w:r>
      <w:r>
        <w:t xml:space="preserve"> </w:t>
      </w:r>
      <w:r>
        <w:t xml:space="preserve">Enterprise SaaS customers requested algorithm details in security questionnaires. GlobalSync published a</w:t>
      </w:r>
      <w:r>
        <w:t xml:space="preserve"> </w:t>
      </w:r>
      <w:r>
        <w:rPr>
          <w:bCs/>
          <w:b/>
        </w:rPr>
        <w:t xml:space="preserve">customer-facing cryptography statement</w:t>
      </w:r>
      <w:r>
        <w:t xml:space="preserve"> </w:t>
      </w:r>
      <w:r>
        <w:t xml:space="preserve">referencing FIPS 203–205 by name, with hybrid TLS deployment status per region. Transparency reduced sales-cycle friction — customers did not need to extract algorithm details from penetration test reports.</w:t>
      </w:r>
    </w:p>
    <w:p>
      <w:r>
        <w:pict>
          <v:rect style="width:0;height:1.5pt" o:hralign="center" o:hrstd="t" o:hr="t"/>
        </w:pict>
      </w:r>
    </w:p>
    <w:bookmarkEnd w:id="57"/>
    <w:bookmarkStart w:id="61" w:name="Xc458aa7655a77707df033ed1be193b4131780cd"/>
    <w:p>
      <w:pPr>
        <w:pStyle w:val="Heading2"/>
      </w:pPr>
      <w:r>
        <w:t xml:space="preserve">4.16 FIPS 140-3 Validation and the Implementation Gap</w:t>
      </w:r>
    </w:p>
    <w:p>
      <w:pPr>
        <w:pStyle w:val="FirstParagraph"/>
      </w:pPr>
      <w:r>
        <w:t xml:space="preserve">Algorithm standards mean little without validated implementations. FIPS 140-3 defines security requirements for cryptographic modules — hardware and software — that process sensitive data in regulated environments.</w:t>
      </w:r>
    </w:p>
    <w:bookmarkStart w:id="58" w:name="what-validation-provides"/>
    <w:p>
      <w:pPr>
        <w:pStyle w:val="Heading3"/>
      </w:pPr>
      <w:r>
        <w:t xml:space="preserve">What validation provides</w:t>
      </w:r>
    </w:p>
    <w:p>
      <w:pPr>
        <w:pStyle w:val="FirstParagraph"/>
      </w:pPr>
      <w:r>
        <w:t xml:space="preserve">A FIPS 140-3 validation certificate confirms that a specific module implementation, at a specific version, running on specific platforms, passed defined cryptographic security tests. It does not validate:</w:t>
      </w:r>
    </w:p>
    <w:p>
      <w:pPr>
        <w:numPr>
          <w:ilvl w:val="0"/>
          <w:numId w:val="1009"/>
        </w:numPr>
        <w:pStyle w:val="Compact"/>
      </w:pPr>
      <w:r>
        <w:t xml:space="preserve">The enterprise’s configuration of the module</w:t>
      </w:r>
    </w:p>
    <w:p>
      <w:pPr>
        <w:numPr>
          <w:ilvl w:val="0"/>
          <w:numId w:val="1009"/>
        </w:numPr>
        <w:pStyle w:val="Compact"/>
      </w:pPr>
      <w:r>
        <w:t xml:space="preserve">Algorithms the module supports but the enterprise has not enabled</w:t>
      </w:r>
    </w:p>
    <w:p>
      <w:pPr>
        <w:numPr>
          <w:ilvl w:val="0"/>
          <w:numId w:val="1009"/>
        </w:numPr>
        <w:pStyle w:val="Compact"/>
      </w:pPr>
      <w:r>
        <w:t xml:space="preserve">Application-layer protocol usage above the module</w:t>
      </w:r>
    </w:p>
    <w:p>
      <w:pPr>
        <w:numPr>
          <w:ilvl w:val="0"/>
          <w:numId w:val="1009"/>
        </w:numPr>
        <w:pStyle w:val="Compact"/>
      </w:pPr>
      <w:r>
        <w:t xml:space="preserve">Partner systems in a trust chain</w:t>
      </w:r>
    </w:p>
    <w:p>
      <w:pPr>
        <w:pStyle w:val="FirstParagraph"/>
      </w:pPr>
      <w:r>
        <w:t xml:space="preserve">Enterprise procurement language should require</w:t>
      </w:r>
      <w:r>
        <w:t xml:space="preserve"> </w:t>
      </w:r>
      <w:r>
        <w:rPr>
          <w:bCs/>
          <w:b/>
        </w:rPr>
        <w:t xml:space="preserve">validation certificate number, module version, and listed algorithms</w:t>
      </w:r>
      <w:r>
        <w:t xml:space="preserve"> </w:t>
      </w:r>
      <w:r>
        <w:t xml:space="preserve">— not marketing terms such as</w:t>
      </w:r>
      <w:r>
        <w:t xml:space="preserve"> </w:t>
      </w:r>
      <w:r>
        <w:t xml:space="preserve">“</w:t>
      </w:r>
      <w:r>
        <w:t xml:space="preserve">quantum-ready</w:t>
      </w:r>
      <w:r>
        <w:t xml:space="preserve">”</w:t>
      </w:r>
      <w:r>
        <w:t xml:space="preserve"> </w:t>
      </w:r>
      <w:r>
        <w:t xml:space="preserve">or</w:t>
      </w:r>
      <w:r>
        <w:t xml:space="preserve"> </w:t>
      </w:r>
      <w:r>
        <w:t xml:space="preserve">“</w:t>
      </w:r>
      <w:r>
        <w:t xml:space="preserve">PQC-enabled.</w:t>
      </w:r>
      <w:r>
        <w:t xml:space="preserve">”</w:t>
      </w:r>
    </w:p>
    <w:bookmarkEnd w:id="58"/>
    <w:bookmarkStart w:id="59" w:name="the-2026-validation-landscape"/>
    <w:p>
      <w:pPr>
        <w:pStyle w:val="Heading3"/>
      </w:pPr>
      <w:r>
        <w:t xml:space="preserve">The 2026 validation landscape</w:t>
      </w:r>
    </w:p>
    <w:p>
      <w:pPr>
        <w:pStyle w:val="FirstParagraph"/>
      </w:pPr>
      <w:r>
        <w:t xml:space="preserve">At time of writing, ML-KEM and ML-DSA validated modules are entering the market from major HSM vendors, cloud key management services, and selected software libraries. Coverage is uneven:</w:t>
      </w:r>
    </w:p>
    <w:tbl>
      <w:tblPr>
        <w:tblStyle w:val="Table"/>
        <w:tblW w:type="pct" w:w="5000"/>
        <w:tblLook w:firstRow="1" w:lastRow="0" w:firstColumn="0" w:lastColumn="0" w:noHBand="0" w:noVBand="0" w:val="0020"/>
        <w:jc w:val="start"/>
      </w:tblPr>
      <w:tblGrid>
        <w:gridCol w:w="1810"/>
        <w:gridCol w:w="3054"/>
        <w:gridCol w:w="3054"/>
      </w:tblGrid>
      <w:tr>
        <w:trPr>
          <w:tblHeader w:val="true"/>
        </w:trPr>
        <w:tc>
          <w:tcPr/>
          <w:p>
            <w:pPr>
              <w:pStyle w:val="Compact"/>
              <w:jc w:val="left"/>
            </w:pPr>
            <w:r>
              <w:t xml:space="preserve">Platform class</w:t>
            </w:r>
          </w:p>
        </w:tc>
        <w:tc>
          <w:tcPr/>
          <w:p>
            <w:pPr>
              <w:pStyle w:val="Compact"/>
              <w:jc w:val="left"/>
            </w:pPr>
            <w:r>
              <w:t xml:space="preserve">ML-KEM readiness (typical)</w:t>
            </w:r>
          </w:p>
        </w:tc>
        <w:tc>
          <w:tcPr/>
          <w:p>
            <w:pPr>
              <w:pStyle w:val="Compact"/>
              <w:jc w:val="left"/>
            </w:pPr>
            <w:r>
              <w:t xml:space="preserve">ML-DSA readiness (typical)</w:t>
            </w:r>
          </w:p>
        </w:tc>
      </w:tr>
      <w:tr>
        <w:tc>
          <w:tcPr/>
          <w:p>
            <w:pPr>
              <w:pStyle w:val="Compact"/>
              <w:jc w:val="left"/>
            </w:pPr>
            <w:r>
              <w:t xml:space="preserve">Cloud KMS (tier-1)</w:t>
            </w:r>
          </w:p>
        </w:tc>
        <w:tc>
          <w:tcPr/>
          <w:p>
            <w:pPr>
              <w:pStyle w:val="Compact"/>
              <w:jc w:val="left"/>
            </w:pPr>
            <w:r>
              <w:t xml:space="preserve">Beta to GA</w:t>
            </w:r>
          </w:p>
        </w:tc>
        <w:tc>
          <w:tcPr/>
          <w:p>
            <w:pPr>
              <w:pStyle w:val="Compact"/>
              <w:jc w:val="left"/>
            </w:pPr>
            <w:r>
              <w:t xml:space="preserve">Beta to GA</w:t>
            </w:r>
          </w:p>
        </w:tc>
      </w:tr>
      <w:tr>
        <w:tc>
          <w:tcPr/>
          <w:p>
            <w:pPr>
              <w:pStyle w:val="Compact"/>
              <w:jc w:val="left"/>
            </w:pPr>
            <w:r>
              <w:t xml:space="preserve">Payment HSM</w:t>
            </w:r>
          </w:p>
        </w:tc>
        <w:tc>
          <w:tcPr/>
          <w:p>
            <w:pPr>
              <w:pStyle w:val="Compact"/>
              <w:jc w:val="left"/>
            </w:pPr>
            <w:r>
              <w:t xml:space="preserve">Roadmap 2026–2027</w:t>
            </w:r>
          </w:p>
        </w:tc>
        <w:tc>
          <w:tcPr/>
          <w:p>
            <w:pPr>
              <w:pStyle w:val="Compact"/>
              <w:jc w:val="left"/>
            </w:pPr>
            <w:r>
              <w:t xml:space="preserve">Roadmap 2026–2028</w:t>
            </w:r>
          </w:p>
        </w:tc>
      </w:tr>
      <w:tr>
        <w:tc>
          <w:tcPr/>
          <w:p>
            <w:pPr>
              <w:pStyle w:val="Compact"/>
              <w:jc w:val="left"/>
            </w:pPr>
            <w:r>
              <w:t xml:space="preserve">General-purpose HSM</w:t>
            </w:r>
          </w:p>
        </w:tc>
        <w:tc>
          <w:tcPr/>
          <w:p>
            <w:pPr>
              <w:pStyle w:val="Compact"/>
              <w:jc w:val="left"/>
            </w:pPr>
            <w:r>
              <w:t xml:space="preserve">GA emerging</w:t>
            </w:r>
          </w:p>
        </w:tc>
        <w:tc>
          <w:tcPr/>
          <w:p>
            <w:pPr>
              <w:pStyle w:val="Compact"/>
              <w:jc w:val="left"/>
            </w:pPr>
            <w:r>
              <w:t xml:space="preserve">GA emerging</w:t>
            </w:r>
          </w:p>
        </w:tc>
      </w:tr>
      <w:tr>
        <w:tc>
          <w:tcPr/>
          <w:p>
            <w:pPr>
              <w:pStyle w:val="Compact"/>
              <w:jc w:val="left"/>
            </w:pPr>
            <w:r>
              <w:t xml:space="preserve">Smart card / token</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Embedded MCU</w:t>
            </w:r>
          </w:p>
        </w:tc>
        <w:tc>
          <w:tcPr/>
          <w:p>
            <w:pPr>
              <w:pStyle w:val="Compact"/>
              <w:jc w:val="left"/>
            </w:pPr>
            <w:r>
              <w:t xml:space="preserve">Rare</w:t>
            </w:r>
          </w:p>
        </w:tc>
        <w:tc>
          <w:tcPr/>
          <w:p>
            <w:pPr>
              <w:pStyle w:val="Compact"/>
              <w:jc w:val="left"/>
            </w:pPr>
            <w:r>
              <w:t xml:space="preserve">Rare</w:t>
            </w:r>
          </w:p>
        </w:tc>
      </w:tr>
      <w:tr>
        <w:tc>
          <w:tcPr/>
          <w:p>
            <w:pPr>
              <w:pStyle w:val="Compact"/>
              <w:jc w:val="left"/>
            </w:pPr>
            <w:r>
              <w:t xml:space="preserve">OpenSSL 3.x / BoringSSL</w:t>
            </w:r>
          </w:p>
        </w:tc>
        <w:tc>
          <w:tcPr/>
          <w:p>
            <w:pPr>
              <w:pStyle w:val="Compact"/>
              <w:jc w:val="left"/>
            </w:pPr>
            <w:r>
              <w:t xml:space="preserve">Software validation path</w:t>
            </w:r>
          </w:p>
        </w:tc>
        <w:tc>
          <w:tcPr/>
          <w:p>
            <w:pPr>
              <w:pStyle w:val="Compact"/>
              <w:jc w:val="left"/>
            </w:pPr>
            <w:r>
              <w:t xml:space="preserve">Software validation path</w:t>
            </w:r>
          </w:p>
        </w:tc>
      </w:tr>
    </w:tbl>
    <w:p>
      <w:pPr>
        <w:pStyle w:val="BodyText"/>
      </w:pPr>
      <w:r>
        <w:t xml:space="preserve">The uneven landscape explains TRADE’s Ecosystem readiness dimension (Chapter 2). Meridian’s PII KMS scored Ecosystem readiness 2 because payment-grade HSM validation for ML-KEM was not production-available — not because ML-KEM was undefined.</w:t>
      </w:r>
    </w:p>
    <w:bookmarkEnd w:id="59"/>
    <w:bookmarkStart w:id="60" w:name="software-vs-hardware-validation"/>
    <w:p>
      <w:pPr>
        <w:pStyle w:val="Heading3"/>
      </w:pPr>
      <w:r>
        <w:t xml:space="preserve">Software vs hardware validation</w:t>
      </w:r>
    </w:p>
    <w:p>
      <w:pPr>
        <w:pStyle w:val="FirstParagraph"/>
      </w:pPr>
      <w:r>
        <w:t xml:space="preserve">Software libraries may implement FIPS-approved algorithms without full FIPS 140-3 validation. For development, interoperability testing, and non-regulated workloads, software implementations accelerate programme progress. For regulated production — payment, federal, FIPS-mandated — validated modules are required.</w:t>
      </w:r>
    </w:p>
    <w:p>
      <w:pPr>
        <w:pStyle w:val="BlockText"/>
      </w:pPr>
      <w:r>
        <w:rPr>
          <w:bCs/>
          <w:b/>
        </w:rPr>
        <w:t xml:space="preserve">Architect’s Decision</w:t>
      </w:r>
    </w:p>
    <w:p>
      <w:pPr>
        <w:pStyle w:val="BlockText"/>
      </w:pPr>
      <w:r>
        <w:t xml:space="preserve">Maintain a</w:t>
      </w:r>
      <w:r>
        <w:t xml:space="preserve"> </w:t>
      </w:r>
      <w:r>
        <w:rPr>
          <w:bCs/>
          <w:b/>
        </w:rPr>
        <w:t xml:space="preserve">validation coverage matrix</w:t>
      </w:r>
      <w:r>
        <w:t xml:space="preserve"> </w:t>
      </w:r>
      <w:r>
        <w:t xml:space="preserve">in the Operational layer of the Governance Stack: system class × required validation level × available modules × gap status. Update quarterly from vendor correspondence and CMVP certificate lists. Do not schedule production migration for regulated workloads until the matrix shows validated coverage — plan H1 hybrids in software labs meanwhile.</w:t>
      </w:r>
    </w:p>
    <w:p>
      <w:r>
        <w:pict>
          <v:rect style="width:0;height:1.5pt" o:hralign="center" o:hrstd="t" o:hr="t"/>
        </w:pict>
      </w:r>
    </w:p>
    <w:bookmarkEnd w:id="60"/>
    <w:bookmarkEnd w:id="61"/>
    <w:bookmarkStart w:id="67" w:name="protocol-and-library-readiness"/>
    <w:p>
      <w:pPr>
        <w:pStyle w:val="Heading2"/>
      </w:pPr>
      <w:r>
        <w:t xml:space="preserve">4.17 Protocol and Library Readiness</w:t>
      </w:r>
    </w:p>
    <w:p>
      <w:pPr>
        <w:pStyle w:val="FirstParagraph"/>
      </w:pPr>
      <w:r>
        <w:t xml:space="preserve">Algorithms deploy through protocols and libraries. Architects track three readiness layers:</w:t>
      </w:r>
    </w:p>
    <w:bookmarkStart w:id="62" w:name="layer-1-cryptographic-library"/>
    <w:p>
      <w:pPr>
        <w:pStyle w:val="Heading3"/>
      </w:pPr>
      <w:r>
        <w:t xml:space="preserve">Layer 1: Cryptographic library</w:t>
      </w:r>
    </w:p>
    <w:p>
      <w:pPr>
        <w:pStyle w:val="FirstParagraph"/>
      </w:pPr>
      <w:r>
        <w:t xml:space="preserve">OpenSSL 3.5+, BoringSSL, wolfSSL, and vendor SDKs incorporate ML-KEM and ML-DSA. Library availability enables development and testing. It does not guarantee enterprise protocol support or validated module integration.</w:t>
      </w:r>
    </w:p>
    <w:bookmarkEnd w:id="62"/>
    <w:bookmarkStart w:id="63" w:name="layer-2-protocol-specification"/>
    <w:p>
      <w:pPr>
        <w:pStyle w:val="Heading3"/>
      </w:pPr>
      <w:r>
        <w:t xml:space="preserve">Layer 2: Protocol specification</w:t>
      </w:r>
    </w:p>
    <w:p>
      <w:pPr>
        <w:pStyle w:val="FirstParagraph"/>
      </w:pPr>
      <w:r>
        <w:t xml:space="preserve">IETF standards-track specifications define on-the-wire formats for hybrid TLS, CMS signed-data structures, and related constructions. Enterprise policy should mandate standards-track references — Internet-Drafts are for testing, not production policy.</w:t>
      </w:r>
    </w:p>
    <w:bookmarkEnd w:id="63"/>
    <w:bookmarkStart w:id="64" w:name="layer-3-application-and-middleware"/>
    <w:p>
      <w:pPr>
        <w:pStyle w:val="Heading3"/>
      </w:pPr>
      <w:r>
        <w:t xml:space="preserve">Layer 3: Application and middleware</w:t>
      </w:r>
    </w:p>
    <w:p>
      <w:pPr>
        <w:pStyle w:val="FirstParagraph"/>
      </w:pPr>
      <w:r>
        <w:t xml:space="preserve">Load balancers, API gateways, service meshes, VPN concentrators, and email servers must support protocol extensions and certificate sizes. This layer most often blocks production deployment after successful library pilots.</w:t>
      </w:r>
    </w:p>
    <w:p>
      <w:pPr>
        <w:pStyle w:val="BodyText"/>
      </w:pPr>
      <w:r>
        <w:t xml:space="preserve">GlobalSync maintained a</w:t>
      </w:r>
      <w:r>
        <w:t xml:space="preserve"> </w:t>
      </w:r>
      <w:r>
        <w:rPr>
          <w:bCs/>
          <w:b/>
        </w:rPr>
        <w:t xml:space="preserve">protocol readiness register</w:t>
      </w:r>
      <w:r>
        <w:t xml:space="preserve"> </w:t>
      </w:r>
      <w:r>
        <w:t xml:space="preserve">listing each production tier-1 service, its TLS termination component, maximum handshake size, ML-KEM support status, and owner. The register identified three blocking middleware products before GlobalSync committed to H1 hybrid production dates — avoiding a pilot-to-production collision (Chapter 1 failure pattern).</w:t>
      </w:r>
    </w:p>
    <w:bookmarkEnd w:id="64"/>
    <w:bookmarkStart w:id="65" w:name="classical-to-pqc-mapping-for-architects"/>
    <w:p>
      <w:pPr>
        <w:pStyle w:val="Heading3"/>
      </w:pPr>
      <w:r>
        <w:t xml:space="preserve">Classical-to-PQC mapping for architects</w:t>
      </w:r>
    </w:p>
    <w:p>
      <w:pPr>
        <w:pStyle w:val="FirstParagraph"/>
      </w:pPr>
      <w:r>
        <w:t xml:space="preserve">Architects familiar with classical algorithms need a translation table for design discussions — not implementation.</w:t>
      </w:r>
    </w:p>
    <w:p>
      <w:pPr>
        <w:pStyle w:val="BodyText"/>
      </w:pPr>
      <w:r>
        <w:rPr>
          <w:bCs/>
          <w:b/>
        </w:rPr>
        <w:t xml:space="preserve">Table 4.6 — Classical Algorithm × PQC Replacement Mapping</w:t>
      </w:r>
    </w:p>
    <w:tbl>
      <w:tblPr>
        <w:tblStyle w:val="Table"/>
        <w:tblW w:type="pct" w:w="5000"/>
        <w:tblLook w:firstRow="1" w:lastRow="0" w:firstColumn="0" w:lastColumn="0" w:noHBand="0" w:noVBand="0" w:val="0020"/>
        <w:jc w:val="start"/>
      </w:tblPr>
      <w:tblGrid>
        <w:gridCol w:w="2514"/>
        <w:gridCol w:w="2388"/>
        <w:gridCol w:w="2137"/>
        <w:gridCol w:w="880"/>
      </w:tblGrid>
      <w:tr>
        <w:trPr>
          <w:tblHeader w:val="true"/>
        </w:trPr>
        <w:tc>
          <w:tcPr/>
          <w:p>
            <w:pPr>
              <w:pStyle w:val="Compact"/>
              <w:jc w:val="left"/>
            </w:pPr>
            <w:r>
              <w:t xml:space="preserve">Classical operation</w:t>
            </w:r>
          </w:p>
        </w:tc>
        <w:tc>
          <w:tcPr/>
          <w:p>
            <w:pPr>
              <w:pStyle w:val="Compact"/>
              <w:jc w:val="left"/>
            </w:pPr>
            <w:r>
              <w:t xml:space="preserve">Example algorithms</w:t>
            </w:r>
          </w:p>
        </w:tc>
        <w:tc>
          <w:tcPr/>
          <w:p>
            <w:pPr>
              <w:pStyle w:val="Compact"/>
              <w:jc w:val="left"/>
            </w:pPr>
            <w:r>
              <w:t xml:space="preserve">PQC replacement</w:t>
            </w:r>
          </w:p>
        </w:tc>
        <w:tc>
          <w:tcPr/>
          <w:p>
            <w:pPr>
              <w:pStyle w:val="Compact"/>
              <w:jc w:val="left"/>
            </w:pPr>
            <w:r>
              <w:t xml:space="preserve">Notes</w:t>
            </w:r>
          </w:p>
        </w:tc>
      </w:tr>
      <w:tr>
        <w:tc>
          <w:tcPr/>
          <w:p>
            <w:pPr>
              <w:pStyle w:val="Compact"/>
              <w:jc w:val="left"/>
            </w:pPr>
            <w:r>
              <w:t xml:space="preserve">Key transport</w:t>
            </w:r>
          </w:p>
        </w:tc>
        <w:tc>
          <w:tcPr/>
          <w:p>
            <w:pPr>
              <w:pStyle w:val="Compact"/>
              <w:jc w:val="left"/>
            </w:pPr>
            <w:r>
              <w:t xml:space="preserve">RSA-OAEP</w:t>
            </w:r>
          </w:p>
        </w:tc>
        <w:tc>
          <w:tcPr/>
          <w:p>
            <w:pPr>
              <w:pStyle w:val="Compact"/>
              <w:jc w:val="left"/>
            </w:pPr>
            <w:r>
              <w:t xml:space="preserve">ML-KEM</w:t>
            </w:r>
          </w:p>
        </w:tc>
        <w:tc>
          <w:tcPr/>
          <w:p>
            <w:pPr>
              <w:pStyle w:val="Compact"/>
              <w:jc w:val="left"/>
            </w:pPr>
            <w:r>
              <w:t xml:space="preserve">Different API — KEM not encrypt</w:t>
            </w:r>
          </w:p>
        </w:tc>
      </w:tr>
      <w:tr>
        <w:tc>
          <w:tcPr/>
          <w:p>
            <w:pPr>
              <w:pStyle w:val="Compact"/>
              <w:jc w:val="left"/>
            </w:pPr>
            <w:r>
              <w:t xml:space="preserve">Key agreement</w:t>
            </w:r>
          </w:p>
        </w:tc>
        <w:tc>
          <w:tcPr/>
          <w:p>
            <w:pPr>
              <w:pStyle w:val="Compact"/>
              <w:jc w:val="left"/>
            </w:pPr>
            <w:r>
              <w:t xml:space="preserve">ECDH, DH</w:t>
            </w:r>
          </w:p>
        </w:tc>
        <w:tc>
          <w:tcPr/>
          <w:p>
            <w:pPr>
              <w:pStyle w:val="Compact"/>
              <w:jc w:val="left"/>
            </w:pPr>
            <w:r>
              <w:t xml:space="preserve">ML-KEM (KEM mode) or hybrid</w:t>
            </w:r>
          </w:p>
        </w:tc>
        <w:tc>
          <w:tcPr/>
          <w:p>
            <w:pPr>
              <w:pStyle w:val="Compact"/>
              <w:jc w:val="left"/>
            </w:pPr>
            <w:r>
              <w:t xml:space="preserve">Protocol redesign</w:t>
            </w:r>
          </w:p>
        </w:tc>
      </w:tr>
      <w:tr>
        <w:tc>
          <w:tcPr/>
          <w:p>
            <w:pPr>
              <w:pStyle w:val="Compact"/>
              <w:jc w:val="left"/>
            </w:pPr>
            <w:r>
              <w:t xml:space="preserve">Digital signature</w:t>
            </w:r>
          </w:p>
        </w:tc>
        <w:tc>
          <w:tcPr/>
          <w:p>
            <w:pPr>
              <w:pStyle w:val="Compact"/>
              <w:jc w:val="left"/>
            </w:pPr>
            <w:r>
              <w:t xml:space="preserve">RSA-PSS, ECDSA</w:t>
            </w:r>
          </w:p>
        </w:tc>
        <w:tc>
          <w:tcPr/>
          <w:p>
            <w:pPr>
              <w:pStyle w:val="Compact"/>
              <w:jc w:val="left"/>
            </w:pPr>
            <w:r>
              <w:t xml:space="preserve">ML-DSA or SLH-DSA</w:t>
            </w:r>
          </w:p>
        </w:tc>
        <w:tc>
          <w:tcPr/>
          <w:p>
            <w:pPr>
              <w:pStyle w:val="Compact"/>
              <w:jc w:val="left"/>
            </w:pPr>
            <w:r>
              <w:t xml:space="preserve">Size increase</w:t>
            </w:r>
          </w:p>
        </w:tc>
      </w:tr>
      <w:tr>
        <w:tc>
          <w:tcPr/>
          <w:p>
            <w:pPr>
              <w:pStyle w:val="Compact"/>
              <w:jc w:val="left"/>
            </w:pPr>
            <w:r>
              <w:t xml:space="preserve">Code signing</w:t>
            </w:r>
          </w:p>
        </w:tc>
        <w:tc>
          <w:tcPr/>
          <w:p>
            <w:pPr>
              <w:pStyle w:val="Compact"/>
              <w:jc w:val="left"/>
            </w:pPr>
            <w:r>
              <w:t xml:space="preserve">RSA/ECDSA CMS</w:t>
            </w:r>
          </w:p>
        </w:tc>
        <w:tc>
          <w:tcPr/>
          <w:p>
            <w:pPr>
              <w:pStyle w:val="Compact"/>
              <w:jc w:val="left"/>
            </w:pPr>
            <w:r>
              <w:t xml:space="preserve">ML-DSA CMS profile</w:t>
            </w:r>
          </w:p>
        </w:tc>
        <w:tc>
          <w:tcPr/>
          <w:p>
            <w:pPr>
              <w:pStyle w:val="Compact"/>
              <w:jc w:val="left"/>
            </w:pPr>
            <w:r>
              <w:t xml:space="preserve">Dual-sign during H1</w:t>
            </w:r>
          </w:p>
        </w:tc>
      </w:tr>
      <w:tr>
        <w:tc>
          <w:tcPr/>
          <w:p>
            <w:pPr>
              <w:pStyle w:val="Compact"/>
              <w:jc w:val="left"/>
            </w:pPr>
            <w:r>
              <w:t xml:space="preserve">Certificate signatures</w:t>
            </w:r>
          </w:p>
        </w:tc>
        <w:tc>
          <w:tcPr/>
          <w:p>
            <w:pPr>
              <w:pStyle w:val="Compact"/>
              <w:jc w:val="left"/>
            </w:pPr>
            <w:r>
              <w:t xml:space="preserve">CA RSA/ECDSA</w:t>
            </w:r>
          </w:p>
        </w:tc>
        <w:tc>
          <w:tcPr/>
          <w:p>
            <w:pPr>
              <w:pStyle w:val="Compact"/>
              <w:jc w:val="left"/>
            </w:pPr>
            <w:r>
              <w:t xml:space="preserve">ML-DSA</w:t>
            </w:r>
          </w:p>
        </w:tc>
        <w:tc>
          <w:tcPr/>
          <w:p>
            <w:pPr>
              <w:pStyle w:val="Compact"/>
              <w:jc w:val="left"/>
            </w:pPr>
            <w:r>
              <w:t xml:space="preserve">Chain size impact</w:t>
            </w:r>
          </w:p>
        </w:tc>
      </w:tr>
      <w:tr>
        <w:tc>
          <w:tcPr/>
          <w:p>
            <w:pPr>
              <w:pStyle w:val="Compact"/>
              <w:jc w:val="left"/>
            </w:pPr>
            <w:r>
              <w:t xml:space="preserve">Email encryption key wrap</w:t>
            </w:r>
          </w:p>
        </w:tc>
        <w:tc>
          <w:tcPr/>
          <w:p>
            <w:pPr>
              <w:pStyle w:val="Compact"/>
              <w:jc w:val="left"/>
            </w:pPr>
            <w:r>
              <w:t xml:space="preserve">RSA</w:t>
            </w:r>
          </w:p>
        </w:tc>
        <w:tc>
          <w:tcPr/>
          <w:p>
            <w:pPr>
              <w:pStyle w:val="Compact"/>
              <w:jc w:val="left"/>
            </w:pPr>
            <w:r>
              <w:t xml:space="preserve">ML-KEM</w:t>
            </w:r>
          </w:p>
        </w:tc>
        <w:tc>
          <w:tcPr/>
          <w:p>
            <w:pPr>
              <w:pStyle w:val="Compact"/>
              <w:jc w:val="left"/>
            </w:pPr>
            <w:r>
              <w:t xml:space="preserve">S/MIME profile updates</w:t>
            </w:r>
          </w:p>
        </w:tc>
      </w:tr>
    </w:tbl>
    <w:p>
      <w:pPr>
        <w:pStyle w:val="BodyText"/>
      </w:pPr>
      <w:r>
        <w:t xml:space="preserve">The mapping clarifies that PQC migration is not one algorithm substitution — it is</w:t>
      </w:r>
      <w:r>
        <w:t xml:space="preserve"> </w:t>
      </w:r>
      <w:r>
        <w:rPr>
          <w:bCs/>
          <w:b/>
        </w:rPr>
        <w:t xml:space="preserve">per-operation replacement</w:t>
      </w:r>
      <w:r>
        <w:t xml:space="preserve"> </w:t>
      </w:r>
      <w:r>
        <w:t xml:space="preserve">across heterogeneous systems, each with different ecosystem readiness timelines.</w:t>
      </w:r>
    </w:p>
    <w:bookmarkEnd w:id="65"/>
    <w:bookmarkStart w:id="66" w:name="transitive-dependency-risk"/>
    <w:p>
      <w:pPr>
        <w:pStyle w:val="Heading3"/>
      </w:pPr>
      <w:r>
        <w:t xml:space="preserve">Transitive dependency risk</w:t>
      </w:r>
    </w:p>
    <w:p>
      <w:pPr>
        <w:pStyle w:val="FirstParagraph"/>
      </w:pPr>
      <w:r>
        <w:t xml:space="preserve">Applications inherit cryptography from container base images, language runtimes, and linked libraries. A Java application using the platform’s default TLS provider may not support ML-KEM until the JVM version and security provider update — independent of application team awareness. CBOM discovery must include transitive dependencies (Part III).</w:t>
      </w:r>
    </w:p>
    <w:p>
      <w:r>
        <w:pict>
          <v:rect style="width:0;height:1.5pt" o:hralign="center" o:hrstd="t" o:hr="t"/>
        </w:pict>
      </w:r>
    </w:p>
    <w:bookmarkEnd w:id="66"/>
    <w:bookmarkEnd w:id="67"/>
    <w:bookmarkStart w:id="68" w:name="X2c560956546fa317ce3157f209ad7e3540aac09"/>
    <w:p>
      <w:pPr>
        <w:pStyle w:val="Heading2"/>
      </w:pPr>
      <w:r>
        <w:t xml:space="preserve">4.18 Conducting an Algorithm Standards Workshop</w:t>
      </w:r>
    </w:p>
    <w:p>
      <w:pPr>
        <w:pStyle w:val="FirstParagraph"/>
      </w:pPr>
      <w:r>
        <w:t xml:space="preserve">Algorithm policy should not be written by a single architect in isolation. A half-day standards workshop produces defensible policy inputs:</w:t>
      </w:r>
    </w:p>
    <w:p>
      <w:pPr>
        <w:pStyle w:val="BodyText"/>
      </w:pPr>
      <w:r>
        <w:rPr>
          <w:bCs/>
          <w:b/>
        </w:rPr>
        <w:t xml:space="preserve">Participants:</w:t>
      </w:r>
      <w:r>
        <w:t xml:space="preserve"> </w:t>
      </w:r>
      <w:r>
        <w:t xml:space="preserve">Cryptographic engineering, enterprise architecture, PKI operations, OT representative (if applicable), compliance, procurement liaison.</w:t>
      </w:r>
    </w:p>
    <w:p>
      <w:pPr>
        <w:pStyle w:val="BodyText"/>
      </w:pPr>
      <w:r>
        <w:rPr>
          <w:bCs/>
          <w:b/>
        </w:rPr>
        <w:t xml:space="preserve">Pre-work:</w:t>
      </w:r>
      <w:r>
        <w:t xml:space="preserve"> </w:t>
      </w:r>
      <w:r>
        <w:t xml:space="preserve">Distribute FIPS 203–205 executive summaries (NIST one-pagers, not full standards); current CBOM algorithm summary if available; CNSA 2.0 excerpt for defence-adjacent organisations.</w:t>
      </w:r>
    </w:p>
    <w:p>
      <w:pPr>
        <w:pStyle w:val="BodyText"/>
      </w:pPr>
      <w:r>
        <w:rPr>
          <w:bCs/>
          <w:b/>
        </w:rPr>
        <w:t xml:space="preserve">Agenda (four hours):</w:t>
      </w:r>
    </w:p>
    <w:p>
      <w:pPr>
        <w:numPr>
          <w:ilvl w:val="0"/>
          <w:numId w:val="1010"/>
        </w:numPr>
        <w:pStyle w:val="Compact"/>
      </w:pPr>
      <w:r>
        <w:rPr>
          <w:bCs/>
          <w:b/>
        </w:rPr>
        <w:t xml:space="preserve">Standards-as-inputs framing</w:t>
      </w:r>
      <w:r>
        <w:t xml:space="preserve"> </w:t>
      </w:r>
      <w:r>
        <w:t xml:space="preserve">(30 min) — what FIPS provides vs what enterprise policy must define</w:t>
      </w:r>
    </w:p>
    <w:p>
      <w:pPr>
        <w:numPr>
          <w:ilvl w:val="0"/>
          <w:numId w:val="1010"/>
        </w:numPr>
        <w:pStyle w:val="Compact"/>
      </w:pPr>
      <w:r>
        <w:rPr>
          <w:bCs/>
          <w:b/>
        </w:rPr>
        <w:t xml:space="preserve">Use-case mapping</w:t>
      </w:r>
      <w:r>
        <w:t xml:space="preserve"> </w:t>
      </w:r>
      <w:r>
        <w:t xml:space="preserve">(60 min) — key establishment vs signing vs firmware; map to enterprise system classes</w:t>
      </w:r>
    </w:p>
    <w:p>
      <w:pPr>
        <w:numPr>
          <w:ilvl w:val="0"/>
          <w:numId w:val="1010"/>
        </w:numPr>
        <w:pStyle w:val="Compact"/>
      </w:pPr>
      <w:r>
        <w:rPr>
          <w:bCs/>
          <w:b/>
        </w:rPr>
        <w:t xml:space="preserve">Parameter set defaults</w:t>
      </w:r>
      <w:r>
        <w:t xml:space="preserve"> </w:t>
      </w:r>
      <w:r>
        <w:t xml:space="preserve">(45 min) — agree ML-KEM-768 / ML-DSA-65 defaults; define Category 5 elevation criteria</w:t>
      </w:r>
    </w:p>
    <w:p>
      <w:pPr>
        <w:numPr>
          <w:ilvl w:val="0"/>
          <w:numId w:val="1010"/>
        </w:numPr>
        <w:pStyle w:val="Compact"/>
      </w:pPr>
      <w:r>
        <w:rPr>
          <w:bCs/>
          <w:b/>
        </w:rPr>
        <w:t xml:space="preserve">Contingency algorithms</w:t>
      </w:r>
      <w:r>
        <w:t xml:space="preserve"> </w:t>
      </w:r>
      <w:r>
        <w:t xml:space="preserve">(30 min) — FN-DSA/HQC monitoring posture; agility requirements</w:t>
      </w:r>
    </w:p>
    <w:p>
      <w:pPr>
        <w:numPr>
          <w:ilvl w:val="0"/>
          <w:numId w:val="1010"/>
        </w:numPr>
        <w:pStyle w:val="Compact"/>
      </w:pPr>
      <w:r>
        <w:rPr>
          <w:bCs/>
          <w:b/>
        </w:rPr>
        <w:t xml:space="preserve">Validation reality check</w:t>
      </w:r>
      <w:r>
        <w:t xml:space="preserve"> </w:t>
      </w:r>
      <w:r>
        <w:t xml:space="preserve">(45 min) — review validation coverage matrix; identify ecosystem gates</w:t>
      </w:r>
    </w:p>
    <w:p>
      <w:pPr>
        <w:numPr>
          <w:ilvl w:val="0"/>
          <w:numId w:val="1010"/>
        </w:numPr>
        <w:pStyle w:val="Compact"/>
      </w:pPr>
      <w:r>
        <w:rPr>
          <w:bCs/>
          <w:b/>
        </w:rPr>
        <w:t xml:space="preserve">Policy outputs</w:t>
      </w:r>
      <w:r>
        <w:t xml:space="preserve"> </w:t>
      </w:r>
      <w:r>
        <w:t xml:space="preserve">(30 min) — assign owners for algorithm standards matrix draft</w:t>
      </w:r>
    </w:p>
    <w:p>
      <w:pPr>
        <w:pStyle w:val="FirstParagraph"/>
      </w:pPr>
      <w:r>
        <w:rPr>
          <w:bCs/>
          <w:b/>
        </w:rPr>
        <w:t xml:space="preserve">Outputs:</w:t>
      </w:r>
      <w:r>
        <w:t xml:space="preserve"> </w:t>
      </w:r>
      <w:r>
        <w:t xml:space="preserve">Draft algorithm standards matrix; validation coverage matrix; list of systems requiring Chapter 6 special-case assessment; procurement language update requirements.</w:t>
      </w:r>
    </w:p>
    <w:p>
      <w:pPr>
        <w:pStyle w:val="BodyText"/>
      </w:pPr>
      <w:r>
        <w:t xml:space="preserve">Apex ran this workshop twice — once for NSS programmes, once for commercial IT — producing separate matrix rows under a single policy document. Meridian ran a single workshop with EBA supervisory expectations as context, producing DORA-defensible parameter elevation criteria tied to data classification.</w:t>
      </w:r>
    </w:p>
    <w:p>
      <w:r>
        <w:pict>
          <v:rect style="width:0;height:1.5pt" o:hralign="center" o:hrstd="t" o:hr="t"/>
        </w:pict>
      </w:r>
    </w:p>
    <w:bookmarkEnd w:id="68"/>
    <w:bookmarkStart w:id="69" w:name="Xffbe107c4f9d4f85f432a13673d150ed5f98c6a"/>
    <w:p>
      <w:pPr>
        <w:pStyle w:val="Heading2"/>
      </w:pPr>
      <w:r>
        <w:t xml:space="preserve">4.19 Meridian Deep Dive: Payment HSM as Ecosystem Gate</w:t>
      </w:r>
    </w:p>
    <w:p>
      <w:pPr>
        <w:pStyle w:val="FirstParagraph"/>
      </w:pPr>
      <w:r>
        <w:t xml:space="preserve">Meridian’s Chapter 1 blocking dependency — payment HSM firmware signing — illustrates standards-to-operations gap. The algorithm standard (ML-DSA-65 or ML-DSA-87) was clear by August 2024. The validated module was not.</w:t>
      </w:r>
    </w:p>
    <w:p>
      <w:pPr>
        <w:pStyle w:val="BodyText"/>
      </w:pPr>
      <w:r>
        <w:t xml:space="preserve">Meridian’s programme response:</w:t>
      </w:r>
    </w:p>
    <w:p>
      <w:pPr>
        <w:numPr>
          <w:ilvl w:val="0"/>
          <w:numId w:val="1011"/>
        </w:numPr>
        <w:pStyle w:val="Compact"/>
      </w:pPr>
      <w:r>
        <w:rPr>
          <w:bCs/>
          <w:b/>
        </w:rPr>
        <w:t xml:space="preserve">Algorithm policy</w:t>
      </w:r>
      <w:r>
        <w:t xml:space="preserve"> </w:t>
      </w:r>
      <w:r>
        <w:t xml:space="preserve">referenced ML-DSA for firmware signing — immediate</w:t>
      </w:r>
    </w:p>
    <w:p>
      <w:pPr>
        <w:numPr>
          <w:ilvl w:val="0"/>
          <w:numId w:val="1011"/>
        </w:numPr>
        <w:pStyle w:val="Compact"/>
      </w:pPr>
      <w:r>
        <w:rPr>
          <w:bCs/>
          <w:b/>
        </w:rPr>
        <w:t xml:space="preserve">Procurement</w:t>
      </w:r>
      <w:r>
        <w:t xml:space="preserve"> </w:t>
      </w:r>
      <w:r>
        <w:t xml:space="preserve">invoked contract clause requiring FIPS-validated PQC module on vendor roadmap — month 1</w:t>
      </w:r>
    </w:p>
    <w:p>
      <w:pPr>
        <w:numPr>
          <w:ilvl w:val="0"/>
          <w:numId w:val="1011"/>
        </w:numPr>
        <w:pStyle w:val="Compact"/>
      </w:pPr>
      <w:r>
        <w:rPr>
          <w:bCs/>
          <w:b/>
        </w:rPr>
        <w:t xml:space="preserve">TRADE scoring</w:t>
      </w:r>
      <w:r>
        <w:t xml:space="preserve"> </w:t>
      </w:r>
      <w:r>
        <w:t xml:space="preserve">elevated HSM chain to MPI 4.39 with Ecosystem readiness 2 — month 2</w:t>
      </w:r>
    </w:p>
    <w:p>
      <w:pPr>
        <w:numPr>
          <w:ilvl w:val="0"/>
          <w:numId w:val="1011"/>
        </w:numPr>
        <w:pStyle w:val="Compact"/>
      </w:pPr>
      <w:r>
        <w:rPr>
          <w:bCs/>
          <w:b/>
        </w:rPr>
        <w:t xml:space="preserve">Parallel workstreams</w:t>
      </w:r>
      <w:r>
        <w:t xml:space="preserve"> </w:t>
      </w:r>
      <w:r>
        <w:t xml:space="preserve">during vendor wait: downstream application key ceremony redesign for ML-KEM key sizes; PKI profile draft for ML-DSA certificates; partner notification to acquiring bank — months 2–12</w:t>
      </w:r>
    </w:p>
    <w:p>
      <w:pPr>
        <w:numPr>
          <w:ilvl w:val="0"/>
          <w:numId w:val="1011"/>
        </w:numPr>
        <w:pStyle w:val="Compact"/>
      </w:pPr>
      <w:r>
        <w:rPr>
          <w:bCs/>
          <w:b/>
        </w:rPr>
        <w:t xml:space="preserve">Production migration</w:t>
      </w:r>
      <w:r>
        <w:t xml:space="preserve"> </w:t>
      </w:r>
      <w:r>
        <w:t xml:space="preserve">gated on vendor validation certificate — estimated month 18+</w:t>
      </w:r>
    </w:p>
    <w:p>
      <w:pPr>
        <w:pStyle w:val="FirstParagraph"/>
      </w:pPr>
      <w:r>
        <w:t xml:space="preserve">The sequence demonstrates standards literacy enabling</w:t>
      </w:r>
      <w:r>
        <w:t xml:space="preserve"> </w:t>
      </w:r>
      <w:r>
        <w:rPr>
          <w:bCs/>
          <w:b/>
        </w:rPr>
        <w:t xml:space="preserve">parallel programme progress</w:t>
      </w:r>
      <w:r>
        <w:t xml:space="preserve"> </w:t>
      </w:r>
      <w:r>
        <w:t xml:space="preserve">while ecosystem readiness gates production. Teams that conflate</w:t>
      </w:r>
      <w:r>
        <w:t xml:space="preserve"> </w:t>
      </w:r>
      <w:r>
        <w:t xml:space="preserve">“</w:t>
      </w:r>
      <w:r>
        <w:t xml:space="preserve">algorithm selected</w:t>
      </w:r>
      <w:r>
        <w:t xml:space="preserve">”</w:t>
      </w:r>
      <w:r>
        <w:t xml:space="preserve"> </w:t>
      </w:r>
      <w:r>
        <w:t xml:space="preserve">with</w:t>
      </w:r>
      <w:r>
        <w:t xml:space="preserve"> </w:t>
      </w:r>
      <w:r>
        <w:t xml:space="preserve">“</w:t>
      </w:r>
      <w:r>
        <w:t xml:space="preserve">migration complete</w:t>
      </w:r>
      <w:r>
        <w:t xml:space="preserve">”</w:t>
      </w:r>
      <w:r>
        <w:t xml:space="preserve"> </w:t>
      </w:r>
      <w:r>
        <w:t xml:space="preserve">skip steps 4–5 and arrive at production collision.</w:t>
      </w:r>
    </w:p>
    <w:p>
      <w:r>
        <w:pict>
          <v:rect style="width:0;height:1.5pt" o:hralign="center" o:hrstd="t" o:hr="t"/>
        </w:pict>
      </w:r>
    </w:p>
    <w:bookmarkEnd w:id="69"/>
    <w:bookmarkStart w:id="70" w:name="X23a02cf62ce143a4095c01d885f0906cc454426"/>
    <w:p>
      <w:pPr>
        <w:pStyle w:val="Heading2"/>
      </w:pPr>
      <w:r>
        <w:t xml:space="preserve">4.20 Worked Example: Meridian Algorithm Standards Matrix</w:t>
      </w:r>
    </w:p>
    <w:p>
      <w:pPr>
        <w:pStyle w:val="FirstParagraph"/>
      </w:pPr>
      <w:r>
        <w:t xml:space="preserve">The following excerpt illustrates how Meridian translated Chapter 4 content into Policy-layer documentation — not a template, but a representative structure supervisors recognise.</w:t>
      </w:r>
    </w:p>
    <w:p>
      <w:pPr>
        <w:pStyle w:val="BodyText"/>
      </w:pPr>
      <w:r>
        <w:rPr>
          <w:bCs/>
          <w:b/>
        </w:rPr>
        <w:t xml:space="preserve">Table 4.7 — Meridian Mutual Bank Algorithm Standards Matrix (Excerpt)</w:t>
      </w:r>
    </w:p>
    <w:tbl>
      <w:tblPr>
        <w:tblStyle w:val="Table"/>
        <w:tblW w:type="pct" w:w="5000"/>
        <w:tblLook w:firstRow="1" w:lastRow="0" w:firstColumn="0" w:lastColumn="0" w:noHBand="0" w:noVBand="0" w:val="0020"/>
        <w:jc w:val="start"/>
      </w:tblPr>
      <w:tblGrid>
        <w:gridCol w:w="1456"/>
        <w:gridCol w:w="1729"/>
        <w:gridCol w:w="1092"/>
        <w:gridCol w:w="1729"/>
        <w:gridCol w:w="1911"/>
      </w:tblGrid>
      <w:tr>
        <w:trPr>
          <w:tblHeader w:val="true"/>
        </w:trPr>
        <w:tc>
          <w:tcPr/>
          <w:p>
            <w:pPr>
              <w:pStyle w:val="Compact"/>
              <w:jc w:val="left"/>
            </w:pPr>
            <w:r>
              <w:t xml:space="preserve">Workload class</w:t>
            </w:r>
          </w:p>
        </w:tc>
        <w:tc>
          <w:tcPr/>
          <w:p>
            <w:pPr>
              <w:pStyle w:val="Compact"/>
              <w:jc w:val="left"/>
            </w:pPr>
            <w:r>
              <w:t xml:space="preserve">Key establishment</w:t>
            </w:r>
          </w:p>
        </w:tc>
        <w:tc>
          <w:tcPr/>
          <w:p>
            <w:pPr>
              <w:pStyle w:val="Compact"/>
              <w:jc w:val="left"/>
            </w:pPr>
            <w:r>
              <w:t xml:space="preserve">Signatures</w:t>
            </w:r>
          </w:p>
        </w:tc>
        <w:tc>
          <w:tcPr/>
          <w:p>
            <w:pPr>
              <w:pStyle w:val="Compact"/>
              <w:jc w:val="left"/>
            </w:pPr>
            <w:r>
              <w:t xml:space="preserve">Elevation trigger</w:t>
            </w:r>
          </w:p>
        </w:tc>
        <w:tc>
          <w:tcPr/>
          <w:p>
            <w:pPr>
              <w:pStyle w:val="Compact"/>
              <w:jc w:val="left"/>
            </w:pPr>
            <w:r>
              <w:t xml:space="preserve">Validation required</w:t>
            </w:r>
          </w:p>
        </w:tc>
      </w:tr>
      <w:tr>
        <w:tc>
          <w:tcPr/>
          <w:p>
            <w:pPr>
              <w:pStyle w:val="Compact"/>
              <w:jc w:val="left"/>
            </w:pPr>
            <w:r>
              <w:t xml:space="preserve">Retail banking IT</w:t>
            </w:r>
          </w:p>
        </w:tc>
        <w:tc>
          <w:tcPr/>
          <w:p>
            <w:pPr>
              <w:pStyle w:val="Compact"/>
              <w:jc w:val="left"/>
            </w:pPr>
            <w:r>
              <w:t xml:space="preserve">ML-KEM-768</w:t>
            </w:r>
          </w:p>
        </w:tc>
        <w:tc>
          <w:tcPr/>
          <w:p>
            <w:pPr>
              <w:pStyle w:val="Compact"/>
              <w:jc w:val="left"/>
            </w:pPr>
            <w:r>
              <w:t xml:space="preserve">ML-DSA-65</w:t>
            </w:r>
          </w:p>
        </w:tc>
        <w:tc>
          <w:tcPr/>
          <w:p>
            <w:pPr>
              <w:pStyle w:val="Compact"/>
              <w:jc w:val="left"/>
            </w:pPr>
            <w:r>
              <w:t xml:space="preserve">—</w:t>
            </w:r>
          </w:p>
        </w:tc>
        <w:tc>
          <w:tcPr/>
          <w:p>
            <w:pPr>
              <w:pStyle w:val="Compact"/>
              <w:jc w:val="left"/>
            </w:pPr>
            <w:r>
              <w:t xml:space="preserve">FIPS 140-3 Level 3</w:t>
            </w:r>
          </w:p>
        </w:tc>
      </w:tr>
      <w:tr>
        <w:tc>
          <w:tcPr/>
          <w:p>
            <w:pPr>
              <w:pStyle w:val="Compact"/>
              <w:jc w:val="left"/>
            </w:pPr>
            <w:r>
              <w:t xml:space="preserve">Customer PII KMS</w:t>
            </w:r>
          </w:p>
        </w:tc>
        <w:tc>
          <w:tcPr/>
          <w:p>
            <w:pPr>
              <w:pStyle w:val="Compact"/>
              <w:jc w:val="left"/>
            </w:pPr>
            <w:r>
              <w:t xml:space="preserve">ML-KEM-1024</w:t>
            </w:r>
          </w:p>
        </w:tc>
        <w:tc>
          <w:tcPr/>
          <w:p>
            <w:pPr>
              <w:pStyle w:val="Compact"/>
              <w:jc w:val="left"/>
            </w:pPr>
            <w:r>
              <w:t xml:space="preserve">ML-DSA-65</w:t>
            </w:r>
          </w:p>
        </w:tc>
        <w:tc>
          <w:tcPr/>
          <w:p>
            <w:pPr>
              <w:pStyle w:val="Compact"/>
              <w:jc w:val="left"/>
            </w:pPr>
            <w:r>
              <w:t xml:space="preserve">TES 5 + DORA Art. 6</w:t>
            </w:r>
          </w:p>
        </w:tc>
        <w:tc>
          <w:tcPr/>
          <w:p>
            <w:pPr>
              <w:pStyle w:val="Compact"/>
              <w:jc w:val="left"/>
            </w:pPr>
            <w:r>
              <w:t xml:space="preserve">FIPS 140-3 Level 3 payment HSM</w:t>
            </w:r>
          </w:p>
        </w:tc>
      </w:tr>
      <w:tr>
        <w:tc>
          <w:tcPr/>
          <w:p>
            <w:pPr>
              <w:pStyle w:val="Compact"/>
              <w:jc w:val="left"/>
            </w:pPr>
            <w:r>
              <w:t xml:space="preserve">Payment HSM firmware</w:t>
            </w:r>
          </w:p>
        </w:tc>
        <w:tc>
          <w:tcPr/>
          <w:p>
            <w:pPr>
              <w:pStyle w:val="Compact"/>
              <w:jc w:val="left"/>
            </w:pPr>
            <w:r>
              <w:t xml:space="preserve">—</w:t>
            </w:r>
          </w:p>
        </w:tc>
        <w:tc>
          <w:tcPr/>
          <w:p>
            <w:pPr>
              <w:pStyle w:val="Compact"/>
              <w:jc w:val="left"/>
            </w:pPr>
            <w:r>
              <w:t xml:space="preserve">ML-DSA-87</w:t>
            </w:r>
          </w:p>
        </w:tc>
        <w:tc>
          <w:tcPr/>
          <w:p>
            <w:pPr>
              <w:pStyle w:val="Compact"/>
              <w:jc w:val="left"/>
            </w:pPr>
            <w:r>
              <w:t xml:space="preserve">PCI + long trust chain</w:t>
            </w:r>
          </w:p>
        </w:tc>
        <w:tc>
          <w:tcPr/>
          <w:p>
            <w:pPr>
              <w:pStyle w:val="Compact"/>
              <w:jc w:val="left"/>
            </w:pPr>
            <w:r>
              <w:t xml:space="preserve">FIPS 140-3 Level 3 payment HSM</w:t>
            </w:r>
          </w:p>
        </w:tc>
      </w:tr>
      <w:tr>
        <w:tc>
          <w:tcPr/>
          <w:p>
            <w:pPr>
              <w:pStyle w:val="Compact"/>
              <w:jc w:val="left"/>
            </w:pPr>
            <w:r>
              <w:t xml:space="preserve">Physical access tokens</w:t>
            </w:r>
          </w:p>
        </w:tc>
        <w:tc>
          <w:tcPr/>
          <w:p>
            <w:pPr>
              <w:pStyle w:val="Compact"/>
              <w:jc w:val="left"/>
            </w:pPr>
            <w:r>
              <w:t xml:space="preserve">—</w:t>
            </w:r>
          </w:p>
        </w:tc>
        <w:tc>
          <w:tcPr/>
          <w:p>
            <w:pPr>
              <w:pStyle w:val="Compact"/>
              <w:jc w:val="left"/>
            </w:pPr>
            <w:r>
              <w:t xml:space="preserve">ML-DSA-65</w:t>
            </w:r>
          </w:p>
        </w:tc>
        <w:tc>
          <w:tcPr/>
          <w:p>
            <w:pPr>
              <w:pStyle w:val="Compact"/>
              <w:jc w:val="left"/>
            </w:pPr>
            <w:r>
              <w:t xml:space="preserve">Token refresh programme</w:t>
            </w:r>
          </w:p>
        </w:tc>
        <w:tc>
          <w:tcPr/>
          <w:p>
            <w:pPr>
              <w:pStyle w:val="Compact"/>
              <w:jc w:val="left"/>
            </w:pPr>
            <w:r>
              <w:t xml:space="preserve">Token secure element capacity</w:t>
            </w:r>
          </w:p>
        </w:tc>
      </w:tr>
      <w:tr>
        <w:tc>
          <w:tcPr/>
          <w:p>
            <w:pPr>
              <w:pStyle w:val="Compact"/>
              <w:jc w:val="left"/>
            </w:pPr>
            <w:r>
              <w:t xml:space="preserve">OT-adjacent WAN (Northfield JV)*</w:t>
            </w:r>
          </w:p>
        </w:tc>
        <w:tc>
          <w:tcPr/>
          <w:p>
            <w:pPr>
              <w:pStyle w:val="Compact"/>
              <w:jc w:val="left"/>
            </w:pPr>
            <w:r>
              <w:t xml:space="preserve">ML-KEM-768</w:t>
            </w:r>
          </w:p>
        </w:tc>
        <w:tc>
          <w:tcPr/>
          <w:p>
            <w:pPr>
              <w:pStyle w:val="Compact"/>
              <w:jc w:val="left"/>
            </w:pPr>
            <w:r>
              <w:t xml:space="preserve">ML-DSA-65</w:t>
            </w:r>
          </w:p>
        </w:tc>
        <w:tc>
          <w:tcPr/>
          <w:p>
            <w:pPr>
              <w:pStyle w:val="Compact"/>
              <w:jc w:val="left"/>
            </w:pPr>
            <w:r>
              <w:t xml:space="preserve">JV contractual</w:t>
            </w:r>
          </w:p>
        </w:tc>
        <w:tc>
          <w:tcPr/>
          <w:p>
            <w:pPr>
              <w:pStyle w:val="Compact"/>
              <w:jc w:val="left"/>
            </w:pPr>
            <w:r>
              <w:t xml:space="preserve">Per JV agreement</w:t>
            </w:r>
          </w:p>
        </w:tc>
      </w:tr>
    </w:tbl>
    <w:p>
      <w:pPr>
        <w:pStyle w:val="BodyText"/>
      </w:pPr>
      <w:r>
        <w:t xml:space="preserve">*Joint venture infrastructure — illustrates multinational enterprises carrying multiple matrix rows.</w:t>
      </w:r>
    </w:p>
    <w:p>
      <w:pPr>
        <w:pStyle w:val="BodyText"/>
      </w:pPr>
      <w:r>
        <w:t xml:space="preserve">Thomas Bergström’s regulatory team attached this matrix to Meridian’s Cryptographic Control Policy as Annex A. Supervisory reviewers could trace each row to TRADE scores and risk assessments without reading FIPS documents. Procurement embedded matrix rows into HSM and token RFPs as mandatory compliance columns.</w:t>
      </w:r>
    </w:p>
    <w:p>
      <w:pPr>
        <w:pStyle w:val="BodyText"/>
      </w:pPr>
      <w:r>
        <w:rPr>
          <w:bCs/>
          <w:b/>
        </w:rPr>
        <w:t xml:space="preserve">Production brief — Figure 4.2:</w:t>
      </w:r>
      <w:r>
        <w:t xml:space="preserve"> </w:t>
      </w:r>
      <w:r>
        <w:t xml:space="preserve">Render as vertical decision flowchart with diamond gates (NSS? / operation type? / size constraint? / validated module?). Colour-code terminal nodes: green = proceed to HLM planning; amber = vendor escalation; red = Chapter 6 special-case path.</w:t>
      </w:r>
    </w:p>
    <w:p>
      <w:r>
        <w:pict>
          <v:rect style="width:0;height:1.5pt" o:hralign="center" o:hrstd="t" o:hr="t"/>
        </w:pict>
      </w:r>
    </w:p>
    <w:bookmarkEnd w:id="70"/>
    <w:bookmarkStart w:id="71" w:name="common-algorithm-policy-mistakes"/>
    <w:p>
      <w:pPr>
        <w:pStyle w:val="Heading2"/>
      </w:pPr>
      <w:r>
        <w:t xml:space="preserve">4.21 Common Algorithm Policy Mistakes</w:t>
      </w:r>
    </w:p>
    <w:p>
      <w:pPr>
        <w:pStyle w:val="FirstParagraph"/>
      </w:pPr>
      <w:r>
        <w:t xml:space="preserve">Programmes fail at the policy layer before engineering begins. Recurring mistakes:</w:t>
      </w:r>
    </w:p>
    <w:p>
      <w:pPr>
        <w:pStyle w:val="BodyText"/>
      </w:pPr>
      <w:r>
        <w:rPr>
          <w:bCs/>
          <w:b/>
        </w:rPr>
        <w:t xml:space="preserve">Mistake 1: Estate-wide Category 5 mandate.</w:t>
      </w:r>
      <w:r>
        <w:t xml:space="preserve"> </w:t>
      </w:r>
      <w:r>
        <w:t xml:space="preserve">Mandating ML-KEM-1024 and ML-DSA-87 everywhere</w:t>
      </w:r>
      <w:r>
        <w:t xml:space="preserve"> </w:t>
      </w:r>
      <w:r>
        <w:t xml:space="preserve">“</w:t>
      </w:r>
      <w:r>
        <w:t xml:space="preserve">because security.</w:t>
      </w:r>
      <w:r>
        <w:t xml:space="preserve">”</w:t>
      </w:r>
      <w:r>
        <w:t xml:space="preserve"> </w:t>
      </w:r>
      <w:r>
        <w:t xml:space="preserve">Increases cost, breaks constrained devices, and provides no proportional risk reduction for ephemeral TLS sessions.</w:t>
      </w:r>
      <w:r>
        <w:t xml:space="preserve"> </w:t>
      </w:r>
      <w:r>
        <w:rPr>
          <w:iCs/>
          <w:i/>
        </w:rPr>
        <w:t xml:space="preserve">Remediation:</w:t>
      </w:r>
      <w:r>
        <w:t xml:space="preserve"> </w:t>
      </w:r>
      <w:r>
        <w:t xml:space="preserve">default Category 3; elevation criteria tied to TRADE and data classification.</w:t>
      </w:r>
    </w:p>
    <w:p>
      <w:pPr>
        <w:pStyle w:val="BodyText"/>
      </w:pPr>
      <w:r>
        <w:rPr>
          <w:bCs/>
          <w:b/>
        </w:rPr>
        <w:t xml:space="preserve">Mistake 2: Algorithm policy without validation matrix.</w:t>
      </w:r>
      <w:r>
        <w:t xml:space="preserve"> </w:t>
      </w:r>
      <w:r>
        <w:t xml:space="preserve">Policy names ML-DSA; production HSMs lack validated modules. Engineering improvises; auditors find gap.</w:t>
      </w:r>
      <w:r>
        <w:t xml:space="preserve"> </w:t>
      </w:r>
      <w:r>
        <w:rPr>
          <w:iCs/>
          <w:i/>
        </w:rPr>
        <w:t xml:space="preserve">Remediation:</w:t>
      </w:r>
      <w:r>
        <w:t xml:space="preserve"> </w:t>
      </w:r>
      <w:r>
        <w:t xml:space="preserve">pair policy publication with validation coverage matrix (§4.23).</w:t>
      </w:r>
    </w:p>
    <w:p>
      <w:pPr>
        <w:pStyle w:val="BodyText"/>
      </w:pPr>
      <w:r>
        <w:rPr>
          <w:bCs/>
          <w:b/>
        </w:rPr>
        <w:t xml:space="preserve">Mistake 3: Per-project algorithm selection.</w:t>
      </w:r>
      <w:r>
        <w:t xml:space="preserve"> </w:t>
      </w:r>
      <w:r>
        <w:t xml:space="preserve">Ten teams choose ten parameter sets; PKI cannot issue coherent certificate profiles.</w:t>
      </w:r>
      <w:r>
        <w:t xml:space="preserve"> </w:t>
      </w:r>
      <w:r>
        <w:rPr>
          <w:iCs/>
          <w:i/>
        </w:rPr>
        <w:t xml:space="preserve">Remediation:</w:t>
      </w:r>
      <w:r>
        <w:t xml:space="preserve"> </w:t>
      </w:r>
      <w:r>
        <w:t xml:space="preserve">architecture board owns matrix; projects request exceptions.</w:t>
      </w:r>
    </w:p>
    <w:p>
      <w:pPr>
        <w:pStyle w:val="BodyText"/>
      </w:pPr>
      <w:r>
        <w:rPr>
          <w:bCs/>
          <w:b/>
        </w:rPr>
        <w:t xml:space="preserve">Mistake 4: Ignoring pre-standard names in CBOM.</w:t>
      </w:r>
      <w:r>
        <w:t xml:space="preserve"> </w:t>
      </w:r>
      <w:r>
        <w:t xml:space="preserve">Discovery tools report</w:t>
      </w:r>
      <w:r>
        <w:t xml:space="preserve"> </w:t>
      </w:r>
      <w:r>
        <w:t xml:space="preserve">“</w:t>
      </w:r>
      <w:r>
        <w:t xml:space="preserve">Kyber</w:t>
      </w:r>
      <w:r>
        <w:t xml:space="preserve">”</w:t>
      </w:r>
      <w:r>
        <w:t xml:space="preserve"> </w:t>
      </w:r>
      <w:r>
        <w:t xml:space="preserve">and</w:t>
      </w:r>
      <w:r>
        <w:t xml:space="preserve"> </w:t>
      </w:r>
      <w:r>
        <w:t xml:space="preserve">“</w:t>
      </w:r>
      <w:r>
        <w:t xml:space="preserve">Dilithium</w:t>
      </w:r>
      <w:r>
        <w:t xml:space="preserve">”</w:t>
      </w:r>
      <w:r>
        <w:t xml:space="preserve">; policy requires FIPS names; inventory reconciliation fails.</w:t>
      </w:r>
      <w:r>
        <w:t xml:space="preserve"> </w:t>
      </w:r>
      <w:r>
        <w:rPr>
          <w:iCs/>
          <w:i/>
        </w:rPr>
        <w:t xml:space="preserve">Remediation:</w:t>
      </w:r>
      <w:r>
        <w:t xml:space="preserve"> </w:t>
      </w:r>
      <w:r>
        <w:t xml:space="preserve">normalisation rules in CBOM pipeline (Part III).</w:t>
      </w:r>
    </w:p>
    <w:p>
      <w:pPr>
        <w:pStyle w:val="BodyText"/>
      </w:pPr>
      <w:r>
        <w:rPr>
          <w:bCs/>
          <w:b/>
        </w:rPr>
        <w:t xml:space="preserve">Mistake 5: Contingency algorithm deployment.</w:t>
      </w:r>
      <w:r>
        <w:t xml:space="preserve"> </w:t>
      </w:r>
      <w:r>
        <w:t xml:space="preserve">FN-DSA in production because</w:t>
      </w:r>
      <w:r>
        <w:t xml:space="preserve"> </w:t>
      </w:r>
      <w:r>
        <w:t xml:space="preserve">“</w:t>
      </w:r>
      <w:r>
        <w:t xml:space="preserve">signatures are smaller</w:t>
      </w:r>
      <w:r>
        <w:t xml:space="preserve">”</w:t>
      </w:r>
      <w:r>
        <w:t xml:space="preserve"> </w:t>
      </w:r>
      <w:r>
        <w:t xml:space="preserve">without FIPS validation or policy approval.</w:t>
      </w:r>
      <w:r>
        <w:t xml:space="preserve"> </w:t>
      </w:r>
      <w:r>
        <w:rPr>
          <w:iCs/>
          <w:i/>
        </w:rPr>
        <w:t xml:space="preserve">Remediation:</w:t>
      </w:r>
      <w:r>
        <w:t xml:space="preserve"> </w:t>
      </w:r>
      <w:r>
        <w:t xml:space="preserve">contingency monitoring only until standardised.</w:t>
      </w:r>
    </w:p>
    <w:p>
      <w:pPr>
        <w:pStyle w:val="BodyText"/>
      </w:pPr>
      <w:r>
        <w:rPr>
          <w:bCs/>
          <w:b/>
        </w:rPr>
        <w:t xml:space="preserve">Mistake 6: TLS-only policy scope.</w:t>
      </w:r>
      <w:r>
        <w:t xml:space="preserve"> </w:t>
      </w:r>
      <w:r>
        <w:t xml:space="preserve">Algorithm policy addresses external TLS; ignores key wrapping, code signing, firmware, email.</w:t>
      </w:r>
      <w:r>
        <w:t xml:space="preserve"> </w:t>
      </w:r>
      <w:r>
        <w:rPr>
          <w:iCs/>
          <w:i/>
        </w:rPr>
        <w:t xml:space="preserve">Remediation:</w:t>
      </w:r>
      <w:r>
        <w:t xml:space="preserve"> </w:t>
      </w:r>
      <w:r>
        <w:t xml:space="preserve">operation-type rows in matrix, not protocol-specific silos.</w:t>
      </w:r>
    </w:p>
    <w:p>
      <w:pPr>
        <w:pStyle w:val="BodyText"/>
      </w:pPr>
      <w:r>
        <w:t xml:space="preserve">Northfield avoided Mistake 1 by device-class elevation. Meridian avoided Mistake 2 by delaying production claims until validation matrix showed gaps honestly. GlobalSync avoided Mistake 3 by platform baseline with tenant exception rows.</w:t>
      </w:r>
    </w:p>
    <w:p>
      <w:r>
        <w:pict>
          <v:rect style="width:0;height:1.5pt" o:hralign="center" o:hrstd="t" o:hr="t"/>
        </w:pict>
      </w:r>
    </w:p>
    <w:bookmarkEnd w:id="71"/>
    <w:bookmarkStart w:id="72" w:name="what-this-chapter-deliberately-omits"/>
    <w:p>
      <w:pPr>
        <w:pStyle w:val="Heading2"/>
      </w:pPr>
      <w:r>
        <w:t xml:space="preserve">4.22 What This Chapter Deliberately Omits</w:t>
      </w:r>
    </w:p>
    <w:p>
      <w:pPr>
        <w:pStyle w:val="FirstParagraph"/>
      </w:pPr>
      <w:r>
        <w:t xml:space="preserve">This chapter does not teach:</w:t>
      </w:r>
    </w:p>
    <w:p>
      <w:pPr>
        <w:numPr>
          <w:ilvl w:val="0"/>
          <w:numId w:val="1012"/>
        </w:numPr>
        <w:pStyle w:val="Compact"/>
      </w:pPr>
      <w:r>
        <w:t xml:space="preserve">Lattice reduction, module learning with errors, or hash-based signature internals</w:t>
      </w:r>
    </w:p>
    <w:p>
      <w:pPr>
        <w:numPr>
          <w:ilvl w:val="0"/>
          <w:numId w:val="1012"/>
        </w:numPr>
        <w:pStyle w:val="Compact"/>
      </w:pPr>
      <w:r>
        <w:t xml:space="preserve">Implementation guidance for constant-time ML-DSA on specific hardware</w:t>
      </w:r>
    </w:p>
    <w:p>
      <w:pPr>
        <w:numPr>
          <w:ilvl w:val="0"/>
          <w:numId w:val="1012"/>
        </w:numPr>
        <w:pStyle w:val="Compact"/>
      </w:pPr>
      <w:r>
        <w:t xml:space="preserve">Complete FIPS 203–205 test vector reproduction</w:t>
      </w:r>
    </w:p>
    <w:p>
      <w:pPr>
        <w:numPr>
          <w:ilvl w:val="0"/>
          <w:numId w:val="1012"/>
        </w:numPr>
        <w:pStyle w:val="Compact"/>
      </w:pPr>
      <w:r>
        <w:t xml:space="preserve">FN-DSA or HQC mathematical specifications</w:t>
      </w:r>
    </w:p>
    <w:p>
      <w:pPr>
        <w:pStyle w:val="FirstParagraph"/>
      </w:pPr>
      <w:r>
        <w:t xml:space="preserve">Readers needing that depth should consult FIPS documents, NIST submission packages, and academic references including Stinson’s forthcoming primer. This book’s role begins where standards documents end:</w:t>
      </w:r>
      <w:r>
        <w:t xml:space="preserve"> </w:t>
      </w:r>
      <w:r>
        <w:rPr>
          <w:bCs/>
          <w:b/>
        </w:rPr>
        <w:t xml:space="preserve">enterprise deployment under real constraints.</w:t>
      </w:r>
    </w:p>
    <w:p>
      <w:r>
        <w:pict>
          <v:rect style="width:0;height:1.5pt" o:hralign="center" o:hrstd="t" o:hr="t"/>
        </w:pict>
      </w:r>
    </w:p>
    <w:bookmarkEnd w:id="72"/>
    <w:bookmarkStart w:id="73" w:name="Xf2a2e5eb5be21806683dc6e660a6bffc37fc196"/>
    <w:p>
      <w:pPr>
        <w:pStyle w:val="Heading2"/>
      </w:pPr>
      <w:r>
        <w:t xml:space="preserve">4.23 Key Wrapping and Application-Layer Cryptography</w:t>
      </w:r>
    </w:p>
    <w:p>
      <w:pPr>
        <w:pStyle w:val="FirstParagraph"/>
      </w:pPr>
      <w:r>
        <w:t xml:space="preserve">TLS dominates PQC discourse. Enterprise estates equally depend on</w:t>
      </w:r>
      <w:r>
        <w:t xml:space="preserve"> </w:t>
      </w:r>
      <w:r>
        <w:rPr>
          <w:bCs/>
          <w:b/>
        </w:rPr>
        <w:t xml:space="preserve">application-layer key establishment</w:t>
      </w:r>
      <w:r>
        <w:t xml:space="preserve"> </w:t>
      </w:r>
      <w:r>
        <w:t xml:space="preserve">— database field encryption, backup key wrapping, document encryption, messaging middleware, and API payload protection. These paths often use RSA-OAEP or ECDH in libraries rather than protocol-visible TLS.</w:t>
      </w:r>
    </w:p>
    <w:p>
      <w:pPr>
        <w:pStyle w:val="BodyText"/>
      </w:pPr>
      <w:r>
        <w:t xml:space="preserve">ML-KEM replaces RSA/ECDH in key wrapping constructions — with schema implications:</w:t>
      </w:r>
    </w:p>
    <w:tbl>
      <w:tblPr>
        <w:tblStyle w:val="Table"/>
        <w:tblW w:type="pct" w:w="5000"/>
        <w:tblLook w:firstRow="1" w:lastRow="0" w:firstColumn="0" w:lastColumn="0" w:noHBand="0" w:noVBand="0" w:val="0020"/>
        <w:jc w:val="start"/>
      </w:tblPr>
      <w:tblGrid>
        <w:gridCol w:w="2436"/>
        <w:gridCol w:w="1340"/>
        <w:gridCol w:w="1827"/>
        <w:gridCol w:w="2315"/>
      </w:tblGrid>
      <w:tr>
        <w:trPr>
          <w:tblHeader w:val="true"/>
        </w:trPr>
        <w:tc>
          <w:tcPr/>
          <w:p>
            <w:pPr>
              <w:pStyle w:val="Compact"/>
              <w:jc w:val="left"/>
            </w:pPr>
            <w:r>
              <w:t xml:space="preserve">Application pattern</w:t>
            </w:r>
          </w:p>
        </w:tc>
        <w:tc>
          <w:tcPr/>
          <w:p>
            <w:pPr>
              <w:pStyle w:val="Compact"/>
              <w:jc w:val="left"/>
            </w:pPr>
            <w:r>
              <w:t xml:space="preserve">Classical</w:t>
            </w:r>
          </w:p>
        </w:tc>
        <w:tc>
          <w:tcPr/>
          <w:p>
            <w:pPr>
              <w:pStyle w:val="Compact"/>
              <w:jc w:val="left"/>
            </w:pPr>
            <w:r>
              <w:t xml:space="preserve">PQC migration</w:t>
            </w:r>
          </w:p>
        </w:tc>
        <w:tc>
          <w:tcPr/>
          <w:p>
            <w:pPr>
              <w:pStyle w:val="Compact"/>
              <w:jc w:val="left"/>
            </w:pPr>
            <w:r>
              <w:t xml:space="preserve">Typical constraint</w:t>
            </w:r>
          </w:p>
        </w:tc>
      </w:tr>
      <w:tr>
        <w:tc>
          <w:tcPr/>
          <w:p>
            <w:pPr>
              <w:pStyle w:val="Compact"/>
              <w:jc w:val="left"/>
            </w:pPr>
            <w:r>
              <w:t xml:space="preserve">Database column encryption</w:t>
            </w:r>
          </w:p>
        </w:tc>
        <w:tc>
          <w:tcPr/>
          <w:p>
            <w:pPr>
              <w:pStyle w:val="Compact"/>
              <w:jc w:val="left"/>
            </w:pPr>
            <w:r>
              <w:t xml:space="preserve">RSA wrap per row/key</w:t>
            </w:r>
          </w:p>
        </w:tc>
        <w:tc>
          <w:tcPr/>
          <w:p>
            <w:pPr>
              <w:pStyle w:val="Compact"/>
              <w:jc w:val="left"/>
            </w:pPr>
            <w:r>
              <w:t xml:space="preserve">ML-KEM encapsulation</w:t>
            </w:r>
          </w:p>
        </w:tc>
        <w:tc>
          <w:tcPr/>
          <w:p>
            <w:pPr>
              <w:pStyle w:val="Compact"/>
              <w:jc w:val="left"/>
            </w:pPr>
            <w:r>
              <w:t xml:space="preserve">Column width; key table size</w:t>
            </w:r>
          </w:p>
        </w:tc>
      </w:tr>
      <w:tr>
        <w:tc>
          <w:tcPr/>
          <w:p>
            <w:pPr>
              <w:pStyle w:val="Compact"/>
              <w:jc w:val="left"/>
            </w:pPr>
            <w:r>
              <w:t xml:space="preserve">Backup encryption</w:t>
            </w:r>
          </w:p>
        </w:tc>
        <w:tc>
          <w:tcPr/>
          <w:p>
            <w:pPr>
              <w:pStyle w:val="Compact"/>
              <w:jc w:val="left"/>
            </w:pPr>
            <w:r>
              <w:t xml:space="preserve">RSA public key in config</w:t>
            </w:r>
          </w:p>
        </w:tc>
        <w:tc>
          <w:tcPr/>
          <w:p>
            <w:pPr>
              <w:pStyle w:val="Compact"/>
              <w:jc w:val="left"/>
            </w:pPr>
            <w:r>
              <w:t xml:space="preserve">ML-KEM public key</w:t>
            </w:r>
          </w:p>
        </w:tc>
        <w:tc>
          <w:tcPr/>
          <w:p>
            <w:pPr>
              <w:pStyle w:val="Compact"/>
              <w:jc w:val="left"/>
            </w:pPr>
            <w:r>
              <w:t xml:space="preserve">Config file size limits</w:t>
            </w:r>
          </w:p>
        </w:tc>
      </w:tr>
      <w:tr>
        <w:tc>
          <w:tcPr/>
          <w:p>
            <w:pPr>
              <w:pStyle w:val="Compact"/>
              <w:jc w:val="left"/>
            </w:pPr>
            <w:r>
              <w:t xml:space="preserve">Message queue signing+encrypt</w:t>
            </w:r>
          </w:p>
        </w:tc>
        <w:tc>
          <w:tcPr/>
          <w:p>
            <w:pPr>
              <w:pStyle w:val="Compact"/>
              <w:jc w:val="left"/>
            </w:pPr>
            <w:r>
              <w:t xml:space="preserve">Hybrid protocols</w:t>
            </w:r>
          </w:p>
        </w:tc>
        <w:tc>
          <w:tcPr/>
          <w:p>
            <w:pPr>
              <w:pStyle w:val="Compact"/>
              <w:jc w:val="left"/>
            </w:pPr>
            <w:r>
              <w:t xml:space="preserve">ML-DSA + ML-KEM</w:t>
            </w:r>
          </w:p>
        </w:tc>
        <w:tc>
          <w:tcPr/>
          <w:p>
            <w:pPr>
              <w:pStyle w:val="Compact"/>
              <w:jc w:val="left"/>
            </w:pPr>
            <w:r>
              <w:t xml:space="preserve">Message size caps</w:t>
            </w:r>
          </w:p>
        </w:tc>
      </w:tr>
      <w:tr>
        <w:tc>
          <w:tcPr/>
          <w:p>
            <w:pPr>
              <w:pStyle w:val="Compact"/>
              <w:jc w:val="left"/>
            </w:pPr>
            <w:r>
              <w:t xml:space="preserve">S/MIME email</w:t>
            </w:r>
          </w:p>
        </w:tc>
        <w:tc>
          <w:tcPr/>
          <w:p>
            <w:pPr>
              <w:pStyle w:val="Compact"/>
              <w:jc w:val="left"/>
            </w:pPr>
            <w:r>
              <w:t xml:space="preserve">RSA/ECDSA</w:t>
            </w:r>
          </w:p>
        </w:tc>
        <w:tc>
          <w:tcPr/>
          <w:p>
            <w:pPr>
              <w:pStyle w:val="Compact"/>
              <w:jc w:val="left"/>
            </w:pPr>
            <w:r>
              <w:t xml:space="preserve">ML-DSA + ML-KEM CMS</w:t>
            </w:r>
          </w:p>
        </w:tc>
        <w:tc>
          <w:tcPr/>
          <w:p>
            <w:pPr>
              <w:pStyle w:val="Compact"/>
              <w:jc w:val="left"/>
            </w:pPr>
            <w:r>
              <w:t xml:space="preserve">Client compatibility</w:t>
            </w:r>
          </w:p>
        </w:tc>
      </w:tr>
      <w:tr>
        <w:tc>
          <w:tcPr/>
          <w:p>
            <w:pPr>
              <w:pStyle w:val="Compact"/>
              <w:jc w:val="left"/>
            </w:pPr>
            <w:r>
              <w:t xml:space="preserve">HSM key import</w:t>
            </w:r>
          </w:p>
        </w:tc>
        <w:tc>
          <w:tcPr/>
          <w:p>
            <w:pPr>
              <w:pStyle w:val="Compact"/>
              <w:jc w:val="left"/>
            </w:pPr>
            <w:r>
              <w:t xml:space="preserve">RSA wrap</w:t>
            </w:r>
          </w:p>
        </w:tc>
        <w:tc>
          <w:tcPr/>
          <w:p>
            <w:pPr>
              <w:pStyle w:val="Compact"/>
              <w:jc w:val="left"/>
            </w:pPr>
            <w:r>
              <w:t xml:space="preserve">ML-KEM wrap</w:t>
            </w:r>
          </w:p>
        </w:tc>
        <w:tc>
          <w:tcPr/>
          <w:p>
            <w:pPr>
              <w:pStyle w:val="Compact"/>
              <w:jc w:val="left"/>
            </w:pPr>
            <w:r>
              <w:t xml:space="preserve">HSM firmware support</w:t>
            </w:r>
          </w:p>
        </w:tc>
      </w:tr>
    </w:tbl>
    <w:p>
      <w:pPr>
        <w:pStyle w:val="BodyText"/>
      </w:pPr>
      <w:r>
        <w:t xml:space="preserve">Meridian’s customer PII KMS — the MPI 4.39 system from Chapter 2 — was an application-layer key wrapping path, not external TLS. Elena’s programme prioritised it because</w:t>
      </w:r>
      <w:r>
        <w:t xml:space="preserve"> </w:t>
      </w:r>
      <w:r>
        <w:rPr>
          <w:bCs/>
          <w:b/>
        </w:rPr>
        <w:t xml:space="preserve">twelve databases inherited keys from that KMS</w:t>
      </w:r>
      <w:r>
        <w:t xml:space="preserve"> </w:t>
      </w:r>
      <w:r>
        <w:t xml:space="preserve">— a CDG blocking node invisible in network scans.</w:t>
      </w:r>
    </w:p>
    <w:p>
      <w:pPr>
        <w:pStyle w:val="BodyText"/>
      </w:pPr>
      <w:r>
        <w:t xml:space="preserve">Discovery programmes that inventory TLS certificates but not application key wrapping produce CBOMs that miss the highest-TRADE systems. Part III CBOM methodology must include application-layer and HSM key ceremony inventories — algorithm policy from this chapter applies equally to those rows.</w:t>
      </w:r>
    </w:p>
    <w:p>
      <w:pPr>
        <w:pStyle w:val="BodyText"/>
      </w:pPr>
      <w:r>
        <w:t xml:space="preserve">GlobalSync identified ML-KEM ciphertext expansion in three microservices storing wrapped API keys in configuration databases — schema migration preceded cryptographic library upgrade. The sequencing lesson:</w:t>
      </w:r>
      <w:r>
        <w:t xml:space="preserve"> </w:t>
      </w:r>
      <w:r>
        <w:rPr>
          <w:bCs/>
          <w:b/>
        </w:rPr>
        <w:t xml:space="preserve">data model migration before crypto library swap</w:t>
      </w:r>
      <w:r>
        <w:t xml:space="preserve">, not parallel blind deployment.</w:t>
      </w:r>
    </w:p>
    <w:p>
      <w:r>
        <w:pict>
          <v:rect style="width:0;height:1.5pt" o:hralign="center" o:hrstd="t" o:hr="t"/>
        </w:pict>
      </w:r>
    </w:p>
    <w:bookmarkEnd w:id="73"/>
    <w:bookmarkStart w:id="74" w:name="algorithm-agility-requirements-in-policy"/>
    <w:p>
      <w:pPr>
        <w:pStyle w:val="Heading2"/>
      </w:pPr>
      <w:r>
        <w:t xml:space="preserve">4.24 Algorithm Agility Requirements in Policy</w:t>
      </w:r>
    </w:p>
    <w:p>
      <w:pPr>
        <w:pStyle w:val="FirstParagraph"/>
      </w:pPr>
      <w:r>
        <w:t xml:space="preserve">Algorithm standards are not permanent. Responsible cryptography policies include</w:t>
      </w:r>
      <w:r>
        <w:t xml:space="preserve"> </w:t>
      </w:r>
      <w:r>
        <w:rPr>
          <w:bCs/>
          <w:b/>
        </w:rPr>
        <w:t xml:space="preserve">agility requirements</w:t>
      </w:r>
      <w:r>
        <w:t xml:space="preserve"> </w:t>
      </w:r>
      <w:r>
        <w:t xml:space="preserve">— architectural and procedural capability to substitute algorithms without full system redesign. Chapter 10 develops agility patterns; Part II establishes policy language:</w:t>
      </w:r>
    </w:p>
    <w:p>
      <w:pPr>
        <w:numPr>
          <w:ilvl w:val="0"/>
          <w:numId w:val="1013"/>
        </w:numPr>
        <w:pStyle w:val="Compact"/>
      </w:pPr>
      <w:r>
        <w:t xml:space="preserve">New systems shall consume cryptographic services through</w:t>
      </w:r>
      <w:r>
        <w:t xml:space="preserve"> </w:t>
      </w:r>
      <w:r>
        <w:rPr>
          <w:bCs/>
          <w:b/>
        </w:rPr>
        <w:t xml:space="preserve">agility interfaces</w:t>
      </w:r>
      <w:r>
        <w:t xml:space="preserve"> </w:t>
      </w:r>
      <w:r>
        <w:t xml:space="preserve">(KMS, HSM, enterprise crypto library) — not hard-coded algorithm constants in application code</w:t>
      </w:r>
    </w:p>
    <w:p>
      <w:pPr>
        <w:numPr>
          <w:ilvl w:val="0"/>
          <w:numId w:val="1013"/>
        </w:numPr>
        <w:pStyle w:val="Compact"/>
      </w:pPr>
      <w:r>
        <w:t xml:space="preserve">Algorithm substitution shall complete within</w:t>
      </w:r>
      <w:r>
        <w:t xml:space="preserve"> </w:t>
      </w:r>
      <w:r>
        <w:rPr>
          <w:bCs/>
          <w:b/>
        </w:rPr>
        <w:t xml:space="preserve">defined change windows</w:t>
      </w:r>
      <w:r>
        <w:t xml:space="preserve"> </w:t>
      </w:r>
      <w:r>
        <w:t xml:space="preserve">per system class (e.g. 90 days for IT applications; OT per firmware cycle)</w:t>
      </w:r>
    </w:p>
    <w:p>
      <w:pPr>
        <w:numPr>
          <w:ilvl w:val="0"/>
          <w:numId w:val="1013"/>
        </w:numPr>
        <w:pStyle w:val="Compact"/>
      </w:pPr>
      <w:r>
        <w:t xml:space="preserve">Contingency algorithms (FN-DSA, HQC) shall be</w:t>
      </w:r>
      <w:r>
        <w:t xml:space="preserve"> </w:t>
      </w:r>
      <w:r>
        <w:rPr>
          <w:bCs/>
          <w:b/>
        </w:rPr>
        <w:t xml:space="preserve">activatable</w:t>
      </w:r>
      <w:r>
        <w:t xml:space="preserve"> </w:t>
      </w:r>
      <w:r>
        <w:t xml:space="preserve">through policy amendment without programme recharter — when FIPS publication and validation mature</w:t>
      </w:r>
    </w:p>
    <w:p>
      <w:pPr>
        <w:pStyle w:val="FirstParagraph"/>
      </w:pPr>
      <w:r>
        <w:t xml:space="preserve">Apex embedded agility requirements in NSS and commercial SDLC standards simultaneously — preventing classified programmes from building single-algorithm assumptions into weapons-system software while commercial teams pursued parallel hard-coding.</w:t>
      </w:r>
    </w:p>
    <w:p>
      <w:pPr>
        <w:pStyle w:val="BodyText"/>
      </w:pPr>
      <w:r>
        <w:t xml:space="preserve">Meridian’s policy required</w:t>
      </w:r>
      <w:r>
        <w:t xml:space="preserve"> </w:t>
      </w:r>
      <w:r>
        <w:rPr>
          <w:bCs/>
          <w:b/>
        </w:rPr>
        <w:t xml:space="preserve">crypto provider abstraction</w:t>
      </w:r>
      <w:r>
        <w:t xml:space="preserve"> </w:t>
      </w:r>
      <w:r>
        <w:t xml:space="preserve">in new Java and .NET services — banning direct BouncyCastle algorithm string literals in favour of enterprise crypto service calls. Legacy systems received risk acceptance with sunset dates — not permanent exemption from agility direction.</w:t>
      </w:r>
    </w:p>
    <w:p>
      <w:pPr>
        <w:pStyle w:val="BlockText"/>
      </w:pPr>
      <w:r>
        <w:rPr>
          <w:bCs/>
          <w:b/>
        </w:rPr>
        <w:t xml:space="preserve">Migration Moment</w:t>
      </w:r>
    </w:p>
    <w:p>
      <w:pPr>
        <w:pStyle w:val="BlockText"/>
      </w:pPr>
      <w:r>
        <w:rPr>
          <w:iCs/>
          <w:i/>
        </w:rPr>
        <w:t xml:space="preserve">“</w:t>
      </w:r>
      <w:r>
        <w:rPr>
          <w:iCs/>
          <w:i/>
        </w:rPr>
        <w:t xml:space="preserve">We’ll pick the final algorithm when migration starts — no need to standardise now.</w:t>
      </w:r>
      <w:r>
        <w:rPr>
          <w:iCs/>
          <w:i/>
        </w:rPr>
        <w:t xml:space="preserve">”</w:t>
      </w:r>
    </w:p>
    <w:p>
      <w:pPr>
        <w:pStyle w:val="BlockText"/>
      </w:pPr>
      <w:r>
        <w:t xml:space="preserve">Migration started in August 2024 when FIPS published. Enterprises without standards now face inventory normalisation, procurement renegotiation, and pilot rework under regulatory examination timelines — simultaneously. Agility requirements are not optional extras; they are how estates survive the next algorithm transition after PQC.</w:t>
      </w:r>
    </w:p>
    <w:p>
      <w:r>
        <w:pict>
          <v:rect style="width:0;height:1.5pt" o:hralign="center" o:hrstd="t" o:hr="t"/>
        </w:pict>
      </w:r>
    </w:p>
    <w:bookmarkEnd w:id="74"/>
    <w:bookmarkStart w:id="75" w:name="apply-in-your-organisation"/>
    <w:p>
      <w:pPr>
        <w:pStyle w:val="Heading2"/>
      </w:pPr>
      <w:r>
        <w:t xml:space="preserve">4.25 Apply in Your Organisation</w:t>
      </w:r>
    </w:p>
    <w:p>
      <w:pPr>
        <w:numPr>
          <w:ilvl w:val="0"/>
          <w:numId w:val="1014"/>
        </w:numPr>
        <w:pStyle w:val="Compact"/>
      </w:pPr>
      <w:r>
        <w:rPr>
          <w:bCs/>
          <w:b/>
        </w:rPr>
        <w:t xml:space="preserve">Publish an algorithm standards matrix</w:t>
      </w:r>
      <w:r>
        <w:t xml:space="preserve"> </w:t>
      </w:r>
      <w:r>
        <w:t xml:space="preserve">with default parameter sets (ML-KEM-768, ML-DSA-65) and Category 5 elevation criteria — do not leave selection to individual project teams.</w:t>
      </w:r>
    </w:p>
    <w:p>
      <w:pPr>
        <w:numPr>
          <w:ilvl w:val="0"/>
          <w:numId w:val="1014"/>
        </w:numPr>
        <w:pStyle w:val="Compact"/>
      </w:pPr>
      <w:r>
        <w:rPr>
          <w:bCs/>
          <w:b/>
        </w:rPr>
        <w:t xml:space="preserve">Normalise CBOM algorithm names</w:t>
      </w:r>
      <w:r>
        <w:t xml:space="preserve"> </w:t>
      </w:r>
      <w:r>
        <w:t xml:space="preserve">to FIPS terminology — map Kyber/Dilithium/SPHINCS+ legacy labels in discovery output.</w:t>
      </w:r>
    </w:p>
    <w:p>
      <w:pPr>
        <w:numPr>
          <w:ilvl w:val="0"/>
          <w:numId w:val="1014"/>
        </w:numPr>
        <w:pStyle w:val="Compact"/>
      </w:pPr>
      <w:r>
        <w:rPr>
          <w:bCs/>
          <w:b/>
        </w:rPr>
        <w:t xml:space="preserve">Require FIPS 140-3 validation certificates</w:t>
      </w:r>
      <w:r>
        <w:t xml:space="preserve"> </w:t>
      </w:r>
      <w:r>
        <w:t xml:space="preserve">in procurement — reject</w:t>
      </w:r>
      <w:r>
        <w:t xml:space="preserve"> </w:t>
      </w:r>
      <w:r>
        <w:t xml:space="preserve">“</w:t>
      </w:r>
      <w:r>
        <w:t xml:space="preserve">algorithm implemented</w:t>
      </w:r>
      <w:r>
        <w:t xml:space="preserve">”</w:t>
      </w:r>
      <w:r>
        <w:t xml:space="preserve"> </w:t>
      </w:r>
      <w:r>
        <w:t xml:space="preserve">without module validation for regulated workloads.</w:t>
      </w:r>
    </w:p>
    <w:p>
      <w:pPr>
        <w:numPr>
          <w:ilvl w:val="0"/>
          <w:numId w:val="1014"/>
        </w:numPr>
        <w:pStyle w:val="Compact"/>
      </w:pPr>
      <w:r>
        <w:rPr>
          <w:bCs/>
          <w:b/>
        </w:rPr>
        <w:t xml:space="preserve">Assess size constraints</w:t>
      </w:r>
      <w:r>
        <w:t xml:space="preserve"> </w:t>
      </w:r>
      <w:r>
        <w:t xml:space="preserve">for ML-DSA in PKI, firmware, and OT before committing to migration sequence — flag Chapter 6 candidates early.</w:t>
      </w:r>
    </w:p>
    <w:p>
      <w:pPr>
        <w:numPr>
          <w:ilvl w:val="0"/>
          <w:numId w:val="1014"/>
        </w:numPr>
        <w:pStyle w:val="Compact"/>
      </w:pPr>
      <w:r>
        <w:rPr>
          <w:bCs/>
          <w:b/>
        </w:rPr>
        <w:t xml:space="preserve">Monitor FN-DSA and HQC</w:t>
      </w:r>
      <w:r>
        <w:t xml:space="preserve"> </w:t>
      </w:r>
      <w:r>
        <w:t xml:space="preserve">in policy future-proofing sections — do not block current planning on their publication.</w:t>
      </w:r>
    </w:p>
    <w:p>
      <w:pPr>
        <w:numPr>
          <w:ilvl w:val="0"/>
          <w:numId w:val="1014"/>
        </w:numPr>
        <w:pStyle w:val="Compact"/>
      </w:pPr>
      <w:r>
        <w:rPr>
          <w:bCs/>
          <w:b/>
        </w:rPr>
        <w:t xml:space="preserve">Inventory application-layer key wrapping</w:t>
      </w:r>
      <w:r>
        <w:t xml:space="preserve"> </w:t>
      </w:r>
      <w:r>
        <w:t xml:space="preserve">— not only TLS endpoints; highest TRADE systems may live below the protocol layer.</w:t>
      </w:r>
    </w:p>
    <w:p>
      <w:pPr>
        <w:numPr>
          <w:ilvl w:val="0"/>
          <w:numId w:val="1014"/>
        </w:numPr>
        <w:pStyle w:val="Compact"/>
      </w:pPr>
      <w:r>
        <w:rPr>
          <w:bCs/>
          <w:b/>
        </w:rPr>
        <w:t xml:space="preserve">Embed algorithm agility requirements</w:t>
      </w:r>
      <w:r>
        <w:t xml:space="preserve"> </w:t>
      </w:r>
      <w:r>
        <w:t xml:space="preserve">in SDLC standards for new development — policy target state, not optional guidance.</w:t>
      </w:r>
    </w:p>
    <w:p>
      <w:pPr>
        <w:numPr>
          <w:ilvl w:val="0"/>
          <w:numId w:val="1014"/>
        </w:numPr>
        <w:pStyle w:val="Compact"/>
      </w:pPr>
      <w:r>
        <w:rPr>
          <w:bCs/>
          <w:b/>
        </w:rPr>
        <w:t xml:space="preserve">Assign a standards horizon owner</w:t>
      </w:r>
      <w:r>
        <w:t xml:space="preserve"> </w:t>
      </w:r>
      <w:r>
        <w:t xml:space="preserve">— quarterly review of NIST, IETF, CMVP, and regulatory publications with policy impact memos.</w:t>
      </w:r>
    </w:p>
    <w:p>
      <w:r>
        <w:pict>
          <v:rect style="width:0;height:1.5pt" o:hralign="center" o:hrstd="t" o:hr="t"/>
        </w:pict>
      </w:r>
    </w:p>
    <w:bookmarkEnd w:id="75"/>
    <w:bookmarkStart w:id="76" w:name="validation-coverage-matrix-example"/>
    <w:p>
      <w:pPr>
        <w:pStyle w:val="Heading2"/>
      </w:pPr>
      <w:r>
        <w:t xml:space="preserve">4.26 Validation Coverage Matrix Example</w:t>
      </w:r>
    </w:p>
    <w:p>
      <w:pPr>
        <w:pStyle w:val="FirstParagraph"/>
      </w:pPr>
      <w:r>
        <w:t xml:space="preserve">Meridian maintained the following Operational-layer matrix — updated quarterly from CMVP listings and vendor correspondence:</w:t>
      </w:r>
    </w:p>
    <w:tbl>
      <w:tblPr>
        <w:tblStyle w:val="Table"/>
        <w:tblW w:type="pct" w:w="5000"/>
        <w:tblLook w:firstRow="1" w:lastRow="0" w:firstColumn="0" w:lastColumn="0" w:noHBand="0" w:noVBand="0" w:val="0020"/>
        <w:jc w:val="start"/>
      </w:tblPr>
      <w:tblGrid>
        <w:gridCol w:w="1087"/>
        <w:gridCol w:w="1552"/>
        <w:gridCol w:w="1552"/>
        <w:gridCol w:w="1397"/>
        <w:gridCol w:w="931"/>
        <w:gridCol w:w="1397"/>
      </w:tblGrid>
      <w:tr>
        <w:trPr>
          <w:tblHeader w:val="true"/>
        </w:trPr>
        <w:tc>
          <w:tcPr/>
          <w:p>
            <w:pPr>
              <w:pStyle w:val="Compact"/>
              <w:jc w:val="left"/>
            </w:pPr>
            <w:r>
              <w:t xml:space="preserve">System class</w:t>
            </w:r>
          </w:p>
        </w:tc>
        <w:tc>
          <w:tcPr/>
          <w:p>
            <w:pPr>
              <w:pStyle w:val="Compact"/>
              <w:jc w:val="left"/>
            </w:pPr>
            <w:r>
              <w:t xml:space="preserve">Validation required</w:t>
            </w:r>
          </w:p>
        </w:tc>
        <w:tc>
          <w:tcPr/>
          <w:p>
            <w:pPr>
              <w:pStyle w:val="Compact"/>
              <w:jc w:val="left"/>
            </w:pPr>
            <w:r>
              <w:t xml:space="preserve">Module available</w:t>
            </w:r>
          </w:p>
        </w:tc>
        <w:tc>
          <w:tcPr/>
          <w:p>
            <w:pPr>
              <w:pStyle w:val="Compact"/>
              <w:jc w:val="left"/>
            </w:pPr>
            <w:r>
              <w:t xml:space="preserve">Algorithm listed</w:t>
            </w:r>
          </w:p>
        </w:tc>
        <w:tc>
          <w:tcPr/>
          <w:p>
            <w:pPr>
              <w:pStyle w:val="Compact"/>
              <w:jc w:val="left"/>
            </w:pPr>
            <w:r>
              <w:t xml:space="preserve">Gap status</w:t>
            </w:r>
          </w:p>
        </w:tc>
        <w:tc>
          <w:tcPr/>
          <w:p>
            <w:pPr>
              <w:pStyle w:val="Compact"/>
              <w:jc w:val="left"/>
            </w:pPr>
            <w:r>
              <w:t xml:space="preserve">Programme action</w:t>
            </w:r>
          </w:p>
        </w:tc>
      </w:tr>
      <w:tr>
        <w:tc>
          <w:tcPr/>
          <w:p>
            <w:pPr>
              <w:pStyle w:val="Compact"/>
              <w:jc w:val="left"/>
            </w:pPr>
            <w:r>
              <w:t xml:space="preserve">Payment HSM</w:t>
            </w:r>
          </w:p>
        </w:tc>
        <w:tc>
          <w:tcPr/>
          <w:p>
            <w:pPr>
              <w:pStyle w:val="Compact"/>
              <w:jc w:val="left"/>
            </w:pPr>
            <w:r>
              <w:t xml:space="preserve">FIPS 140-3 L3</w:t>
            </w:r>
          </w:p>
        </w:tc>
        <w:tc>
          <w:tcPr/>
          <w:p>
            <w:pPr>
              <w:pStyle w:val="Compact"/>
              <w:jc w:val="left"/>
            </w:pPr>
            <w:r>
              <w:t xml:space="preserve">Vendor module v4.2 (roadmap)</w:t>
            </w:r>
          </w:p>
        </w:tc>
        <w:tc>
          <w:tcPr/>
          <w:p>
            <w:pPr>
              <w:pStyle w:val="Compact"/>
              <w:jc w:val="left"/>
            </w:pPr>
            <w:r>
              <w:t xml:space="preserve">ML-DSA-87 (Q3 2026)</w:t>
            </w:r>
          </w:p>
        </w:tc>
        <w:tc>
          <w:tcPr/>
          <w:p>
            <w:pPr>
              <w:pStyle w:val="Compact"/>
              <w:jc w:val="left"/>
            </w:pPr>
            <w:r>
              <w:rPr>
                <w:bCs/>
                <w:b/>
              </w:rPr>
              <w:t xml:space="preserve">Open</w:t>
            </w:r>
          </w:p>
        </w:tc>
        <w:tc>
          <w:tcPr/>
          <w:p>
            <w:pPr>
              <w:pStyle w:val="Compact"/>
              <w:jc w:val="left"/>
            </w:pPr>
            <w:r>
              <w:t xml:space="preserve">Procurement escalation</w:t>
            </w:r>
          </w:p>
        </w:tc>
      </w:tr>
      <w:tr>
        <w:tc>
          <w:tcPr/>
          <w:p>
            <w:pPr>
              <w:pStyle w:val="Compact"/>
              <w:jc w:val="left"/>
            </w:pPr>
            <w:r>
              <w:t xml:space="preserve">General HSM</w:t>
            </w:r>
          </w:p>
        </w:tc>
        <w:tc>
          <w:tcPr/>
          <w:p>
            <w:pPr>
              <w:pStyle w:val="Compact"/>
              <w:jc w:val="left"/>
            </w:pPr>
            <w:r>
              <w:t xml:space="preserve">FIPS 140-3 L3</w:t>
            </w:r>
          </w:p>
        </w:tc>
        <w:tc>
          <w:tcPr/>
          <w:p>
            <w:pPr>
              <w:pStyle w:val="Compact"/>
              <w:jc w:val="left"/>
            </w:pPr>
            <w:r>
              <w:t xml:space="preserve">Vendor module v3.9</w:t>
            </w:r>
          </w:p>
        </w:tc>
        <w:tc>
          <w:tcPr/>
          <w:p>
            <w:pPr>
              <w:pStyle w:val="Compact"/>
              <w:jc w:val="left"/>
            </w:pPr>
            <w:r>
              <w:t xml:space="preserve">ML-KEM-768, ML-DSA-65</w:t>
            </w:r>
          </w:p>
        </w:tc>
        <w:tc>
          <w:tcPr/>
          <w:p>
            <w:pPr>
              <w:pStyle w:val="Compact"/>
              <w:jc w:val="left"/>
            </w:pPr>
            <w:r>
              <w:t xml:space="preserve">Closed</w:t>
            </w:r>
          </w:p>
        </w:tc>
        <w:tc>
          <w:tcPr/>
          <w:p>
            <w:pPr>
              <w:pStyle w:val="Compact"/>
              <w:jc w:val="left"/>
            </w:pPr>
            <w:r>
              <w:t xml:space="preserve">Pilot authorised</w:t>
            </w:r>
          </w:p>
        </w:tc>
      </w:tr>
      <w:tr>
        <w:tc>
          <w:tcPr/>
          <w:p>
            <w:pPr>
              <w:pStyle w:val="Compact"/>
              <w:jc w:val="left"/>
            </w:pPr>
            <w:r>
              <w:t xml:space="preserve">Cloud KMS (EU)</w:t>
            </w:r>
          </w:p>
        </w:tc>
        <w:tc>
          <w:tcPr/>
          <w:p>
            <w:pPr>
              <w:pStyle w:val="Compact"/>
              <w:jc w:val="left"/>
            </w:pPr>
            <w:r>
              <w:t xml:space="preserve">FIPS 140-3 L3</w:t>
            </w:r>
          </w:p>
        </w:tc>
        <w:tc>
          <w:tcPr/>
          <w:p>
            <w:pPr>
              <w:pStyle w:val="Compact"/>
              <w:jc w:val="left"/>
            </w:pPr>
            <w:r>
              <w:t xml:space="preserve">Cloud provider module</w:t>
            </w:r>
          </w:p>
        </w:tc>
        <w:tc>
          <w:tcPr/>
          <w:p>
            <w:pPr>
              <w:pStyle w:val="Compact"/>
              <w:jc w:val="left"/>
            </w:pPr>
            <w:r>
              <w:t xml:space="preserve">ML-KEM-768</w:t>
            </w:r>
          </w:p>
        </w:tc>
        <w:tc>
          <w:tcPr/>
          <w:p>
            <w:pPr>
              <w:pStyle w:val="Compact"/>
              <w:jc w:val="left"/>
            </w:pPr>
            <w:r>
              <w:t xml:space="preserve">Closed</w:t>
            </w:r>
          </w:p>
        </w:tc>
        <w:tc>
          <w:tcPr/>
          <w:p>
            <w:pPr>
              <w:pStyle w:val="Compact"/>
              <w:jc w:val="left"/>
            </w:pPr>
            <w:r>
              <w:t xml:space="preserve">Production H1 TLS</w:t>
            </w:r>
          </w:p>
        </w:tc>
      </w:tr>
      <w:tr>
        <w:tc>
          <w:tcPr/>
          <w:p>
            <w:pPr>
              <w:pStyle w:val="Compact"/>
              <w:jc w:val="left"/>
            </w:pPr>
            <w:r>
              <w:t xml:space="preserve">Smart card</w:t>
            </w:r>
          </w:p>
        </w:tc>
        <w:tc>
          <w:tcPr/>
          <w:p>
            <w:pPr>
              <w:pStyle w:val="Compact"/>
              <w:jc w:val="left"/>
            </w:pPr>
            <w:r>
              <w:t xml:space="preserve">FIPS 140-2 L3 token</w:t>
            </w:r>
          </w:p>
        </w:tc>
        <w:tc>
          <w:tcPr/>
          <w:p>
            <w:pPr>
              <w:pStyle w:val="Compact"/>
              <w:jc w:val="left"/>
            </w:pPr>
            <w:r>
              <w:t xml:space="preserve">No PQC module</w:t>
            </w:r>
          </w:p>
        </w:tc>
        <w:tc>
          <w:tcPr/>
          <w:p>
            <w:pPr>
              <w:pStyle w:val="Compact"/>
              <w:jc w:val="left"/>
            </w:pPr>
            <w:r>
              <w:t xml:space="preserve">—</w:t>
            </w:r>
          </w:p>
        </w:tc>
        <w:tc>
          <w:tcPr/>
          <w:p>
            <w:pPr>
              <w:pStyle w:val="Compact"/>
              <w:jc w:val="left"/>
            </w:pPr>
            <w:r>
              <w:rPr>
                <w:bCs/>
                <w:b/>
              </w:rPr>
              <w:t xml:space="preserve">Open</w:t>
            </w:r>
          </w:p>
        </w:tc>
        <w:tc>
          <w:tcPr/>
          <w:p>
            <w:pPr>
              <w:pStyle w:val="Compact"/>
              <w:jc w:val="left"/>
            </w:pPr>
            <w:r>
              <w:t xml:space="preserve">Token refresh RFP</w:t>
            </w:r>
          </w:p>
        </w:tc>
      </w:tr>
      <w:tr>
        <w:tc>
          <w:tcPr/>
          <w:p>
            <w:pPr>
              <w:pStyle w:val="Compact"/>
              <w:jc w:val="left"/>
            </w:pPr>
            <w:r>
              <w:t xml:space="preserve">Application library (dev)</w:t>
            </w:r>
          </w:p>
        </w:tc>
        <w:tc>
          <w:tcPr/>
          <w:p>
            <w:pPr>
              <w:pStyle w:val="Compact"/>
              <w:jc w:val="left"/>
            </w:pPr>
            <w:r>
              <w:t xml:space="preserve">None (non-prod)</w:t>
            </w:r>
          </w:p>
        </w:tc>
        <w:tc>
          <w:tcPr/>
          <w:p>
            <w:pPr>
              <w:pStyle w:val="Compact"/>
              <w:jc w:val="left"/>
            </w:pPr>
            <w:r>
              <w:t xml:space="preserve">OpenSSL 3.5</w:t>
            </w:r>
          </w:p>
        </w:tc>
        <w:tc>
          <w:tcPr/>
          <w:p>
            <w:pPr>
              <w:pStyle w:val="Compact"/>
              <w:jc w:val="left"/>
            </w:pPr>
            <w:r>
              <w:t xml:space="preserve">ML-KEM-768</w:t>
            </w:r>
          </w:p>
        </w:tc>
        <w:tc>
          <w:tcPr/>
          <w:p>
            <w:pPr>
              <w:pStyle w:val="Compact"/>
              <w:jc w:val="left"/>
            </w:pPr>
            <w:r>
              <w:t xml:space="preserve">N/A</w:t>
            </w:r>
          </w:p>
        </w:tc>
        <w:tc>
          <w:tcPr/>
          <w:p>
            <w:pPr>
              <w:pStyle w:val="Compact"/>
              <w:jc w:val="left"/>
            </w:pPr>
            <w:r>
              <w:t xml:space="preserve">Lab only</w:t>
            </w:r>
          </w:p>
        </w:tc>
      </w:tr>
    </w:tbl>
    <w:p>
      <w:pPr>
        <w:pStyle w:val="BodyText"/>
      </w:pPr>
      <w:r>
        <w:t xml:space="preserve">The matrix prevented a common failure mode: engineering teams deploying software library PQC in paths that production policy required validated modules for — producing demos that could not reach regulated production.</w:t>
      </w:r>
    </w:p>
    <w:p>
      <w:r>
        <w:pict>
          <v:rect style="width:0;height:1.5pt" o:hralign="center" o:hrstd="t" o:hr="t"/>
        </w:pict>
      </w:r>
    </w:p>
    <w:bookmarkEnd w:id="76"/>
    <w:bookmarkStart w:id="78" w:name="X9a652f91288fb7f2fd0a992c5243d9d50a70d16"/>
    <w:p>
      <w:pPr>
        <w:pStyle w:val="Heading2"/>
      </w:pPr>
      <w:r>
        <w:t xml:space="preserve">4.27 Communicating Algorithm Standards to Engineering Teams</w:t>
      </w:r>
    </w:p>
    <w:p>
      <w:pPr>
        <w:pStyle w:val="FirstParagraph"/>
      </w:pPr>
      <w:r>
        <w:t xml:space="preserve">Algorithm policy fails when written for auditors but unreadable by engineers. Effective internal communication:</w:t>
      </w:r>
    </w:p>
    <w:p>
      <w:pPr>
        <w:pStyle w:val="BodyText"/>
      </w:pPr>
      <w:r>
        <w:rPr>
          <w:bCs/>
          <w:b/>
        </w:rPr>
        <w:t xml:space="preserve">Do</w:t>
      </w:r>
      <w:r>
        <w:t xml:space="preserve"> </w:t>
      </w:r>
      <w:r>
        <w:t xml:space="preserve">publish the algorithm standards matrix with workload-class rows engineers can map to their systems.</w:t>
      </w:r>
      <w:r>
        <w:t xml:space="preserve"> </w:t>
      </w:r>
      <w:r>
        <w:rPr>
          <w:bCs/>
          <w:b/>
        </w:rPr>
        <w:t xml:space="preserve">Do</w:t>
      </w:r>
      <w:r>
        <w:t xml:space="preserve"> </w:t>
      </w:r>
      <w:r>
        <w:t xml:space="preserve">link each row to validation coverage status — engineers then understand why production is gated.</w:t>
      </w:r>
      <w:r>
        <w:t xml:space="preserve"> </w:t>
      </w:r>
      <w:r>
        <w:rPr>
          <w:bCs/>
          <w:b/>
        </w:rPr>
        <w:t xml:space="preserve">Do</w:t>
      </w:r>
      <w:r>
        <w:t xml:space="preserve"> </w:t>
      </w:r>
      <w:r>
        <w:t xml:space="preserve">provide FIPS names and parameter sets in ticket templates and architecture review checklists.</w:t>
      </w:r>
    </w:p>
    <w:p>
      <w:pPr>
        <w:pStyle w:val="BodyText"/>
      </w:pPr>
      <w:r>
        <w:rPr>
          <w:bCs/>
          <w:b/>
        </w:rPr>
        <w:t xml:space="preserve">Do not</w:t>
      </w:r>
      <w:r>
        <w:t xml:space="preserve"> </w:t>
      </w:r>
      <w:r>
        <w:t xml:space="preserve">distribute FIPS PDFs as the only guidance.</w:t>
      </w:r>
      <w:r>
        <w:t xml:space="preserve"> </w:t>
      </w:r>
      <w:r>
        <w:rPr>
          <w:bCs/>
          <w:b/>
        </w:rPr>
        <w:t xml:space="preserve">Do not</w:t>
      </w:r>
      <w:r>
        <w:t xml:space="preserve"> </w:t>
      </w:r>
      <w:r>
        <w:t xml:space="preserve">assume conference talks on PQC substitute for internal standards.</w:t>
      </w:r>
      <w:r>
        <w:t xml:space="preserve"> </w:t>
      </w:r>
      <w:r>
        <w:rPr>
          <w:bCs/>
          <w:b/>
        </w:rPr>
        <w:t xml:space="preserve">Do not</w:t>
      </w:r>
      <w:r>
        <w:t xml:space="preserve"> </w:t>
      </w:r>
      <w:r>
        <w:t xml:space="preserve">allow</w:t>
      </w:r>
      <w:r>
        <w:t xml:space="preserve"> </w:t>
      </w:r>
      <w:r>
        <w:t xml:space="preserve">“</w:t>
      </w:r>
      <w:r>
        <w:t xml:space="preserve">team choice</w:t>
      </w:r>
      <w:r>
        <w:t xml:space="preserve">”</w:t>
      </w:r>
      <w:r>
        <w:t xml:space="preserve"> </w:t>
      </w:r>
      <w:r>
        <w:t xml:space="preserve">between ML-DSA-65 and ML-DSA-87 without elevation criteria.</w:t>
      </w:r>
    </w:p>
    <w:p>
      <w:pPr>
        <w:pStyle w:val="BodyText"/>
      </w:pPr>
      <w:r>
        <w:t xml:space="preserve">GlobalSync embedded matrix rows in its internal developer portal — API teams selected workload class from dropdown; portal displayed approved algorithms and HLM phase requirements. Meridian embedded requirements in architecture review gates — no production approval without matrix row citation.</w:t>
      </w:r>
    </w:p>
    <w:bookmarkStart w:id="77" w:name="rd-and-non-production-environments"/>
    <w:p>
      <w:pPr>
        <w:pStyle w:val="Heading3"/>
      </w:pPr>
      <w:r>
        <w:t xml:space="preserve">R&amp;D and non-production environments</w:t>
      </w:r>
    </w:p>
    <w:p>
      <w:pPr>
        <w:pStyle w:val="FirstParagraph"/>
      </w:pPr>
      <w:r>
        <w:t xml:space="preserve">Laboratories and innovation environments often experiment with pre-standard algorithms — FN-DSA prototypes, hybrid Internet-Drafts, vendor beta branches. Policy should</w:t>
      </w:r>
      <w:r>
        <w:t xml:space="preserve"> </w:t>
      </w:r>
      <w:r>
        <w:rPr>
          <w:bCs/>
          <w:b/>
        </w:rPr>
        <w:t xml:space="preserve">isolate</w:t>
      </w:r>
      <w:r>
        <w:t xml:space="preserve"> </w:t>
      </w:r>
      <w:r>
        <w:t xml:space="preserve">R&amp;D cryptography from production:</w:t>
      </w:r>
    </w:p>
    <w:p>
      <w:pPr>
        <w:numPr>
          <w:ilvl w:val="0"/>
          <w:numId w:val="1015"/>
        </w:numPr>
        <w:pStyle w:val="Compact"/>
      </w:pPr>
      <w:r>
        <w:t xml:space="preserve">Separate PKI hierarchy for lab; no trust path to production</w:t>
      </w:r>
    </w:p>
    <w:p>
      <w:pPr>
        <w:numPr>
          <w:ilvl w:val="0"/>
          <w:numId w:val="1015"/>
        </w:numPr>
        <w:pStyle w:val="Compact"/>
      </w:pPr>
      <w:r>
        <w:t xml:space="preserve">CBOM tagging</w:t>
      </w:r>
      <w:r>
        <w:t xml:space="preserve"> </w:t>
      </w:r>
      <w:r>
        <w:rPr>
          <w:rStyle w:val="VerbatimChar"/>
        </w:rPr>
        <w:t xml:space="preserve">environment=non_production</w:t>
      </w:r>
      <w:r>
        <w:t xml:space="preserve"> </w:t>
      </w:r>
      <w:r>
        <w:t xml:space="preserve">mandatory</w:t>
      </w:r>
    </w:p>
    <w:p>
      <w:pPr>
        <w:numPr>
          <w:ilvl w:val="0"/>
          <w:numId w:val="1015"/>
        </w:numPr>
        <w:pStyle w:val="Compact"/>
      </w:pPr>
      <w:r>
        <w:t xml:space="preserve">No production data in lab PQC experiments — synthetic data only</w:t>
      </w:r>
    </w:p>
    <w:p>
      <w:pPr>
        <w:numPr>
          <w:ilvl w:val="0"/>
          <w:numId w:val="1015"/>
        </w:numPr>
        <w:pStyle w:val="Compact"/>
      </w:pPr>
      <w:r>
        <w:t xml:space="preserve">Promotion to production requires matrix row assignment and validation evidence</w:t>
      </w:r>
    </w:p>
    <w:p>
      <w:pPr>
        <w:pStyle w:val="FirstParagraph"/>
      </w:pPr>
      <w:r>
        <w:t xml:space="preserve">Apex maintained a</w:t>
      </w:r>
      <w:r>
        <w:t xml:space="preserve"> </w:t>
      </w:r>
      <w:r>
        <w:rPr>
          <w:bCs/>
          <w:b/>
        </w:rPr>
        <w:t xml:space="preserve">classified lab enclave</w:t>
      </w:r>
      <w:r>
        <w:t xml:space="preserve"> </w:t>
      </w:r>
      <w:r>
        <w:t xml:space="preserve">and</w:t>
      </w:r>
      <w:r>
        <w:t xml:space="preserve"> </w:t>
      </w:r>
      <w:r>
        <w:rPr>
          <w:bCs/>
          <w:b/>
        </w:rPr>
        <w:t xml:space="preserve">commercial sandbox</w:t>
      </w:r>
      <w:r>
        <w:t xml:space="preserve"> </w:t>
      </w:r>
      <w:r>
        <w:t xml:space="preserve">with separate algorithm policies — preventing NSS experiments from contaminating commercial product FIPS validation boundaries. GlobalSync’s developer sandbox allowed Internet-Draft hybrids with automatic</w:t>
      </w:r>
      <w:r>
        <w:t xml:space="preserve"> </w:t>
      </w:r>
      <w:r>
        <w:rPr>
          <w:bCs/>
          <w:b/>
        </w:rPr>
        <w:t xml:space="preserve">90-day expiry</w:t>
      </w:r>
      <w:r>
        <w:t xml:space="preserve"> </w:t>
      </w:r>
      <w:r>
        <w:t xml:space="preserve">on experimental configurations.</w:t>
      </w:r>
    </w:p>
    <w:p>
      <w:pPr>
        <w:pStyle w:val="BodyText"/>
      </w:pPr>
      <w:r>
        <w:t xml:space="preserve">Priya Nair’s Apex team ran quarterly</w:t>
      </w:r>
      <w:r>
        <w:t xml:space="preserve"> </w:t>
      </w:r>
      <w:r>
        <w:rPr>
          <w:bCs/>
          <w:b/>
        </w:rPr>
        <w:t xml:space="preserve">standards office hours</w:t>
      </w:r>
      <w:r>
        <w:t xml:space="preserve"> </w:t>
      </w:r>
      <w:r>
        <w:t xml:space="preserve">— engineers brought systems; architects assigned matrix rows. Attendance counted toward architecture governance metrics — reducing shadow algorithm choices in R&amp;D environments.</w:t>
      </w:r>
    </w:p>
    <w:p>
      <w:r>
        <w:pict>
          <v:rect style="width:0;height:1.5pt" o:hralign="center" o:hrstd="t" o:hr="t"/>
        </w:pict>
      </w:r>
    </w:p>
    <w:bookmarkEnd w:id="77"/>
    <w:bookmarkEnd w:id="78"/>
    <w:bookmarkStart w:id="79" w:name="Xcb49467a2f98a6d25eabc2f08a8487b261897fc"/>
    <w:p>
      <w:pPr>
        <w:pStyle w:val="Heading2"/>
      </w:pPr>
      <w:r>
        <w:t xml:space="preserve">4.28 Standards Maintenance and Horizon Monitoring</w:t>
      </w:r>
    </w:p>
    <w:p>
      <w:pPr>
        <w:pStyle w:val="FirstParagraph"/>
      </w:pPr>
      <w:r>
        <w:t xml:space="preserve">Algorithm standards are not static inputs. Programme offices should maintain a</w:t>
      </w:r>
      <w:r>
        <w:t xml:space="preserve"> </w:t>
      </w:r>
      <w:r>
        <w:rPr>
          <w:bCs/>
          <w:b/>
        </w:rPr>
        <w:t xml:space="preserve">standards horizon watch</w:t>
      </w:r>
      <w:r>
        <w:t xml:space="preserve"> </w:t>
      </w:r>
      <w:r>
        <w:t xml:space="preserve">— quarterly review of:</w:t>
      </w:r>
    </w:p>
    <w:p>
      <w:pPr>
        <w:numPr>
          <w:ilvl w:val="0"/>
          <w:numId w:val="1016"/>
        </w:numPr>
        <w:pStyle w:val="Compact"/>
      </w:pPr>
      <w:r>
        <w:t xml:space="preserve">NIST IR 8547 final publication and SP 800-131A revisions</w:t>
      </w:r>
    </w:p>
    <w:p>
      <w:pPr>
        <w:numPr>
          <w:ilvl w:val="0"/>
          <w:numId w:val="1016"/>
        </w:numPr>
        <w:pStyle w:val="Compact"/>
      </w:pPr>
      <w:r>
        <w:t xml:space="preserve">FN-DSA and HQC standardisation progress</w:t>
      </w:r>
    </w:p>
    <w:p>
      <w:pPr>
        <w:numPr>
          <w:ilvl w:val="0"/>
          <w:numId w:val="1016"/>
        </w:numPr>
        <w:pStyle w:val="Compact"/>
      </w:pPr>
      <w:r>
        <w:t xml:space="preserve">IETF hybrid TLS standards-track advancement to RFC</w:t>
      </w:r>
    </w:p>
    <w:p>
      <w:pPr>
        <w:numPr>
          <w:ilvl w:val="0"/>
          <w:numId w:val="1016"/>
        </w:numPr>
        <w:pStyle w:val="Compact"/>
      </w:pPr>
      <w:r>
        <w:t xml:space="preserve">CMVP validation list updates for ML-KEM and ML-DSA modules</w:t>
      </w:r>
    </w:p>
    <w:p>
      <w:pPr>
        <w:numPr>
          <w:ilvl w:val="0"/>
          <w:numId w:val="1016"/>
        </w:numPr>
        <w:pStyle w:val="Compact"/>
      </w:pPr>
      <w:r>
        <w:t xml:space="preserve">CNSA 2.0 advisory updates and waiver policy changes</w:t>
      </w:r>
    </w:p>
    <w:p>
      <w:pPr>
        <w:numPr>
          <w:ilvl w:val="0"/>
          <w:numId w:val="1016"/>
        </w:numPr>
        <w:pStyle w:val="Compact"/>
      </w:pPr>
      <w:r>
        <w:t xml:space="preserve">EU and UK supervisory guidance interpreting PQC for regulated sectors</w:t>
      </w:r>
    </w:p>
    <w:p>
      <w:pPr>
        <w:pStyle w:val="FirstParagraph"/>
      </w:pPr>
      <w:r>
        <w:t xml:space="preserve">GlobalSync assigned a part-time</w:t>
      </w:r>
      <w:r>
        <w:t xml:space="preserve"> </w:t>
      </w:r>
      <w:r>
        <w:rPr>
          <w:bCs/>
          <w:b/>
        </w:rPr>
        <w:t xml:space="preserve">cryptography standards owner</w:t>
      </w:r>
      <w:r>
        <w:t xml:space="preserve"> </w:t>
      </w:r>
      <w:r>
        <w:t xml:space="preserve">— responsible for watchlist maintenance and quarterly policy impact memos to the steering committee. The role consumed approximately</w:t>
      </w:r>
      <w:r>
        <w:t xml:space="preserve"> </w:t>
      </w:r>
      <w:r>
        <w:rPr>
          <w:bCs/>
          <w:b/>
        </w:rPr>
        <w:t xml:space="preserve">0.25 FTE</w:t>
      </w:r>
      <w:r>
        <w:t xml:space="preserve"> </w:t>
      </w:r>
      <w:r>
        <w:t xml:space="preserve">(</w:t>
      </w:r>
      <w:r>
        <w:rPr>
          <w:iCs/>
          <w:i/>
        </w:rPr>
        <w:t xml:space="preserve">illustrative</w:t>
      </w:r>
      <w:r>
        <w:t xml:space="preserve">) — far less than rework from outdated policy during examination.</w:t>
      </w:r>
    </w:p>
    <w:p>
      <w:pPr>
        <w:pStyle w:val="BodyText"/>
      </w:pPr>
      <w:r>
        <w:t xml:space="preserve">Meridian linked standards horizon review to Thomas Bergström’s regulatory horizon function (Chapter 3) — single meeting, dual output: regulatory impact memo and cryptography policy amendment recommendations.</w:t>
      </w:r>
    </w:p>
    <w:p>
      <w:pPr>
        <w:pStyle w:val="BodyText"/>
      </w:pPr>
      <w:r>
        <w:t xml:space="preserve">When IR 8547 finalises with changed dates or definitions, enterprises with documented horizon monitoring demonstrate</w:t>
      </w:r>
      <w:r>
        <w:t xml:space="preserve"> </w:t>
      </w:r>
      <w:r>
        <w:rPr>
          <w:bCs/>
          <w:b/>
        </w:rPr>
        <w:t xml:space="preserve">governance adaptability</w:t>
      </w:r>
      <w:r>
        <w:t xml:space="preserve"> </w:t>
      </w:r>
      <w:r>
        <w:t xml:space="preserve">— supervisors prefer monitored programmes over static policies that silently become incorrect.</w:t>
      </w:r>
    </w:p>
    <w:p>
      <w:r>
        <w:pict>
          <v:rect style="width:0;height:1.5pt" o:hralign="center" o:hrstd="t" o:hr="t"/>
        </w:pict>
      </w:r>
    </w:p>
    <w:bookmarkEnd w:id="79"/>
    <w:bookmarkStart w:id="80" w:name="chapter-summary"/>
    <w:p>
      <w:pPr>
        <w:pStyle w:val="Heading2"/>
      </w:pPr>
      <w:r>
        <w:t xml:space="preserve">4.29 Chapter Summary</w:t>
      </w:r>
    </w:p>
    <w:p>
      <w:pPr>
        <w:numPr>
          <w:ilvl w:val="0"/>
          <w:numId w:val="1017"/>
        </w:numPr>
        <w:pStyle w:val="Compact"/>
      </w:pPr>
      <w:r>
        <w:t xml:space="preserve">FIPS 203 (ML-KEM), 204 (ML-DSA), and 205 (SLH-DSA) are final standards — the enterprise deployment baseline as of August 2024.</w:t>
      </w:r>
    </w:p>
    <w:p>
      <w:pPr>
        <w:numPr>
          <w:ilvl w:val="0"/>
          <w:numId w:val="1017"/>
        </w:numPr>
        <w:pStyle w:val="Compact"/>
      </w:pPr>
      <w:r>
        <w:t xml:space="preserve">The standards-as-inputs principle: reference FIPS in policy; implement migration through programme frameworks — not by reproducing standards in internal documents.</w:t>
      </w:r>
    </w:p>
    <w:p>
      <w:pPr>
        <w:numPr>
          <w:ilvl w:val="0"/>
          <w:numId w:val="1017"/>
        </w:numPr>
        <w:pStyle w:val="Compact"/>
      </w:pPr>
      <w:r>
        <w:t xml:space="preserve">Default enterprise parameter sets: ML-KEM-768 and ML-DSA-65; elevate to Category 5 (ML-KEM-1024, ML-DSA-87) for NSS, high-assurance, and long-trust components.</w:t>
      </w:r>
    </w:p>
    <w:p>
      <w:pPr>
        <w:numPr>
          <w:ilvl w:val="0"/>
          <w:numId w:val="1017"/>
        </w:numPr>
        <w:pStyle w:val="Compact"/>
      </w:pPr>
      <w:r>
        <w:t xml:space="preserve">FN-DSA and HQC are contingency algorithms — monitor, do not block current deployment planning.</w:t>
      </w:r>
    </w:p>
    <w:p>
      <w:pPr>
        <w:numPr>
          <w:ilvl w:val="0"/>
          <w:numId w:val="1017"/>
        </w:numPr>
        <w:pStyle w:val="Compact"/>
      </w:pPr>
      <w:r>
        <w:t xml:space="preserve">Algorithm selection interacts with protocol sizes, PKI chains, infrastructure capacity, and validation availability — selection is not purely cryptographic.</w:t>
      </w:r>
    </w:p>
    <w:p>
      <w:pPr>
        <w:numPr>
          <w:ilvl w:val="0"/>
          <w:numId w:val="1017"/>
        </w:numPr>
        <w:pStyle w:val="Compact"/>
      </w:pPr>
      <w:r>
        <w:t xml:space="preserve">CNSA 2.0 creates dual-track requirements for defence industrial base enterprises; commercial and NSS workloads need separate matrix rows.</w:t>
      </w:r>
    </w:p>
    <w:p>
      <w:pPr>
        <w:numPr>
          <w:ilvl w:val="0"/>
          <w:numId w:val="1017"/>
        </w:numPr>
        <w:pStyle w:val="Compact"/>
      </w:pPr>
      <w:r>
        <w:t xml:space="preserve">International alignment (ISO, ETSI, IETF) references NIST selections for normative deployment formats.</w:t>
      </w:r>
    </w:p>
    <w:p>
      <w:pPr>
        <w:numPr>
          <w:ilvl w:val="0"/>
          <w:numId w:val="1017"/>
        </w:numPr>
        <w:pStyle w:val="Compact"/>
      </w:pPr>
      <w:r>
        <w:t xml:space="preserve">Application-layer key wrapping and KMS paths require equal policy attention to TLS endpoints.</w:t>
      </w:r>
    </w:p>
    <w:p>
      <w:pPr>
        <w:numPr>
          <w:ilvl w:val="0"/>
          <w:numId w:val="1017"/>
        </w:numPr>
        <w:pStyle w:val="Compact"/>
      </w:pPr>
      <w:r>
        <w:t xml:space="preserve">Standards horizon monitoring keeps policy aligned with IR 8547 finalisation and validation market maturity.</w:t>
      </w:r>
    </w:p>
    <w:p>
      <w:pPr>
        <w:pStyle w:val="FirstParagraph"/>
      </w:pPr>
      <w:r>
        <w:rPr>
          <w:bCs/>
          <w:b/>
        </w:rPr>
        <w:t xml:space="preserve">Closing note:</w:t>
      </w:r>
      <w:r>
        <w:t xml:space="preserve"> </w:t>
      </w:r>
      <w:r>
        <w:t xml:space="preserve">Chapter 4 equips architects to answer</w:t>
      </w:r>
      <w:r>
        <w:t xml:space="preserve"> </w:t>
      </w:r>
      <w:r>
        <w:rPr>
          <w:iCs/>
          <w:i/>
        </w:rPr>
        <w:t xml:space="preserve">which algorithms</w:t>
      </w:r>
      <w:r>
        <w:t xml:space="preserve"> </w:t>
      </w:r>
      <w:r>
        <w:t xml:space="preserve">and</w:t>
      </w:r>
      <w:r>
        <w:t xml:space="preserve"> </w:t>
      </w:r>
      <w:r>
        <w:rPr>
          <w:iCs/>
          <w:i/>
        </w:rPr>
        <w:t xml:space="preserve">which parameter sets</w:t>
      </w:r>
      <w:r>
        <w:t xml:space="preserve"> </w:t>
      </w:r>
      <w:r>
        <w:t xml:space="preserve">— under real validation and size constraints. Chapter 5 equips them to answer</w:t>
      </w:r>
      <w:r>
        <w:t xml:space="preserve"> </w:t>
      </w:r>
      <w:r>
        <w:rPr>
          <w:iCs/>
          <w:i/>
        </w:rPr>
        <w:t xml:space="preserve">when</w:t>
      </w:r>
      <w:r>
        <w:t xml:space="preserve"> </w:t>
      </w:r>
      <w:r>
        <w:t xml:space="preserve">and</w:t>
      </w:r>
      <w:r>
        <w:t xml:space="preserve"> </w:t>
      </w:r>
      <w:r>
        <w:rPr>
          <w:iCs/>
          <w:i/>
        </w:rPr>
        <w:t xml:space="preserve">under what hybrid rules</w:t>
      </w:r>
      <w:r>
        <w:t xml:space="preserve">. Chapter 6 equips them to answer</w:t>
      </w:r>
      <w:r>
        <w:t xml:space="preserve"> </w:t>
      </w:r>
      <w:r>
        <w:rPr>
          <w:iCs/>
          <w:i/>
        </w:rPr>
        <w:t xml:space="preserve">where defaults fail</w:t>
      </w:r>
      <w:r>
        <w:t xml:space="preserve">. Part III answers</w:t>
      </w:r>
      <w:r>
        <w:t xml:space="preserve"> </w:t>
      </w:r>
      <w:r>
        <w:rPr>
          <w:iCs/>
          <w:i/>
        </w:rPr>
        <w:t xml:space="preserve">where in the estate</w:t>
      </w:r>
      <w:r>
        <w:t xml:space="preserve"> </w:t>
      </w:r>
      <w:r>
        <w:t xml:space="preserve">those answers apply.</w:t>
      </w:r>
    </w:p>
    <w:p>
      <w:pPr>
        <w:pStyle w:val="BodyText"/>
      </w:pPr>
      <w:r>
        <w:rPr>
          <w:bCs/>
          <w:b/>
        </w:rPr>
        <w:t xml:space="preserve">Next:</w:t>
      </w:r>
      <w:r>
        <w:t xml:space="preserve"> </w:t>
      </w:r>
      <w:r>
        <w:t xml:space="preserve">Chapter 5 translates NIST IR 8547, CNSA 2.0, and allied national timelines into enterprise hybrid policy and the Hybrid Lifecycle Model.</w:t>
      </w:r>
    </w:p>
    <w:p>
      <w:r>
        <w:pict>
          <v:rect style="width:0;height:1.5pt" o:hralign="center" o:hrstd="t" o:hr="t"/>
        </w:pict>
      </w:r>
    </w:p>
    <w:p>
      <w:pPr>
        <w:pStyle w:val="FirstParagraph"/>
      </w:pPr>
      <w:r>
        <w:rPr>
          <w:iCs/>
          <w:i/>
        </w:rPr>
        <w:t xml:space="preserve">Chapter 4 — References</w:t>
      </w:r>
    </w:p>
    <w:p>
      <w:pPr>
        <w:numPr>
          <w:ilvl w:val="0"/>
          <w:numId w:val="1018"/>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18"/>
        </w:numPr>
        <w:pStyle w:val="Compact"/>
      </w:pPr>
      <w:r>
        <w:t xml:space="preserve">National Institute of Standards and Technology. (2019).</w:t>
      </w:r>
      <w:r>
        <w:t xml:space="preserve"> </w:t>
      </w:r>
      <w:r>
        <w:rPr>
          <w:iCs/>
          <w:i/>
        </w:rPr>
        <w:t xml:space="preserve">Status report on the second round of the NIST post-quantum cryptography standardization process</w:t>
      </w:r>
      <w:r>
        <w:t xml:space="preserve">. NIST IR 8309. https://doi.org/10.6028/NIST.IR.8309</w:t>
      </w:r>
    </w:p>
    <w:p>
      <w:pPr>
        <w:numPr>
          <w:ilvl w:val="0"/>
          <w:numId w:val="1018"/>
        </w:numPr>
        <w:pStyle w:val="Compact"/>
      </w:pPr>
      <w:r>
        <w:t xml:space="preserve">National Institute of Standards and Technology. (2024). FIPS 203: Module-lattice-based key-encapsulation mechanism standard. https://doi.org/10.6028/NIST.FIPS.203</w:t>
      </w:r>
    </w:p>
    <w:p>
      <w:pPr>
        <w:numPr>
          <w:ilvl w:val="0"/>
          <w:numId w:val="1018"/>
        </w:numPr>
        <w:pStyle w:val="Compact"/>
      </w:pPr>
      <w:r>
        <w:t xml:space="preserve">National Institute of Standards and Technology. (2024). FIPS 204: Module-lattice-based digital signature standard. https://doi.org/10.6028/NIST.FIPS.204</w:t>
      </w:r>
    </w:p>
    <w:p>
      <w:pPr>
        <w:numPr>
          <w:ilvl w:val="0"/>
          <w:numId w:val="1018"/>
        </w:numPr>
        <w:pStyle w:val="Compact"/>
      </w:pPr>
      <w:r>
        <w:t xml:space="preserve">National Institute of Standards and Technology. (2024). FIPS 205: Stateless hash-based digital signature standard. https://doi.org/10.6028/NIST.FIPS.205</w:t>
      </w:r>
    </w:p>
    <w:p>
      <w:pPr>
        <w:numPr>
          <w:ilvl w:val="0"/>
          <w:numId w:val="1018"/>
        </w:numPr>
        <w:pStyle w:val="Compact"/>
      </w:pPr>
      <w:r>
        <w:t xml:space="preserve">National Institute of Standards and Technology. (2020). NIST SP 800-131A: Transitioning the use of cryptographic algorithms and key lengths. https://doi.org/10.6028/NIST.SP.800-131A</w:t>
      </w:r>
    </w:p>
    <w:p>
      <w:pPr>
        <w:numPr>
          <w:ilvl w:val="0"/>
          <w:numId w:val="1018"/>
        </w:numPr>
        <w:pStyle w:val="Compact"/>
      </w:pPr>
      <w:r>
        <w:t xml:space="preserve">National Institute of Standards and Technology. (2024).</w:t>
      </w:r>
      <w:r>
        <w:t xml:space="preserve"> </w:t>
      </w:r>
      <w:r>
        <w:rPr>
          <w:iCs/>
          <w:i/>
        </w:rPr>
        <w:t xml:space="preserve">Post-quantum cryptography: NIST standards and ongoing projects</w:t>
      </w:r>
      <w:r>
        <w:t xml:space="preserve">. https://csrc.nist.gov/projects/post-quantum-cryptography</w:t>
      </w:r>
    </w:p>
    <w:p>
      <w:pPr>
        <w:numPr>
          <w:ilvl w:val="0"/>
          <w:numId w:val="1018"/>
        </w:numPr>
        <w:pStyle w:val="Compact"/>
      </w:pPr>
      <w:r>
        <w:t xml:space="preserve">National Institute of Standards and Technology. (2024).</w:t>
      </w:r>
      <w:r>
        <w:t xml:space="preserve"> </w:t>
      </w:r>
      <w:r>
        <w:rPr>
          <w:iCs/>
          <w:i/>
        </w:rPr>
        <w:t xml:space="preserve">Cryptographic module validation program (CMVP)</w:t>
      </w:r>
      <w:r>
        <w:t xml:space="preserve">. https://csrc.nist.gov/projects/cmvp</w:t>
      </w:r>
    </w:p>
    <w:p>
      <w:pPr>
        <w:numPr>
          <w:ilvl w:val="0"/>
          <w:numId w:val="1018"/>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8"/>
        </w:numPr>
        <w:pStyle w:val="Compact"/>
      </w:pPr>
      <w:r>
        <w:t xml:space="preserve">Internet Engineering Task Force. CFRG and TLS working group post-quantum specifications (standards-track documents at time of deployment).</w:t>
      </w:r>
    </w:p>
    <w:p>
      <w:r>
        <w:pict>
          <v:rect style="width:0;height:1.5pt" o:hralign="center" o:hrstd="t" o:hr="t"/>
        </w:pict>
      </w:r>
    </w:p>
    <w:p>
      <w:pPr>
        <w:pStyle w:val="FirstParagraph"/>
      </w:pPr>
      <w:r>
        <w:rPr>
          <w:iCs/>
          <w:i/>
        </w:rPr>
        <w:t xml:space="preserve">Proceed to Chapter 5: Transition Timelines and Hybrid Policy.</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2026-06-12T10:03:13Z</dcterms:created>
  <dcterms:modified xsi:type="dcterms:W3CDTF">2026-06-12T10:03:13Z</dcterms:modified>
</cp:coreProperties>
</file>

<file path=docProps/custom.xml><?xml version="1.0" encoding="utf-8"?>
<Properties xmlns="http://schemas.openxmlformats.org/officeDocument/2006/custom-properties" xmlns:vt="http://schemas.openxmlformats.org/officeDocument/2006/docPropsVTypes"/>
</file>