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5"/>
    <w:p>
      <w:pPr>
        <w:pStyle w:val="Heading1"/>
      </w:pPr>
      <w:r>
        <w:t xml:space="preserve">Chapter 5</w:t>
      </w:r>
    </w:p>
    <w:bookmarkEnd w:id="20"/>
    <w:bookmarkStart w:id="87" w:name="transition-timelines-and-hybrid-policy"/>
    <w:p>
      <w:pPr>
        <w:pStyle w:val="Heading1"/>
      </w:pPr>
      <w:r>
        <w:t xml:space="preserve">Transition Timelines and Hybrid Policy</w:t>
      </w:r>
    </w:p>
    <w:p>
      <w:r>
        <w:pict>
          <v:rect style="width:0;height:1.5pt" o:hralign="center" o:hrstd="t" o:hr="t"/>
        </w:pict>
      </w:r>
    </w:p>
    <w:p>
      <w:pPr>
        <w:pStyle w:val="FirstParagraph"/>
      </w:pPr>
      <w:r>
        <w:t xml:space="preserve">GlobalSync Logistics’ VP of Security Engineering, Marcus Chen, faced a board question in April 2025 that sounded simple and was not:</w:t>
      </w:r>
      <w:r>
        <w:t xml:space="preserve"> </w:t>
      </w:r>
      <w:r>
        <w:rPr>
          <w:iCs/>
          <w:i/>
        </w:rPr>
        <w:t xml:space="preserve">“</w:t>
      </w:r>
      <w:r>
        <w:rPr>
          <w:iCs/>
          <w:i/>
        </w:rPr>
        <w:t xml:space="preserve">When will GlobalSync be post-quantum compliant?</w:t>
      </w:r>
      <w:r>
        <w:rPr>
          <w:iCs/>
          <w:i/>
        </w:rPr>
        <w:t xml:space="preserve">”</w:t>
      </w:r>
    </w:p>
    <w:p>
      <w:pPr>
        <w:pStyle w:val="BodyText"/>
      </w:pPr>
      <w:r>
        <w:t xml:space="preserve">The board had read NIST’s 2035 disallowance date and assumed a single deadline. Marcus knew GlobalSync operated in forty countries with EU entities under DORA, US operations under state privacy and federal customer requirements, and Asia-Pacific tenants referencing ASD and Singapore CSA guidance. A single date would either be misleadingly optimistic or unnecessarily conservative.</w:t>
      </w:r>
    </w:p>
    <w:p>
      <w:pPr>
        <w:pStyle w:val="BodyText"/>
      </w:pPr>
      <w:r>
        <w:t xml:space="preserve">Marcus’s answer reframed the question:</w:t>
      </w:r>
      <w:r>
        <w:t xml:space="preserve"> </w:t>
      </w:r>
      <w:r>
        <w:rPr>
          <w:iCs/>
          <w:i/>
        </w:rPr>
        <w:t xml:space="preserve">“</w:t>
      </w:r>
      <w:r>
        <w:rPr>
          <w:iCs/>
          <w:i/>
        </w:rPr>
        <w:t xml:space="preserve">We will achieve NIST-aligned deprecation compliance for quantum-vulnerable public-key algorithms in externally facing services by 2030, disallowance by 2035, with NSS-elevated customer contracts on accelerated paths. Internal timelines are derived from our dependency graph — not copied from NIST press releases.</w:t>
      </w:r>
      <w:r>
        <w:rPr>
          <w:iCs/>
          <w:i/>
        </w:rPr>
        <w:t xml:space="preserve">”</w:t>
      </w:r>
    </w:p>
    <w:p>
      <w:pPr>
        <w:pStyle w:val="BodyText"/>
      </w:pPr>
      <w:r>
        <w:t xml:space="preserve">The board accepted a</w:t>
      </w:r>
      <w:r>
        <w:t xml:space="preserve"> </w:t>
      </w:r>
      <w:r>
        <w:rPr>
          <w:bCs/>
          <w:b/>
        </w:rPr>
        <w:t xml:space="preserve">timeline overlay</w:t>
      </w:r>
      <w:r>
        <w:t xml:space="preserve"> </w:t>
      </w:r>
      <w:r>
        <w:t xml:space="preserve">— multiple policy anchors mapped to a single programme with jurisdiction annotations. This chapter teaches how to build that overlay and the hybrid policy that governs the years between today’s estate and the PQC-native target state.</w:t>
      </w:r>
    </w:p>
    <w:p>
      <w:r>
        <w:pict>
          <v:rect style="width:0;height:1.5pt" o:hralign="center" o:hrstd="t" o:hr="t"/>
        </w:pict>
      </w:r>
    </w:p>
    <w:bookmarkStart w:id="21" w:name="Xbf06c975820d7ba7ab86608002b74add0f6a296"/>
    <w:p>
      <w:pPr>
        <w:pStyle w:val="Heading2"/>
      </w:pPr>
      <w:r>
        <w:t xml:space="preserve">5.1 From Standards Timelines to Enterprise Policy</w:t>
      </w:r>
    </w:p>
    <w:p>
      <w:pPr>
        <w:pStyle w:val="FirstParagraph"/>
      </w:pPr>
      <w:r>
        <w:t xml:space="preserve">NIST IR 8547, NSA CNSA 2.0, and national guidance from ASD, NCSC, and allied agencies provide</w:t>
      </w:r>
      <w:r>
        <w:t xml:space="preserve"> </w:t>
      </w:r>
      <w:r>
        <w:rPr>
          <w:bCs/>
          <w:b/>
        </w:rPr>
        <w:t xml:space="preserve">policy anchors</w:t>
      </w:r>
      <w:r>
        <w:t xml:space="preserve"> </w:t>
      </w:r>
      <w:r>
        <w:t xml:space="preserve">— dates and terminology that enterprises reference in cryptography policies, board reports, and regulatory evidence. They do not provide</w:t>
      </w:r>
      <w:r>
        <w:t xml:space="preserve"> </w:t>
      </w:r>
      <w:r>
        <w:rPr>
          <w:bCs/>
          <w:b/>
        </w:rPr>
        <w:t xml:space="preserve">migration schedules</w:t>
      </w:r>
      <w:r>
        <w:t xml:space="preserve">.</w:t>
      </w:r>
    </w:p>
    <w:p>
      <w:pPr>
        <w:pStyle w:val="BodyText"/>
      </w:pPr>
      <w:r>
        <w:t xml:space="preserve">The distinction is structural:</w:t>
      </w:r>
    </w:p>
    <w:tbl>
      <w:tblPr>
        <w:tblStyle w:val="Table"/>
        <w:tblW w:type="pct" w:w="5000"/>
        <w:tblLook w:firstRow="1" w:lastRow="0" w:firstColumn="0" w:lastColumn="0" w:noHBand="0" w:noVBand="0" w:val="0020"/>
        <w:jc w:val="start"/>
      </w:tblPr>
      <w:tblGrid>
        <w:gridCol w:w="3612"/>
        <w:gridCol w:w="4307"/>
      </w:tblGrid>
      <w:tr>
        <w:trPr>
          <w:tblHeader w:val="true"/>
        </w:trPr>
        <w:tc>
          <w:tcPr/>
          <w:p>
            <w:pPr>
              <w:pStyle w:val="Compact"/>
              <w:jc w:val="left"/>
            </w:pPr>
            <w:r>
              <w:t xml:space="preserve">Policy anchor (external)</w:t>
            </w:r>
          </w:p>
        </w:tc>
        <w:tc>
          <w:tcPr/>
          <w:p>
            <w:pPr>
              <w:pStyle w:val="Compact"/>
              <w:jc w:val="left"/>
            </w:pPr>
            <w:r>
              <w:t xml:space="preserve">Migration schedule (internal)</w:t>
            </w:r>
          </w:p>
        </w:tc>
      </w:tr>
      <w:tr>
        <w:tc>
          <w:tcPr/>
          <w:p>
            <w:pPr>
              <w:pStyle w:val="Compact"/>
              <w:jc w:val="left"/>
            </w:pPr>
            <w:r>
              <w:t xml:space="preserve">Published by standards or government body</w:t>
            </w:r>
          </w:p>
        </w:tc>
        <w:tc>
          <w:tcPr/>
          <w:p>
            <w:pPr>
              <w:pStyle w:val="Compact"/>
              <w:jc w:val="left"/>
            </w:pPr>
            <w:r>
              <w:t xml:space="preserve">Derived from CBOM, CDG, and TRADE analysis</w:t>
            </w:r>
          </w:p>
        </w:tc>
      </w:tr>
      <w:tr>
        <w:tc>
          <w:tcPr/>
          <w:p>
            <w:pPr>
              <w:pStyle w:val="Compact"/>
              <w:jc w:val="left"/>
            </w:pPr>
            <w:r>
              <w:t xml:space="preserve">Applies uniformly to all organisations in scope</w:t>
            </w:r>
          </w:p>
        </w:tc>
        <w:tc>
          <w:tcPr/>
          <w:p>
            <w:pPr>
              <w:pStyle w:val="Compact"/>
              <w:jc w:val="left"/>
            </w:pPr>
            <w:r>
              <w:t xml:space="preserve">Unique per enterprise estate topology</w:t>
            </w:r>
          </w:p>
        </w:tc>
      </w:tr>
      <w:tr>
        <w:tc>
          <w:tcPr/>
          <w:p>
            <w:pPr>
              <w:pStyle w:val="Compact"/>
              <w:jc w:val="left"/>
            </w:pPr>
            <w:r>
              <w:t xml:space="preserve">Uses deprecation/disallowance terminology</w:t>
            </w:r>
          </w:p>
        </w:tc>
        <w:tc>
          <w:tcPr/>
          <w:p>
            <w:pPr>
              <w:pStyle w:val="Compact"/>
              <w:jc w:val="left"/>
            </w:pPr>
            <w:r>
              <w:t xml:space="preserve">Uses migration waves, gates, and validation milestones</w:t>
            </w:r>
          </w:p>
        </w:tc>
      </w:tr>
      <w:tr>
        <w:tc>
          <w:tcPr/>
          <w:p>
            <w:pPr>
              <w:pStyle w:val="Compact"/>
              <w:jc w:val="left"/>
            </w:pPr>
            <w:r>
              <w:t xml:space="preserve">Updated when NIST/NSA revise guidance</w:t>
            </w:r>
          </w:p>
        </w:tc>
        <w:tc>
          <w:tcPr/>
          <w:p>
            <w:pPr>
              <w:pStyle w:val="Compact"/>
              <w:jc w:val="left"/>
            </w:pPr>
            <w:r>
              <w:t xml:space="preserve">Updated quarterly by programme office</w:t>
            </w:r>
          </w:p>
        </w:tc>
      </w:tr>
    </w:tbl>
    <w:p>
      <w:pPr>
        <w:pStyle w:val="BodyText"/>
      </w:pPr>
      <w:r>
        <w:t xml:space="preserve">Enterprises that copy NIST dates into project plans without dependency analysis produce schedules that fail on first contact with HSM vendor roadmaps. Enterprises that ignore NIST dates produce policies that fail supervisory review. The correct posture is</w:t>
      </w:r>
      <w:r>
        <w:t xml:space="preserve"> </w:t>
      </w:r>
      <w:r>
        <w:rPr>
          <w:bCs/>
          <w:b/>
        </w:rPr>
        <w:t xml:space="preserve">alignment without substitution</w:t>
      </w:r>
      <w:r>
        <w:t xml:space="preserve">: internal schedules derived from analysis, justified against external anchors.</w:t>
      </w:r>
    </w:p>
    <w:p>
      <w:pPr>
        <w:pStyle w:val="BodyText"/>
      </w:pPr>
      <w:r>
        <w:t xml:space="preserve">Part I established that migration timelines extend 5–15+ years for most enterprises (Campbell, 2025). Part II adds the standards vocabulary for</w:t>
      </w:r>
      <w:r>
        <w:t xml:space="preserve"> </w:t>
      </w:r>
      <w:r>
        <w:rPr>
          <w:bCs/>
          <w:b/>
        </w:rPr>
        <w:t xml:space="preserve">what</w:t>
      </w:r>
      <w:r>
        <w:t xml:space="preserve"> </w:t>
      </w:r>
      <w:r>
        <w:t xml:space="preserve">must be achieved by anchor dates. Part III will teach</w:t>
      </w:r>
      <w:r>
        <w:t xml:space="preserve"> </w:t>
      </w:r>
      <w:r>
        <w:rPr>
          <w:bCs/>
          <w:b/>
        </w:rPr>
        <w:t xml:space="preserve">how</w:t>
      </w:r>
      <w:r>
        <w:t xml:space="preserve"> </w:t>
      </w:r>
      <w:r>
        <w:t xml:space="preserve">to derive achievable schedules from inventory and dependency data.</w:t>
      </w:r>
    </w:p>
    <w:p>
      <w:r>
        <w:pict>
          <v:rect style="width:0;height:1.5pt" o:hralign="center" o:hrstd="t" o:hr="t"/>
        </w:pict>
      </w:r>
    </w:p>
    <w:bookmarkEnd w:id="21"/>
    <w:bookmarkStart w:id="25" w:name="Xf871c66d5dc55645582cad505faf8ff3d71bf4a"/>
    <w:p>
      <w:pPr>
        <w:pStyle w:val="Heading2"/>
      </w:pPr>
      <w:r>
        <w:t xml:space="preserve">5.2 NIST IR 8547: Deprecation and Disallowance</w:t>
      </w:r>
    </w:p>
    <w:p>
      <w:pPr>
        <w:pStyle w:val="FirstParagraph"/>
      </w:pPr>
      <w:r>
        <w:t xml:space="preserve">NIST’s Initial Public Draft of IR 8547 (November 2024;</w:t>
      </w:r>
      <w:r>
        <w:t xml:space="preserve"> </w:t>
      </w:r>
      <w:r>
        <w:rPr>
          <w:bCs/>
          <w:b/>
        </w:rPr>
        <w:t xml:space="preserve">subject to revision before final publication</w:t>
      </w:r>
      <w:r>
        <w:t xml:space="preserve">) articulates the expected transition for quantum-vulnerable public-key algorithms at the 112-bit security level — the category encompassing RSA-2048, finite-field DH-2048, and ECC P-256. Enterprise policies should reference IR 8547 as a</w:t>
      </w:r>
      <w:r>
        <w:t xml:space="preserve"> </w:t>
      </w:r>
      <w:r>
        <w:rPr>
          <w:bCs/>
          <w:b/>
        </w:rPr>
        <w:t xml:space="preserve">planning anchor</w:t>
      </w:r>
      <w:r>
        <w:t xml:space="preserve">, monitor NIST for final text, and avoid embedding draft language verbatim in contractual instruments without legal review.</w:t>
      </w:r>
    </w:p>
    <w:bookmarkStart w:id="22" w:name="key-definitions"/>
    <w:p>
      <w:pPr>
        <w:pStyle w:val="Heading3"/>
      </w:pPr>
      <w:r>
        <w:t xml:space="preserve">Key definitions</w:t>
      </w:r>
    </w:p>
    <w:p>
      <w:pPr>
        <w:pStyle w:val="FirstParagraph"/>
      </w:pPr>
      <w:r>
        <w:rPr>
          <w:bCs/>
          <w:b/>
        </w:rPr>
        <w:t xml:space="preserve">Deprecation</w:t>
      </w:r>
      <w:r>
        <w:t xml:space="preserve"> </w:t>
      </w:r>
      <w:r>
        <w:t xml:space="preserve">means an algorithm is no longer recommended for new applications. Continued use in existing systems may be permitted with</w:t>
      </w:r>
      <w:r>
        <w:t xml:space="preserve"> </w:t>
      </w:r>
      <w:r>
        <w:rPr>
          <w:bCs/>
          <w:b/>
        </w:rPr>
        <w:t xml:space="preserve">documented risk acceptance</w:t>
      </w:r>
      <w:r>
        <w:t xml:space="preserve"> </w:t>
      </w:r>
      <w:r>
        <w:t xml:space="preserve">during a transition period. Deprecation is not permission to ignore migration — it is recognition that immediate universal replacement is infeasible.</w:t>
      </w:r>
    </w:p>
    <w:p>
      <w:pPr>
        <w:pStyle w:val="BodyText"/>
      </w:pPr>
      <w:r>
        <w:rPr>
          <w:bCs/>
          <w:b/>
        </w:rPr>
        <w:t xml:space="preserve">Disallowance</w:t>
      </w:r>
      <w:r>
        <w:t xml:space="preserve"> </w:t>
      </w:r>
      <w:r>
        <w:t xml:space="preserve">means an algorithm is removed from approved use. Systems continuing to use disallowed algorithms are non-compliant with NIST-aligned policy. Disallowance is the target end state for quantum-vulnerable PKC in federal and NIST-referenced environments.</w:t>
      </w:r>
    </w:p>
    <w:bookmarkEnd w:id="22"/>
    <w:bookmarkStart w:id="23" w:name="timeline-anchors"/>
    <w:p>
      <w:pPr>
        <w:pStyle w:val="Heading3"/>
      </w:pPr>
      <w:r>
        <w:t xml:space="preserve">Timeline anchors</w:t>
      </w:r>
    </w:p>
    <w:tbl>
      <w:tblPr>
        <w:tblStyle w:val="Table"/>
        <w:tblW w:type="pct" w:w="5000"/>
        <w:tblLook w:firstRow="1" w:lastRow="0" w:firstColumn="0" w:lastColumn="0" w:noHBand="0" w:noVBand="0" w:val="0020"/>
        <w:jc w:val="start"/>
      </w:tblPr>
      <w:tblGrid>
        <w:gridCol w:w="1555"/>
        <w:gridCol w:w="2970"/>
        <w:gridCol w:w="3394"/>
      </w:tblGrid>
      <w:tr>
        <w:trPr>
          <w:tblHeader w:val="true"/>
        </w:trPr>
        <w:tc>
          <w:tcPr/>
          <w:p>
            <w:pPr>
              <w:pStyle w:val="Compact"/>
              <w:jc w:val="left"/>
            </w:pPr>
            <w:r>
              <w:t xml:space="preserve">Milestone</w:t>
            </w:r>
          </w:p>
        </w:tc>
        <w:tc>
          <w:tcPr/>
          <w:p>
            <w:pPr>
              <w:pStyle w:val="Compact"/>
              <w:jc w:val="left"/>
            </w:pPr>
            <w:r>
              <w:t xml:space="preserve">Target (IR 8547 IPD)</w:t>
            </w:r>
          </w:p>
        </w:tc>
        <w:tc>
          <w:tcPr/>
          <w:p>
            <w:pPr>
              <w:pStyle w:val="Compact"/>
              <w:jc w:val="left"/>
            </w:pPr>
            <w:r>
              <w:t xml:space="preserve">Enterprise implication</w:t>
            </w:r>
          </w:p>
        </w:tc>
      </w:tr>
      <w:tr>
        <w:tc>
          <w:tcPr/>
          <w:p>
            <w:pPr>
              <w:pStyle w:val="Compact"/>
              <w:jc w:val="left"/>
            </w:pPr>
            <w:r>
              <w:t xml:space="preserve">PQC standards available</w:t>
            </w:r>
          </w:p>
        </w:tc>
        <w:tc>
          <w:tcPr/>
          <w:p>
            <w:pPr>
              <w:pStyle w:val="Compact"/>
              <w:jc w:val="left"/>
            </w:pPr>
            <w:r>
              <w:t xml:space="preserve">August 2024 (achieved)</w:t>
            </w:r>
          </w:p>
        </w:tc>
        <w:tc>
          <w:tcPr/>
          <w:p>
            <w:pPr>
              <w:pStyle w:val="Compact"/>
              <w:jc w:val="left"/>
            </w:pPr>
            <w:r>
              <w:t xml:space="preserve">Algorithm policy can reference FIPS 203–205</w:t>
            </w:r>
          </w:p>
        </w:tc>
      </w:tr>
      <w:tr>
        <w:tc>
          <w:tcPr/>
          <w:p>
            <w:pPr>
              <w:pStyle w:val="Compact"/>
              <w:jc w:val="left"/>
            </w:pPr>
            <w:r>
              <w:t xml:space="preserve">Deprecation of quantum-vulnerable PKC (112-bit)</w:t>
            </w:r>
          </w:p>
        </w:tc>
        <w:tc>
          <w:tcPr/>
          <w:p>
            <w:pPr>
              <w:pStyle w:val="Compact"/>
              <w:jc w:val="left"/>
            </w:pPr>
            <w:r>
              <w:t xml:space="preserve">After 2030</w:t>
            </w:r>
          </w:p>
        </w:tc>
        <w:tc>
          <w:tcPr/>
          <w:p>
            <w:pPr>
              <w:pStyle w:val="Compact"/>
              <w:jc w:val="left"/>
            </w:pPr>
            <w:r>
              <w:t xml:space="preserve">New deployments should use PQC; legacy requires risk acceptance</w:t>
            </w:r>
          </w:p>
        </w:tc>
      </w:tr>
      <w:tr>
        <w:tc>
          <w:tcPr/>
          <w:p>
            <w:pPr>
              <w:pStyle w:val="Compact"/>
              <w:jc w:val="left"/>
            </w:pPr>
            <w:r>
              <w:t xml:space="preserve">Disallowance of quantum-vulnerable PKC</w:t>
            </w:r>
          </w:p>
        </w:tc>
        <w:tc>
          <w:tcPr/>
          <w:p>
            <w:pPr>
              <w:pStyle w:val="Compact"/>
              <w:jc w:val="left"/>
            </w:pPr>
            <w:r>
              <w:t xml:space="preserve">After 2035</w:t>
            </w:r>
          </w:p>
        </w:tc>
        <w:tc>
          <w:tcPr/>
          <w:p>
            <w:pPr>
              <w:pStyle w:val="Compact"/>
              <w:jc w:val="left"/>
            </w:pPr>
            <w:r>
              <w:t xml:space="preserve">No quantum-vulnerable PKC in compliant systems</w:t>
            </w:r>
          </w:p>
        </w:tc>
      </w:tr>
    </w:tbl>
    <w:p>
      <w:pPr>
        <w:pStyle w:val="BodyText"/>
      </w:pPr>
      <w:r>
        <w:t xml:space="preserve">These dates inform revisions to SP 800-131A and related NIST transition documents. Federal contractors, FedRAMP-authorised cloud providers, and enterprises whose auditors reference NIST guidance will encounter them as</w:t>
      </w:r>
      <w:r>
        <w:t xml:space="preserve"> </w:t>
      </w:r>
      <w:r>
        <w:rPr>
          <w:bCs/>
          <w:b/>
        </w:rPr>
        <w:t xml:space="preserve">de facto compliance milestones</w:t>
      </w:r>
      <w:r>
        <w:t xml:space="preserve"> </w:t>
      </w:r>
      <w:r>
        <w:t xml:space="preserve">— regardless of whether the enterprise is legally bound by federal regulation.</w:t>
      </w:r>
    </w:p>
    <w:p>
      <w:pPr>
        <w:pStyle w:val="BlockText"/>
      </w:pPr>
      <w:r>
        <w:rPr>
          <w:bCs/>
          <w:b/>
        </w:rPr>
        <w:t xml:space="preserve">Migration Moment</w:t>
      </w:r>
    </w:p>
    <w:p>
      <w:pPr>
        <w:pStyle w:val="BlockText"/>
      </w:pPr>
      <w:r>
        <w:rPr>
          <w:iCs/>
          <w:i/>
        </w:rPr>
        <w:t xml:space="preserve">“</w:t>
      </w:r>
      <w:r>
        <w:rPr>
          <w:iCs/>
          <w:i/>
        </w:rPr>
        <w:t xml:space="preserve">2035 is nine years away. We have plenty of time.</w:t>
      </w:r>
      <w:r>
        <w:rPr>
          <w:iCs/>
          <w:i/>
        </w:rPr>
        <w:t xml:space="preserve">”</w:t>
      </w:r>
    </w:p>
    <w:p>
      <w:pPr>
        <w:pStyle w:val="BlockText"/>
      </w:pPr>
      <w:r>
        <w:t xml:space="preserve">Nine years is the</w:t>
      </w:r>
      <w:r>
        <w:t xml:space="preserve"> </w:t>
      </w:r>
      <w:r>
        <w:rPr>
          <w:bCs/>
          <w:b/>
        </w:rPr>
        <w:t xml:space="preserve">disallowance anchor</w:t>
      </w:r>
      <w:r>
        <w:t xml:space="preserve"> </w:t>
      </w:r>
      <w:r>
        <w:t xml:space="preserve">for final quantum-vulnerable algorithm retirement — not the time available before programme work completes. Inventory, dependency resolution, vendor validation, partner coordination, and hybrid interim deployment consume most of the horizon. Campbell’s 2025 analysis estimates 8–15+ years for large-enterprise migration under baseline assumptions. Enterprises beginning discovery in 2030 will not achieve disallowance compliance by 2035.</w:t>
      </w:r>
    </w:p>
    <w:bookmarkEnd w:id="23"/>
    <w:bookmarkStart w:id="24" w:name="risk-acceptance-under-deprecation"/>
    <w:p>
      <w:pPr>
        <w:pStyle w:val="Heading3"/>
      </w:pPr>
      <w:r>
        <w:t xml:space="preserve">Risk acceptance under deprecation</w:t>
      </w:r>
    </w:p>
    <w:p>
      <w:pPr>
        <w:pStyle w:val="FirstParagraph"/>
      </w:pPr>
      <w:r>
        <w:t xml:space="preserve">During the deprecation period, enterprises may operate quantum-vulnerable algorithms on specific systems with documented risk acceptance. Risk acceptance is not a waiver of migration obligation — it is a</w:t>
      </w:r>
      <w:r>
        <w:t xml:space="preserve"> </w:t>
      </w:r>
      <w:r>
        <w:rPr>
          <w:bCs/>
          <w:b/>
        </w:rPr>
        <w:t xml:space="preserve">time-bounded exception</w:t>
      </w:r>
      <w:r>
        <w:t xml:space="preserve"> </w:t>
      </w:r>
      <w:r>
        <w:t xml:space="preserve">requiring:</w:t>
      </w:r>
    </w:p>
    <w:p>
      <w:pPr>
        <w:numPr>
          <w:ilvl w:val="0"/>
          <w:numId w:val="1001"/>
        </w:numPr>
        <w:pStyle w:val="Compact"/>
      </w:pPr>
      <w:r>
        <w:t xml:space="preserve">System identification in the CBOM with quantum-vulnerable flag</w:t>
      </w:r>
    </w:p>
    <w:p>
      <w:pPr>
        <w:numPr>
          <w:ilvl w:val="0"/>
          <w:numId w:val="1001"/>
        </w:numPr>
        <w:pStyle w:val="Compact"/>
      </w:pPr>
      <w:r>
        <w:t xml:space="preserve">TRADE scoring demonstrating why migration cannot complete before deprecation</w:t>
      </w:r>
    </w:p>
    <w:p>
      <w:pPr>
        <w:numPr>
          <w:ilvl w:val="0"/>
          <w:numId w:val="1001"/>
        </w:numPr>
        <w:pStyle w:val="Compact"/>
      </w:pPr>
      <w:r>
        <w:t xml:space="preserve">Blocking dependency documentation (CDG reference)</w:t>
      </w:r>
    </w:p>
    <w:p>
      <w:pPr>
        <w:numPr>
          <w:ilvl w:val="0"/>
          <w:numId w:val="1001"/>
        </w:numPr>
        <w:pStyle w:val="Compact"/>
      </w:pPr>
      <w:r>
        <w:t xml:space="preserve">Named owner and review date (maximum twelve months)</w:t>
      </w:r>
    </w:p>
    <w:p>
      <w:pPr>
        <w:numPr>
          <w:ilvl w:val="0"/>
          <w:numId w:val="1001"/>
        </w:numPr>
        <w:pStyle w:val="Compact"/>
      </w:pPr>
      <w:r>
        <w:t xml:space="preserve">CISO or delegated authority approval</w:t>
      </w:r>
    </w:p>
    <w:p>
      <w:pPr>
        <w:pStyle w:val="FirstParagraph"/>
      </w:pPr>
      <w:r>
        <w:t xml:space="preserve">Meridian’s risk acceptance template required supervisory-notification assessment for systems holding regulated financial data — ensuring legal review before exceptions entered audit evidence.</w:t>
      </w:r>
    </w:p>
    <w:p>
      <w:r>
        <w:pict>
          <v:rect style="width:0;height:1.5pt" o:hralign="center" o:hrstd="t" o:hr="t"/>
        </w:pict>
      </w:r>
    </w:p>
    <w:bookmarkEnd w:id="24"/>
    <w:bookmarkEnd w:id="25"/>
    <w:bookmarkStart w:id="26" w:name="cnsa-2.0-milestones"/>
    <w:p>
      <w:pPr>
        <w:pStyle w:val="Heading2"/>
      </w:pPr>
      <w:r>
        <w:t xml:space="preserve">5.3 CNSA 2.0 Milestones</w:t>
      </w:r>
    </w:p>
    <w:p>
      <w:pPr>
        <w:pStyle w:val="FirstParagraph"/>
      </w:pPr>
      <w:r>
        <w:t xml:space="preserve">NSA’s Commercial National Security Algorithm Suite 2.0 imposes binding requirements for National Security Systems and influences defence industrial base contractors through CMMC, FedRAMP, and contract flow-down.</w:t>
      </w:r>
    </w:p>
    <w:p>
      <w:pPr>
        <w:pStyle w:val="BodyText"/>
      </w:pPr>
      <w:r>
        <w:rPr>
          <w:bCs/>
          <w:b/>
        </w:rPr>
        <w:t xml:space="preserve">Table 5.1 — CNSA 2.0 Milestone Summary</w:t>
      </w:r>
    </w:p>
    <w:tbl>
      <w:tblPr>
        <w:tblStyle w:val="Table"/>
        <w:tblW w:type="pct" w:w="5000"/>
        <w:tblLook w:firstRow="1" w:lastRow="0" w:firstColumn="0" w:lastColumn="0" w:noHBand="0" w:noVBand="0" w:val="0020"/>
        <w:jc w:val="start"/>
      </w:tblPr>
      <w:tblGrid>
        <w:gridCol w:w="2501"/>
        <w:gridCol w:w="5418"/>
      </w:tblGrid>
      <w:tr>
        <w:trPr>
          <w:tblHeader w:val="true"/>
        </w:trPr>
        <w:tc>
          <w:tcPr/>
          <w:p>
            <w:pPr>
              <w:pStyle w:val="Compact"/>
              <w:jc w:val="left"/>
            </w:pPr>
            <w:r>
              <w:t xml:space="preserve">Date</w:t>
            </w:r>
          </w:p>
        </w:tc>
        <w:tc>
          <w:tcPr/>
          <w:p>
            <w:pPr>
              <w:pStyle w:val="Compact"/>
              <w:jc w:val="left"/>
            </w:pPr>
            <w:r>
              <w:t xml:space="preserve">Requirement</w:t>
            </w:r>
          </w:p>
        </w:tc>
      </w:tr>
      <w:tr>
        <w:tc>
          <w:tcPr/>
          <w:p>
            <w:pPr>
              <w:pStyle w:val="Compact"/>
              <w:jc w:val="left"/>
            </w:pPr>
            <w:r>
              <w:t xml:space="preserve">2025</w:t>
            </w:r>
          </w:p>
        </w:tc>
        <w:tc>
          <w:tcPr/>
          <w:p>
            <w:pPr>
              <w:pStyle w:val="Compact"/>
              <w:jc w:val="left"/>
            </w:pPr>
            <w:r>
              <w:t xml:space="preserve">CNSA 2.0 algorithms approved for use in NSS</w:t>
            </w:r>
          </w:p>
        </w:tc>
      </w:tr>
      <w:tr>
        <w:tc>
          <w:tcPr/>
          <w:p>
            <w:pPr>
              <w:pStyle w:val="Compact"/>
              <w:jc w:val="left"/>
            </w:pPr>
            <w:r>
              <w:t xml:space="preserve">2025–2027</w:t>
            </w:r>
          </w:p>
        </w:tc>
        <w:tc>
          <w:tcPr/>
          <w:p>
            <w:pPr>
              <w:pStyle w:val="Compact"/>
              <w:jc w:val="left"/>
            </w:pPr>
            <w:r>
              <w:t xml:space="preserve">Transition planning; CNSA 1.0 phased out</w:t>
            </w:r>
          </w:p>
        </w:tc>
      </w:tr>
      <w:tr>
        <w:tc>
          <w:tcPr/>
          <w:p>
            <w:pPr>
              <w:pStyle w:val="Compact"/>
              <w:jc w:val="left"/>
            </w:pPr>
            <w:r>
              <w:t xml:space="preserve">2027</w:t>
            </w:r>
          </w:p>
        </w:tc>
        <w:tc>
          <w:tcPr/>
          <w:p>
            <w:pPr>
              <w:pStyle w:val="Compact"/>
              <w:jc w:val="left"/>
            </w:pPr>
            <w:r>
              <w:t xml:space="preserve">New NSS acquisitions must support CNSA 2.0</w:t>
            </w:r>
          </w:p>
        </w:tc>
      </w:tr>
      <w:tr>
        <w:tc>
          <w:tcPr/>
          <w:p>
            <w:pPr>
              <w:pStyle w:val="Compact"/>
              <w:jc w:val="left"/>
            </w:pPr>
            <w:r>
              <w:t xml:space="preserve">2030</w:t>
            </w:r>
          </w:p>
        </w:tc>
        <w:tc>
          <w:tcPr/>
          <w:p>
            <w:pPr>
              <w:pStyle w:val="Compact"/>
              <w:jc w:val="left"/>
            </w:pPr>
            <w:r>
              <w:t xml:space="preserve">PQC firmware signing required; networking products CNSA 2.0 compliant</w:t>
            </w:r>
          </w:p>
        </w:tc>
      </w:tr>
      <w:tr>
        <w:tc>
          <w:tcPr/>
          <w:p>
            <w:pPr>
              <w:pStyle w:val="Compact"/>
              <w:jc w:val="left"/>
            </w:pPr>
            <w:r>
              <w:t xml:space="preserve">2033</w:t>
            </w:r>
          </w:p>
        </w:tc>
        <w:tc>
          <w:tcPr/>
          <w:p>
            <w:pPr>
              <w:pStyle w:val="Compact"/>
              <w:jc w:val="left"/>
            </w:pPr>
            <w:r>
              <w:t xml:space="preserve">Most NSS platforms migrated</w:t>
            </w:r>
          </w:p>
        </w:tc>
      </w:tr>
      <w:tr>
        <w:tc>
          <w:tcPr/>
          <w:p>
            <w:pPr>
              <w:pStyle w:val="Compact"/>
              <w:jc w:val="left"/>
            </w:pPr>
            <w:r>
              <w:t xml:space="preserve">2035</w:t>
            </w:r>
          </w:p>
        </w:tc>
        <w:tc>
          <w:tcPr/>
          <w:p>
            <w:pPr>
              <w:pStyle w:val="Compact"/>
              <w:jc w:val="left"/>
            </w:pPr>
            <w:r>
              <w:t xml:space="preserve">Full NSS migration complete</w:t>
            </w:r>
          </w:p>
        </w:tc>
      </w:tr>
    </w:tbl>
    <w:p>
      <w:pPr>
        <w:pStyle w:val="BodyText"/>
      </w:pPr>
      <w:r>
        <w:t xml:space="preserve">CNSA 2.0 mandates ML-KEM-1024, ML-DSA-87, and SLH-DSA — the Category 5 parameter profile. Apex Defense Technologies treats CNSA dates as</w:t>
      </w:r>
      <w:r>
        <w:t xml:space="preserve"> </w:t>
      </w:r>
      <w:r>
        <w:rPr>
          <w:bCs/>
          <w:b/>
        </w:rPr>
        <w:t xml:space="preserve">floors</w:t>
      </w:r>
      <w:r>
        <w:t xml:space="preserve"> </w:t>
      </w:r>
      <w:r>
        <w:t xml:space="preserve">for NSS workloads: internal schedules may be more aggressive where ecosystem readiness permits, but not less aggressive without waiver authority.</w:t>
      </w:r>
    </w:p>
    <w:p>
      <w:pPr>
        <w:pStyle w:val="BodyText"/>
      </w:pPr>
      <w:r>
        <w:t xml:space="preserve">Commercial IT within defence enterprises follows NIST IR 8547 unless contract flow-down elevates specific programmes. The dual-track overlay — introduced in Chapters 3 and 4 — is the operational pattern, not an optional simplification.</w:t>
      </w:r>
    </w:p>
    <w:p>
      <w:r>
        <w:pict>
          <v:rect style="width:0;height:1.5pt" o:hralign="center" o:hrstd="t" o:hr="t"/>
        </w:pict>
      </w:r>
    </w:p>
    <w:bookmarkEnd w:id="26"/>
    <w:bookmarkStart w:id="27" w:name="allied-national-timelines"/>
    <w:p>
      <w:pPr>
        <w:pStyle w:val="Heading2"/>
      </w:pPr>
      <w:r>
        <w:t xml:space="preserve">5.4 Allied National Timelines</w:t>
      </w:r>
    </w:p>
    <w:p>
      <w:pPr>
        <w:pStyle w:val="FirstParagraph"/>
      </w:pPr>
      <w:r>
        <w:t xml:space="preserve">Enterprises operating outside the US federal context still encounter NIST-influenced timelines through auditors, customers, and international alignment. National agencies publish complementary guidance:</w:t>
      </w:r>
    </w:p>
    <w:p>
      <w:pPr>
        <w:pStyle w:val="BodyText"/>
      </w:pPr>
      <w:r>
        <w:rPr>
          <w:bCs/>
          <w:b/>
        </w:rPr>
        <w:t xml:space="preserve">Table 5.2 — National Timeline Comparison (Planning Reference)</w:t>
      </w:r>
    </w:p>
    <w:p>
      <w:pPr>
        <w:pStyle w:val="BodyText"/>
      </w:pPr>
      <w:r>
        <w:rPr>
          <w:iCs/>
          <w:i/>
        </w:rPr>
        <w:t xml:space="preserve">Extends Chapter 3 Table 3.4 with enterprise planning columns. Regulatory instrument detail remains in Chapter 3; this table supports timeline policy derivation.</w:t>
      </w:r>
    </w:p>
    <w:tbl>
      <w:tblPr>
        <w:tblStyle w:val="Table"/>
        <w:tblW w:type="pct" w:w="5000"/>
        <w:tblLook w:firstRow="1" w:lastRow="0" w:firstColumn="0" w:lastColumn="0" w:noHBand="0" w:noVBand="0" w:val="0020"/>
        <w:jc w:val="start"/>
      </w:tblPr>
      <w:tblGrid>
        <w:gridCol w:w="1210"/>
        <w:gridCol w:w="2090"/>
        <w:gridCol w:w="2310"/>
        <w:gridCol w:w="2310"/>
      </w:tblGrid>
      <w:tr>
        <w:trPr>
          <w:tblHeader w:val="true"/>
        </w:trPr>
        <w:tc>
          <w:tcPr/>
          <w:p>
            <w:pPr>
              <w:pStyle w:val="Compact"/>
              <w:jc w:val="left"/>
            </w:pPr>
            <w:r>
              <w:t xml:space="preserve">Authority</w:t>
            </w:r>
          </w:p>
        </w:tc>
        <w:tc>
          <w:tcPr/>
          <w:p>
            <w:pPr>
              <w:pStyle w:val="Compact"/>
              <w:jc w:val="left"/>
            </w:pPr>
            <w:r>
              <w:t xml:space="preserve">Discovery/planning</w:t>
            </w:r>
          </w:p>
        </w:tc>
        <w:tc>
          <w:tcPr/>
          <w:p>
            <w:pPr>
              <w:pStyle w:val="Compact"/>
              <w:jc w:val="left"/>
            </w:pPr>
            <w:r>
              <w:t xml:space="preserve">Deprecation posture</w:t>
            </w:r>
          </w:p>
        </w:tc>
        <w:tc>
          <w:tcPr/>
          <w:p>
            <w:pPr>
              <w:pStyle w:val="Compact"/>
              <w:jc w:val="left"/>
            </w:pPr>
            <w:r>
              <w:t xml:space="preserve">Disallowance/target</w:t>
            </w:r>
          </w:p>
        </w:tc>
      </w:tr>
      <w:tr>
        <w:tc>
          <w:tcPr/>
          <w:p>
            <w:pPr>
              <w:pStyle w:val="Compact"/>
              <w:jc w:val="left"/>
            </w:pPr>
            <w:r>
              <w:t xml:space="preserve">NIST IR 8547</w:t>
            </w:r>
          </w:p>
        </w:tc>
        <w:tc>
          <w:tcPr/>
          <w:p>
            <w:pPr>
              <w:pStyle w:val="Compact"/>
              <w:jc w:val="left"/>
            </w:pPr>
            <w:r>
              <w:t xml:space="preserve">Now (standards final)</w:t>
            </w:r>
          </w:p>
        </w:tc>
        <w:tc>
          <w:tcPr/>
          <w:p>
            <w:pPr>
              <w:pStyle w:val="Compact"/>
              <w:jc w:val="left"/>
            </w:pPr>
            <w:r>
              <w:t xml:space="preserve">Post-2030</w:t>
            </w:r>
          </w:p>
        </w:tc>
        <w:tc>
          <w:tcPr/>
          <w:p>
            <w:pPr>
              <w:pStyle w:val="Compact"/>
              <w:jc w:val="left"/>
            </w:pPr>
            <w:r>
              <w:t xml:space="preserve">Post-2035</w:t>
            </w:r>
          </w:p>
        </w:tc>
      </w:tr>
      <w:tr>
        <w:tc>
          <w:tcPr/>
          <w:p>
            <w:pPr>
              <w:pStyle w:val="Compact"/>
              <w:jc w:val="left"/>
            </w:pPr>
            <w:r>
              <w:t xml:space="preserve">NSA CNSA 2.0</w:t>
            </w:r>
          </w:p>
        </w:tc>
        <w:tc>
          <w:tcPr/>
          <w:p>
            <w:pPr>
              <w:pStyle w:val="Compact"/>
              <w:jc w:val="left"/>
            </w:pPr>
            <w:r>
              <w:t xml:space="preserve">2025–2027</w:t>
            </w:r>
          </w:p>
        </w:tc>
        <w:tc>
          <w:tcPr/>
          <w:p>
            <w:pPr>
              <w:pStyle w:val="Compact"/>
              <w:jc w:val="left"/>
            </w:pPr>
            <w:r>
              <w:t xml:space="preserve">2030 (firmware, networking)</w:t>
            </w:r>
          </w:p>
        </w:tc>
        <w:tc>
          <w:tcPr/>
          <w:p>
            <w:pPr>
              <w:pStyle w:val="Compact"/>
              <w:jc w:val="left"/>
            </w:pPr>
            <w:r>
              <w:t xml:space="preserve">2035 (full NSS)</w:t>
            </w:r>
          </w:p>
        </w:tc>
      </w:tr>
      <w:tr>
        <w:tc>
          <w:tcPr/>
          <w:p>
            <w:pPr>
              <w:pStyle w:val="Compact"/>
              <w:jc w:val="left"/>
            </w:pPr>
            <w:r>
              <w:t xml:space="preserve">UK NCSC</w:t>
            </w:r>
          </w:p>
        </w:tc>
        <w:tc>
          <w:tcPr/>
          <w:p>
            <w:pPr>
              <w:pStyle w:val="Compact"/>
              <w:jc w:val="left"/>
            </w:pPr>
            <w:r>
              <w:t xml:space="preserve">By 2028</w:t>
            </w:r>
          </w:p>
        </w:tc>
        <w:tc>
          <w:tcPr/>
          <w:p>
            <w:pPr>
              <w:pStyle w:val="Compact"/>
              <w:jc w:val="left"/>
            </w:pPr>
            <w:r>
              <w:t xml:space="preserve">Migration execution 2028–2035</w:t>
            </w:r>
          </w:p>
        </w:tc>
        <w:tc>
          <w:tcPr/>
          <w:p>
            <w:pPr>
              <w:pStyle w:val="Compact"/>
              <w:jc w:val="left"/>
            </w:pPr>
            <w:r>
              <w:t xml:space="preserve">2035 alignment</w:t>
            </w:r>
          </w:p>
        </w:tc>
      </w:tr>
      <w:tr>
        <w:tc>
          <w:tcPr/>
          <w:p>
            <w:pPr>
              <w:pStyle w:val="Compact"/>
              <w:jc w:val="left"/>
            </w:pPr>
            <w:r>
              <w:t xml:space="preserve">Australian ASD</w:t>
            </w:r>
          </w:p>
        </w:tc>
        <w:tc>
          <w:tcPr/>
          <w:p>
            <w:pPr>
              <w:pStyle w:val="Compact"/>
              <w:jc w:val="left"/>
            </w:pPr>
            <w:r>
              <w:t xml:space="preserve">Now</w:t>
            </w:r>
          </w:p>
        </w:tc>
        <w:tc>
          <w:tcPr/>
          <w:p>
            <w:pPr>
              <w:pStyle w:val="Compact"/>
              <w:jc w:val="left"/>
            </w:pPr>
            <w:r>
              <w:t xml:space="preserve">Cease traditional asymmetric crypto by 2030</w:t>
            </w:r>
          </w:p>
        </w:tc>
        <w:tc>
          <w:tcPr/>
          <w:p>
            <w:pPr>
              <w:pStyle w:val="Compact"/>
              <w:jc w:val="left"/>
            </w:pPr>
            <w:r>
              <w:t xml:space="preserve">2035 ecosystem</w:t>
            </w:r>
          </w:p>
        </w:tc>
      </w:tr>
      <w:tr>
        <w:tc>
          <w:tcPr/>
          <w:p>
            <w:pPr>
              <w:pStyle w:val="Compact"/>
              <w:jc w:val="left"/>
            </w:pPr>
            <w:r>
              <w:t xml:space="preserve">EU (DORA/NIS2)</w:t>
            </w:r>
          </w:p>
        </w:tc>
        <w:tc>
          <w:tcPr/>
          <w:p>
            <w:pPr>
              <w:pStyle w:val="Compact"/>
              <w:jc w:val="left"/>
            </w:pPr>
            <w:r>
              <w:t xml:space="preserve">State of the art now</w:t>
            </w:r>
          </w:p>
        </w:tc>
        <w:tc>
          <w:tcPr/>
          <w:p>
            <w:pPr>
              <w:pStyle w:val="Compact"/>
              <w:jc w:val="left"/>
            </w:pPr>
            <w:r>
              <w:t xml:space="preserve">No fixed EU-wide date</w:t>
            </w:r>
          </w:p>
        </w:tc>
        <w:tc>
          <w:tcPr/>
          <w:p>
            <w:pPr>
              <w:pStyle w:val="Compact"/>
              <w:jc w:val="left"/>
            </w:pPr>
            <w:r>
              <w:t xml:space="preserve">Supervisory expectation</w:t>
            </w:r>
          </w:p>
        </w:tc>
      </w:tr>
    </w:tbl>
    <w:p>
      <w:pPr>
        <w:pStyle w:val="BodyText"/>
      </w:pPr>
      <w:r>
        <w:t xml:space="preserve">No single row governs a multinational enterprise. GlobalSync’s regulatory overlay matrix (Chapter 3) tags each programme artefact with applicable anchors per jurisdiction. The</w:t>
      </w:r>
      <w:r>
        <w:t xml:space="preserve"> </w:t>
      </w:r>
      <w:r>
        <w:rPr>
          <w:bCs/>
          <w:b/>
        </w:rPr>
        <w:t xml:space="preserve">most aggressive applicable anchor</w:t>
      </w:r>
      <w:r>
        <w:t xml:space="preserve"> </w:t>
      </w:r>
      <w:r>
        <w:t xml:space="preserve">in each jurisdiction sets the planning floor — not the most permissive.</w:t>
      </w:r>
    </w:p>
    <w:p>
      <w:r>
        <w:pict>
          <v:rect style="width:0;height:1.5pt" o:hralign="center" o:hrstd="t" o:hr="t"/>
        </w:pict>
      </w:r>
    </w:p>
    <w:bookmarkEnd w:id="27"/>
    <w:bookmarkStart w:id="33" w:name="deriving-internal-timelines"/>
    <w:p>
      <w:pPr>
        <w:pStyle w:val="Heading2"/>
      </w:pPr>
      <w:r>
        <w:t xml:space="preserve">5.5 Deriving Internal Timelines</w:t>
      </w:r>
    </w:p>
    <w:p>
      <w:pPr>
        <w:pStyle w:val="FirstParagraph"/>
      </w:pPr>
      <w:r>
        <w:t xml:space="preserve">Internal migration timelines are outputs of programme analysis, not inputs from standards documents. The derivation process:</w:t>
      </w:r>
    </w:p>
    <w:bookmarkStart w:id="28" w:name="step-1-cbom-baseline"/>
    <w:p>
      <w:pPr>
        <w:pStyle w:val="Heading3"/>
      </w:pPr>
      <w:r>
        <w:t xml:space="preserve">Step 1: CBOM baseline</w:t>
      </w:r>
    </w:p>
    <w:p>
      <w:pPr>
        <w:pStyle w:val="FirstParagraph"/>
      </w:pPr>
      <w:r>
        <w:t xml:space="preserve">Identify all quantum-vulnerable PKC implementations. Without inventory, timeline estimates are fiction. Part III develops CBOM methodology; Part II assumes its existence for timeline planning.</w:t>
      </w:r>
    </w:p>
    <w:bookmarkEnd w:id="28"/>
    <w:bookmarkStart w:id="29" w:name="step-2-trade-prioritisation"/>
    <w:p>
      <w:pPr>
        <w:pStyle w:val="Heading3"/>
      </w:pPr>
      <w:r>
        <w:t xml:space="preserve">Step 2: TRADE prioritisation</w:t>
      </w:r>
    </w:p>
    <w:p>
      <w:pPr>
        <w:pStyle w:val="FirstParagraph"/>
      </w:pPr>
      <w:r>
        <w:t xml:space="preserve">Score systems using the TRADE engine (Chapter 2). High MPI systems anchor the near-term waves. Low MPI systems migrate during natural refresh cycles or decommission.</w:t>
      </w:r>
    </w:p>
    <w:bookmarkEnd w:id="29"/>
    <w:bookmarkStart w:id="30" w:name="step-3-cdg-blocking-analysis"/>
    <w:p>
      <w:pPr>
        <w:pStyle w:val="Heading3"/>
      </w:pPr>
      <w:r>
        <w:t xml:space="preserve">Step 3: CDG blocking analysis</w:t>
      </w:r>
    </w:p>
    <w:p>
      <w:pPr>
        <w:pStyle w:val="FirstParagraph"/>
      </w:pPr>
      <w:r>
        <w:t xml:space="preserve">Identify blocking nodes whose migration gates downstream systems. Timeline critical path runs through blocking nodes — not through the highest-visibility external TLS endpoints.</w:t>
      </w:r>
    </w:p>
    <w:bookmarkEnd w:id="30"/>
    <w:bookmarkStart w:id="31" w:name="step-4-ecosystem-readiness-assessment"/>
    <w:p>
      <w:pPr>
        <w:pStyle w:val="Heading3"/>
      </w:pPr>
      <w:r>
        <w:t xml:space="preserve">Step 4: Ecosystem readiness assessment</w:t>
      </w:r>
    </w:p>
    <w:p>
      <w:pPr>
        <w:pStyle w:val="FirstParagraph"/>
      </w:pPr>
      <w:r>
        <w:t xml:space="preserve">Vendor roadmaps, partner trust store updates, and protocol ecosystem maturity gate</w:t>
      </w:r>
      <w:r>
        <w:t xml:space="preserve"> </w:t>
      </w:r>
      <w:r>
        <w:rPr>
          <w:bCs/>
          <w:b/>
        </w:rPr>
        <w:t xml:space="preserve">production deployment dates</w:t>
      </w:r>
      <w:r>
        <w:t xml:space="preserve"> </w:t>
      </w:r>
      <w:r>
        <w:t xml:space="preserve">— not planning start dates. A system with MPI 4.39 and Ecosystem readiness 2 (Meridian’s PII KMS, Chapter 2) begins vendor escalation immediately but may not reach production until 2027.</w:t>
      </w:r>
    </w:p>
    <w:bookmarkEnd w:id="31"/>
    <w:bookmarkStart w:id="32" w:name="step-5-anchor-alignment"/>
    <w:p>
      <w:pPr>
        <w:pStyle w:val="Heading3"/>
      </w:pPr>
      <w:r>
        <w:t xml:space="preserve">Step 5: Anchor alignment</w:t>
      </w:r>
    </w:p>
    <w:p>
      <w:pPr>
        <w:pStyle w:val="FirstParagraph"/>
      </w:pPr>
      <w:r>
        <w:t xml:space="preserve">Map derived waves to external policy anchors. If TRADE analysis requires TES 5 system migration before 2030 but ecosystem readiness gates production to 2029, document the constraint and initiate risk acceptance only if migration genuinely cannot accelerate — not if programme priority was insufficient.</w:t>
      </w:r>
    </w:p>
    <w:p>
      <w:pPr>
        <w:pStyle w:val="BodyText"/>
      </w:pPr>
      <w:r>
        <w:rPr>
          <w:bCs/>
          <w:b/>
        </w:rPr>
        <w:t xml:space="preserve">Figure 5.1 — Multi-Jurisdiction Timeline Overlay</w:t>
      </w:r>
    </w:p>
    <w:p>
      <w:pPr>
        <w:pStyle w:val="SourceCode"/>
      </w:pPr>
      <w:r>
        <w:rPr>
          <w:rStyle w:val="VerbatimChar"/>
        </w:rPr>
        <w:t xml:space="preserve">2024    2026    2028    2030    2032    2034    2035</w:t>
      </w:r>
      <w:r>
        <w:br/>
      </w:r>
      <w:r>
        <w:rPr>
          <w:rStyle w:val="VerbatimChar"/>
        </w:rPr>
        <w:t xml:space="preserve">  |       |       |       |       |       |       |</w:t>
      </w:r>
      <w:r>
        <w:br/>
      </w:r>
      <w:r>
        <w:rPr>
          <w:rStyle w:val="VerbatimChar"/>
        </w:rPr>
        <w:t xml:space="preserve">  FIPS    |       NCSC    |       |       |       |</w:t>
      </w:r>
      <w:r>
        <w:br/>
      </w:r>
      <w:r>
        <w:rPr>
          <w:rStyle w:val="VerbatimChar"/>
        </w:rPr>
        <w:t xml:space="preserve">  203-205 |       plan    |       |       |       |</w:t>
      </w:r>
      <w:r>
        <w:br/>
      </w:r>
      <w:r>
        <w:rPr>
          <w:rStyle w:val="VerbatimChar"/>
        </w:rPr>
        <w:t xml:space="preserve">  final   |       complete|       |       |       |</w:t>
      </w:r>
      <w:r>
        <w:br/>
      </w:r>
      <w:r>
        <w:rPr>
          <w:rStyle w:val="VerbatimChar"/>
        </w:rPr>
        <w:t xml:space="preserve">          |               |       |       |       |</w:t>
      </w:r>
      <w:r>
        <w:br/>
      </w:r>
      <w:r>
        <w:rPr>
          <w:rStyle w:val="VerbatimChar"/>
        </w:rPr>
        <w:t xml:space="preserve">          +-- Programme --+-------+-------+-------+</w:t>
      </w:r>
      <w:r>
        <w:br/>
      </w:r>
      <w:r>
        <w:rPr>
          <w:rStyle w:val="VerbatimChar"/>
        </w:rPr>
        <w:t xml:space="preserve">          |  Wave 1 (TES 5, blocking nodes)      |</w:t>
      </w:r>
      <w:r>
        <w:br/>
      </w:r>
      <w:r>
        <w:rPr>
          <w:rStyle w:val="VerbatimChar"/>
        </w:rPr>
        <w:t xml:space="preserve">          |       Wave 2 (TES 4, PKI)            |</w:t>
      </w:r>
      <w:r>
        <w:br/>
      </w:r>
      <w:r>
        <w:rPr>
          <w:rStyle w:val="VerbatimChar"/>
        </w:rPr>
        <w:t xml:space="preserve">          |               Wave 3 (general IT)    |</w:t>
      </w:r>
      <w:r>
        <w:br/>
      </w:r>
      <w:r>
        <w:rPr>
          <w:rStyle w:val="VerbatimChar"/>
        </w:rPr>
        <w:t xml:space="preserve">          |                       |       |       |</w:t>
      </w:r>
      <w:r>
        <w:br/>
      </w:r>
      <w:r>
        <w:rPr>
          <w:rStyle w:val="VerbatimChar"/>
        </w:rPr>
        <w:t xml:space="preserve">          |                       v       |       |</w:t>
      </w:r>
      <w:r>
        <w:br/>
      </w:r>
      <w:r>
        <w:rPr>
          <w:rStyle w:val="VerbatimChar"/>
        </w:rPr>
        <w:t xml:space="preserve">          |              NIST DEPRECATION anchor  |</w:t>
      </w:r>
      <w:r>
        <w:br/>
      </w:r>
      <w:r>
        <w:rPr>
          <w:rStyle w:val="VerbatimChar"/>
        </w:rPr>
        <w:t xml:space="preserve">          |                               v       |</w:t>
      </w:r>
      <w:r>
        <w:br/>
      </w:r>
      <w:r>
        <w:rPr>
          <w:rStyle w:val="VerbatimChar"/>
        </w:rPr>
        <w:t xml:space="preserve">          |                      NIST DISALLOWANCE |</w:t>
      </w:r>
      <w:r>
        <w:br/>
      </w:r>
      <w:r>
        <w:rPr>
          <w:rStyle w:val="VerbatimChar"/>
        </w:rPr>
        <w:t xml:space="preserve">          |                               anchor  |</w:t>
      </w:r>
      <w:r>
        <w:br/>
      </w:r>
      <w:r>
        <w:rPr>
          <w:rStyle w:val="VerbatimChar"/>
        </w:rPr>
        <w:t xml:space="preserve">          |                                       |</w:t>
      </w:r>
      <w:r>
        <w:br/>
      </w:r>
      <w:r>
        <w:rPr>
          <w:rStyle w:val="VerbatimChar"/>
        </w:rPr>
        <w:t xml:space="preserve">  CNSA 2.0: 2027 new acquisitions --+             |</w:t>
      </w:r>
      <w:r>
        <w:br/>
      </w:r>
      <w:r>
        <w:rPr>
          <w:rStyle w:val="VerbatimChar"/>
        </w:rPr>
        <w:t xml:space="preserve">          2030 firmware/networking -+             |</w:t>
      </w:r>
    </w:p>
    <w:p>
      <w:pPr>
        <w:pStyle w:val="FirstParagraph"/>
      </w:pPr>
      <w:r>
        <w:rPr>
          <w:bCs/>
          <w:b/>
        </w:rPr>
        <w:t xml:space="preserve">Production brief — Figure 5.1:</w:t>
      </w:r>
      <w:r>
        <w:t xml:space="preserve"> </w:t>
      </w:r>
      <w:r>
        <w:t xml:space="preserve">Swim-lane diagram with programme waves (internal schedule) overlaid on policy anchors (NIST, CNSA, NCSC). Distinguish solid lines (anchors) from dashed lines (derived waves). Include legend for jurisdiction annotations used by multinational enterprises.</w:t>
      </w:r>
    </w:p>
    <w:p>
      <w:r>
        <w:pict>
          <v:rect style="width:0;height:1.5pt" o:hralign="center" o:hrstd="t" o:hr="t"/>
        </w:pict>
      </w:r>
    </w:p>
    <w:bookmarkEnd w:id="32"/>
    <w:bookmarkEnd w:id="33"/>
    <w:bookmarkStart w:id="39" w:name="the-hybrid-lifecycle-model-hlm"/>
    <w:p>
      <w:pPr>
        <w:pStyle w:val="Heading2"/>
      </w:pPr>
      <w:r>
        <w:t xml:space="preserve">5.6 The Hybrid Lifecycle Model (HLM)</w:t>
      </w:r>
    </w:p>
    <w:p>
      <w:pPr>
        <w:pStyle w:val="FirstParagraph"/>
      </w:pPr>
      <w:r>
        <w:t xml:space="preserve">Near-term production deployment requires</w:t>
      </w:r>
      <w:r>
        <w:t xml:space="preserve"> </w:t>
      </w:r>
      <w:r>
        <w:rPr>
          <w:bCs/>
          <w:b/>
        </w:rPr>
        <w:t xml:space="preserve">hybrid cryptography</w:t>
      </w:r>
      <w:r>
        <w:t xml:space="preserve"> </w:t>
      </w:r>
      <w:r>
        <w:t xml:space="preserve">— combining classical and post-quantum algorithms so security holds if either component remains sound. Hybrids solve interoperability during transition. They create governance risk if deployed without sunset criteria.</w:t>
      </w:r>
    </w:p>
    <w:p>
      <w:pPr>
        <w:pStyle w:val="BodyText"/>
      </w:pPr>
      <w:r>
        <w:t xml:space="preserve">The Hybrid Lifecycle Model defines three phases with explicit exit criteria — the book’s framework for governing hybrids as transitional states, not permanent architectures.</w:t>
      </w:r>
    </w:p>
    <w:p>
      <w:pPr>
        <w:pStyle w:val="BodyText"/>
      </w:pPr>
      <w:r>
        <w:rPr>
          <w:bCs/>
          <w:b/>
        </w:rPr>
        <w:t xml:space="preserve">Table 5.3 — Hybrid Lifecycle Model Phases</w:t>
      </w:r>
    </w:p>
    <w:tbl>
      <w:tblPr>
        <w:tblStyle w:val="Table"/>
        <w:tblW w:type="pct" w:w="5000"/>
        <w:tblLook w:firstRow="1" w:lastRow="0" w:firstColumn="0" w:lastColumn="0" w:noHBand="0" w:noVBand="0" w:val="0020"/>
        <w:jc w:val="start"/>
      </w:tblPr>
      <w:tblGrid>
        <w:gridCol w:w="972"/>
        <w:gridCol w:w="833"/>
        <w:gridCol w:w="1528"/>
        <w:gridCol w:w="2362"/>
        <w:gridCol w:w="2223"/>
      </w:tblGrid>
      <w:tr>
        <w:trPr>
          <w:tblHeader w:val="true"/>
        </w:trPr>
        <w:tc>
          <w:tcPr/>
          <w:p>
            <w:pPr>
              <w:pStyle w:val="Compact"/>
              <w:jc w:val="left"/>
            </w:pPr>
            <w:r>
              <w:t xml:space="preserve">Phase</w:t>
            </w:r>
          </w:p>
        </w:tc>
        <w:tc>
          <w:tcPr/>
          <w:p>
            <w:pPr>
              <w:pStyle w:val="Compact"/>
              <w:jc w:val="left"/>
            </w:pPr>
            <w:r>
              <w:t xml:space="preserve">Name</w:t>
            </w:r>
          </w:p>
        </w:tc>
        <w:tc>
          <w:tcPr/>
          <w:p>
            <w:pPr>
              <w:pStyle w:val="Compact"/>
              <w:jc w:val="left"/>
            </w:pPr>
            <w:r>
              <w:t xml:space="preserve">Objective</w:t>
            </w:r>
          </w:p>
        </w:tc>
        <w:tc>
          <w:tcPr/>
          <w:p>
            <w:pPr>
              <w:pStyle w:val="Compact"/>
              <w:jc w:val="left"/>
            </w:pPr>
            <w:r>
              <w:t xml:space="preserve">Entry criterion</w:t>
            </w:r>
          </w:p>
        </w:tc>
        <w:tc>
          <w:tcPr/>
          <w:p>
            <w:pPr>
              <w:pStyle w:val="Compact"/>
              <w:jc w:val="left"/>
            </w:pPr>
            <w:r>
              <w:t xml:space="preserve">Exit criterion</w:t>
            </w:r>
          </w:p>
        </w:tc>
      </w:tr>
      <w:tr>
        <w:tc>
          <w:tcPr/>
          <w:p>
            <w:pPr>
              <w:pStyle w:val="Compact"/>
              <w:jc w:val="left"/>
            </w:pPr>
            <w:r>
              <w:rPr>
                <w:bCs/>
                <w:b/>
              </w:rPr>
              <w:t xml:space="preserve">H1</w:t>
            </w:r>
          </w:p>
        </w:tc>
        <w:tc>
          <w:tcPr/>
          <w:p>
            <w:pPr>
              <w:pStyle w:val="Compact"/>
              <w:jc w:val="left"/>
            </w:pPr>
            <w:r>
              <w:t xml:space="preserve">Protective Hybrid</w:t>
            </w:r>
          </w:p>
        </w:tc>
        <w:tc>
          <w:tcPr/>
          <w:p>
            <w:pPr>
              <w:pStyle w:val="Compact"/>
              <w:jc w:val="left"/>
            </w:pPr>
            <w:r>
              <w:t xml:space="preserve">Maintain interoperability; add quantum resistance</w:t>
            </w:r>
          </w:p>
        </w:tc>
        <w:tc>
          <w:tcPr/>
          <w:p>
            <w:pPr>
              <w:pStyle w:val="Compact"/>
              <w:jc w:val="left"/>
            </w:pPr>
            <w:r>
              <w:t xml:space="preserve">PQC algorithm selected; ecosystem partially ready</w:t>
            </w:r>
          </w:p>
        </w:tc>
        <w:tc>
          <w:tcPr/>
          <w:p>
            <w:pPr>
              <w:pStyle w:val="Compact"/>
              <w:jc w:val="left"/>
            </w:pPr>
            <w:r>
              <w:t xml:space="preserve">Ecosystem threshold met (e.g., &gt;90% client/partner support for PQC component)</w:t>
            </w:r>
          </w:p>
        </w:tc>
      </w:tr>
      <w:tr>
        <w:tc>
          <w:tcPr/>
          <w:p>
            <w:pPr>
              <w:pStyle w:val="Compact"/>
              <w:jc w:val="left"/>
            </w:pPr>
            <w:r>
              <w:rPr>
                <w:bCs/>
                <w:b/>
              </w:rPr>
              <w:t xml:space="preserve">H2</w:t>
            </w:r>
          </w:p>
        </w:tc>
        <w:tc>
          <w:tcPr/>
          <w:p>
            <w:pPr>
              <w:pStyle w:val="Compact"/>
              <w:jc w:val="left"/>
            </w:pPr>
            <w:r>
              <w:t xml:space="preserve">Transitional Hybrid</w:t>
            </w:r>
          </w:p>
        </w:tc>
        <w:tc>
          <w:tcPr/>
          <w:p>
            <w:pPr>
              <w:pStyle w:val="Compact"/>
              <w:jc w:val="left"/>
            </w:pPr>
            <w:r>
              <w:t xml:space="preserve">Reduce classical dependency</w:t>
            </w:r>
          </w:p>
        </w:tc>
        <w:tc>
          <w:tcPr/>
          <w:p>
            <w:pPr>
              <w:pStyle w:val="Compact"/>
              <w:jc w:val="left"/>
            </w:pPr>
            <w:r>
              <w:t xml:space="preserve">H1 exit achieved; classical deprecation policy active</w:t>
            </w:r>
          </w:p>
        </w:tc>
        <w:tc>
          <w:tcPr/>
          <w:p>
            <w:pPr>
              <w:pStyle w:val="Compact"/>
              <w:jc w:val="left"/>
            </w:pPr>
            <w:r>
              <w:t xml:space="preserve">Classical component deprecated in enterprise policy; new deployments PQC-only</w:t>
            </w:r>
          </w:p>
        </w:tc>
      </w:tr>
      <w:tr>
        <w:tc>
          <w:tcPr/>
          <w:p>
            <w:pPr>
              <w:pStyle w:val="Compact"/>
              <w:jc w:val="left"/>
            </w:pPr>
            <w:r>
              <w:rPr>
                <w:bCs/>
                <w:b/>
              </w:rPr>
              <w:t xml:space="preserve">H3</w:t>
            </w:r>
          </w:p>
        </w:tc>
        <w:tc>
          <w:tcPr/>
          <w:p>
            <w:pPr>
              <w:pStyle w:val="Compact"/>
              <w:jc w:val="left"/>
            </w:pPr>
            <w:r>
              <w:t xml:space="preserve">PQC-Native</w:t>
            </w:r>
          </w:p>
        </w:tc>
        <w:tc>
          <w:tcPr/>
          <w:p>
            <w:pPr>
              <w:pStyle w:val="Compact"/>
              <w:jc w:val="left"/>
            </w:pPr>
            <w:r>
              <w:t xml:space="preserve">Remove quantum-vulnerable PKC</w:t>
            </w:r>
          </w:p>
        </w:tc>
        <w:tc>
          <w:tcPr/>
          <w:p>
            <w:pPr>
              <w:pStyle w:val="Compact"/>
              <w:jc w:val="left"/>
            </w:pPr>
            <w:r>
              <w:t xml:space="preserve">H2 exit achieved; validation complete</w:t>
            </w:r>
          </w:p>
        </w:tc>
        <w:tc>
          <w:tcPr/>
          <w:p>
            <w:pPr>
              <w:pStyle w:val="Compact"/>
              <w:jc w:val="left"/>
            </w:pPr>
            <w:r>
              <w:t xml:space="preserve">CBOM confirms zero disallowed algorithms in scope</w:t>
            </w:r>
          </w:p>
        </w:tc>
      </w:tr>
    </w:tbl>
    <w:bookmarkStart w:id="34" w:name="h1-protective-hybrid"/>
    <w:p>
      <w:pPr>
        <w:pStyle w:val="Heading3"/>
      </w:pPr>
      <w:r>
        <w:t xml:space="preserve">H1: Protective Hybrid</w:t>
      </w:r>
    </w:p>
    <w:p>
      <w:pPr>
        <w:pStyle w:val="FirstParagraph"/>
      </w:pPr>
      <w:r>
        <w:t xml:space="preserve">H1 is the deployment phase most enterprises occupy in 2026–2028. Hybrid TLS (X25519 + ML-KEM-768), hybrid code signing (classical + ML-DSA), and hybrid VPN configurations maintain backward compatibility while adding quantum resistance.</w:t>
      </w:r>
    </w:p>
    <w:p>
      <w:pPr>
        <w:pStyle w:val="BodyText"/>
      </w:pPr>
      <w:r>
        <w:rPr>
          <w:bCs/>
          <w:b/>
        </w:rPr>
        <w:t xml:space="preserve">H1 governance requirements:</w:t>
      </w:r>
    </w:p>
    <w:p>
      <w:pPr>
        <w:numPr>
          <w:ilvl w:val="0"/>
          <w:numId w:val="1002"/>
        </w:numPr>
        <w:pStyle w:val="Compact"/>
      </w:pPr>
      <w:r>
        <w:t xml:space="preserve">Hybrid construction must reference standards-track specifications (IETF), not proprietary combinations</w:t>
      </w:r>
    </w:p>
    <w:p>
      <w:pPr>
        <w:numPr>
          <w:ilvl w:val="0"/>
          <w:numId w:val="1002"/>
        </w:numPr>
        <w:pStyle w:val="Compact"/>
      </w:pPr>
      <w:r>
        <w:t xml:space="preserve">Classical component identified and logged in CBOM</w:t>
      </w:r>
    </w:p>
    <w:p>
      <w:pPr>
        <w:numPr>
          <w:ilvl w:val="0"/>
          <w:numId w:val="1002"/>
        </w:numPr>
        <w:pStyle w:val="Compact"/>
      </w:pPr>
      <w:r>
        <w:t xml:space="preserve">Sunset date or phase-gate for H2 transition assigned at deployment approval</w:t>
      </w:r>
    </w:p>
    <w:p>
      <w:pPr>
        <w:numPr>
          <w:ilvl w:val="0"/>
          <w:numId w:val="1002"/>
        </w:numPr>
        <w:pStyle w:val="Compact"/>
      </w:pPr>
      <w:r>
        <w:t xml:space="preserve">Monitoring for ecosystem readiness metrics (client support, partner acceptance)</w:t>
      </w:r>
    </w:p>
    <w:p>
      <w:pPr>
        <w:pStyle w:val="FirstParagraph"/>
      </w:pPr>
      <w:r>
        <w:t xml:space="preserve">GlobalSync’s H1 hybrid TLS deployment targeted 92% client compatibility before declaring H1 exit for its public API tier — measured against production traffic analysis, not laboratory tests.</w:t>
      </w:r>
    </w:p>
    <w:bookmarkEnd w:id="34"/>
    <w:bookmarkStart w:id="35" w:name="h2-transitional-hybrid"/>
    <w:p>
      <w:pPr>
        <w:pStyle w:val="Heading3"/>
      </w:pPr>
      <w:r>
        <w:t xml:space="preserve">H2: Transitional Hybrid</w:t>
      </w:r>
    </w:p>
    <w:p>
      <w:pPr>
        <w:pStyle w:val="FirstParagraph"/>
      </w:pPr>
      <w:r>
        <w:t xml:space="preserve">H2 reduces classical dependency. New deployments within scope use PQC-only where ecosystem permits. Legacy systems retain hybrid or classical-only with documented risk acceptance and migration dates.</w:t>
      </w:r>
    </w:p>
    <w:p>
      <w:pPr>
        <w:pStyle w:val="BodyText"/>
      </w:pPr>
      <w:r>
        <w:rPr>
          <w:bCs/>
          <w:b/>
        </w:rPr>
        <w:t xml:space="preserve">H2 governance requirements:</w:t>
      </w:r>
    </w:p>
    <w:p>
      <w:pPr>
        <w:numPr>
          <w:ilvl w:val="0"/>
          <w:numId w:val="1003"/>
        </w:numPr>
        <w:pStyle w:val="Compact"/>
      </w:pPr>
      <w:r>
        <w:t xml:space="preserve">Enterprise policy deprecates classical component for new deployments in scope</w:t>
      </w:r>
    </w:p>
    <w:p>
      <w:pPr>
        <w:numPr>
          <w:ilvl w:val="0"/>
          <w:numId w:val="1003"/>
        </w:numPr>
        <w:pStyle w:val="Compact"/>
      </w:pPr>
      <w:r>
        <w:t xml:space="preserve">Exception process for classical-only new deployments (rare; heavily documented)</w:t>
      </w:r>
    </w:p>
    <w:p>
      <w:pPr>
        <w:numPr>
          <w:ilvl w:val="0"/>
          <w:numId w:val="1003"/>
        </w:numPr>
        <w:pStyle w:val="Compact"/>
      </w:pPr>
      <w:r>
        <w:t xml:space="preserve">Quarterly CBOM review of systems remaining in H1</w:t>
      </w:r>
    </w:p>
    <w:bookmarkEnd w:id="35"/>
    <w:bookmarkStart w:id="36" w:name="h3-pqc-native"/>
    <w:p>
      <w:pPr>
        <w:pStyle w:val="Heading3"/>
      </w:pPr>
      <w:r>
        <w:t xml:space="preserve">H3: PQC-Native</w:t>
      </w:r>
    </w:p>
    <w:p>
      <w:pPr>
        <w:pStyle w:val="FirstParagraph"/>
      </w:pPr>
      <w:r>
        <w:t xml:space="preserve">H3 is the target state: quantum-vulnerable PKC removed from the estate per disallowance policy. Hybrids are retired. CBOM verification confirms compliance.</w:t>
      </w:r>
    </w:p>
    <w:p>
      <w:pPr>
        <w:pStyle w:val="BodyText"/>
      </w:pPr>
      <w:r>
        <w:rPr>
          <w:bCs/>
          <w:b/>
        </w:rPr>
        <w:t xml:space="preserve">H3 governance requirements:</w:t>
      </w:r>
    </w:p>
    <w:p>
      <w:pPr>
        <w:numPr>
          <w:ilvl w:val="0"/>
          <w:numId w:val="1004"/>
        </w:numPr>
        <w:pStyle w:val="Compact"/>
      </w:pPr>
      <w:r>
        <w:t xml:space="preserve">Internal audit or automated CBOM scan confirms zero disallowed algorithms</w:t>
      </w:r>
    </w:p>
    <w:p>
      <w:pPr>
        <w:numPr>
          <w:ilvl w:val="0"/>
          <w:numId w:val="1004"/>
        </w:numPr>
        <w:pStyle w:val="Compact"/>
      </w:pPr>
      <w:r>
        <w:t xml:space="preserve">Penetration testing validates no regression to classical-only in scope</w:t>
      </w:r>
    </w:p>
    <w:p>
      <w:pPr>
        <w:numPr>
          <w:ilvl w:val="0"/>
          <w:numId w:val="1004"/>
        </w:numPr>
        <w:pStyle w:val="Compact"/>
      </w:pPr>
      <w:r>
        <w:t xml:space="preserve">Regulatory evidence package updated for supervisory review</w:t>
      </w:r>
    </w:p>
    <w:p>
      <w:pPr>
        <w:pStyle w:val="BlockText"/>
      </w:pPr>
      <w:r>
        <w:rPr>
          <w:bCs/>
          <w:b/>
        </w:rPr>
        <w:t xml:space="preserve">Architect’s Decision</w:t>
      </w:r>
    </w:p>
    <w:p>
      <w:pPr>
        <w:pStyle w:val="BlockText"/>
      </w:pPr>
      <w:r>
        <w:rPr>
          <w:bCs/>
          <w:b/>
        </w:rPr>
        <w:t xml:space="preserve">Do not deploy H1 hybrids without a documented H2 trigger.</w:t>
      </w:r>
      <w:r>
        <w:t xml:space="preserve"> </w:t>
      </w:r>
      <w:r>
        <w:t xml:space="preserve">The trigger may be ecosystem metrics (90% client support), a calendar date (aligned to 2030 deprecation), or a vendor milestone (HSM PQC module GA). Hybrids without triggers become permanent dual-algorithm architectures — the SHA-1 equivalent failure mode for PQC.</w:t>
      </w:r>
    </w:p>
    <w:bookmarkEnd w:id="36"/>
    <w:bookmarkStart w:id="37" w:name="hlm-failure-modes-by-phase"/>
    <w:p>
      <w:pPr>
        <w:pStyle w:val="Heading3"/>
      </w:pPr>
      <w:r>
        <w:t xml:space="preserve">HLM failure modes by phase</w:t>
      </w:r>
    </w:p>
    <w:tbl>
      <w:tblPr>
        <w:tblStyle w:val="Table"/>
        <w:tblW w:type="pct" w:w="5000"/>
        <w:tblLook w:firstRow="1" w:lastRow="0" w:firstColumn="0" w:lastColumn="0" w:noHBand="0" w:noVBand="0" w:val="0020"/>
        <w:jc w:val="start"/>
      </w:tblPr>
      <w:tblGrid>
        <w:gridCol w:w="1066"/>
        <w:gridCol w:w="2436"/>
        <w:gridCol w:w="2893"/>
        <w:gridCol w:w="1523"/>
      </w:tblGrid>
      <w:tr>
        <w:trPr>
          <w:tblHeader w:val="true"/>
        </w:trPr>
        <w:tc>
          <w:tcPr/>
          <w:p>
            <w:pPr>
              <w:pStyle w:val="Compact"/>
              <w:jc w:val="left"/>
            </w:pPr>
            <w:r>
              <w:t xml:space="preserve">Phase</w:t>
            </w:r>
          </w:p>
        </w:tc>
        <w:tc>
          <w:tcPr/>
          <w:p>
            <w:pPr>
              <w:pStyle w:val="Compact"/>
              <w:jc w:val="left"/>
            </w:pPr>
            <w:r>
              <w:t xml:space="preserve">Typical failure</w:t>
            </w:r>
          </w:p>
        </w:tc>
        <w:tc>
          <w:tcPr/>
          <w:p>
            <w:pPr>
              <w:pStyle w:val="Compact"/>
              <w:jc w:val="left"/>
            </w:pPr>
            <w:r>
              <w:t xml:space="preserve">Programme symptom</w:t>
            </w:r>
          </w:p>
        </w:tc>
        <w:tc>
          <w:tcPr/>
          <w:p>
            <w:pPr>
              <w:pStyle w:val="Compact"/>
              <w:jc w:val="left"/>
            </w:pPr>
            <w:r>
              <w:t xml:space="preserve">Recovery</w:t>
            </w:r>
          </w:p>
        </w:tc>
      </w:tr>
      <w:tr>
        <w:tc>
          <w:tcPr/>
          <w:p>
            <w:pPr>
              <w:pStyle w:val="Compact"/>
              <w:jc w:val="left"/>
            </w:pPr>
            <w:r>
              <w:rPr>
                <w:bCs/>
                <w:b/>
              </w:rPr>
              <w:t xml:space="preserve">H1</w:t>
            </w:r>
          </w:p>
        </w:tc>
        <w:tc>
          <w:tcPr/>
          <w:p>
            <w:pPr>
              <w:pStyle w:val="Compact"/>
              <w:jc w:val="left"/>
            </w:pPr>
            <w:r>
              <w:t xml:space="preserve">No H2 trigger defined</w:t>
            </w:r>
          </w:p>
        </w:tc>
        <w:tc>
          <w:tcPr/>
          <w:p>
            <w:pPr>
              <w:pStyle w:val="Compact"/>
              <w:jc w:val="left"/>
            </w:pPr>
            <w:r>
              <w:t xml:space="preserve">Hybrid deployed indefinitely</w:t>
            </w:r>
          </w:p>
        </w:tc>
        <w:tc>
          <w:tcPr/>
          <w:p>
            <w:pPr>
              <w:pStyle w:val="Compact"/>
              <w:jc w:val="left"/>
            </w:pPr>
            <w:r>
              <w:t xml:space="preserve">Policy committee assigns trigger retroactively; audit finding likely</w:t>
            </w:r>
          </w:p>
        </w:tc>
      </w:tr>
      <w:tr>
        <w:tc>
          <w:tcPr/>
          <w:p>
            <w:pPr>
              <w:pStyle w:val="Compact"/>
              <w:jc w:val="left"/>
            </w:pPr>
            <w:r>
              <w:rPr>
                <w:bCs/>
                <w:b/>
              </w:rPr>
              <w:t xml:space="preserve">H1</w:t>
            </w:r>
          </w:p>
        </w:tc>
        <w:tc>
          <w:tcPr/>
          <w:p>
            <w:pPr>
              <w:pStyle w:val="Compact"/>
              <w:jc w:val="left"/>
            </w:pPr>
            <w:r>
              <w:t xml:space="preserve">Ecosystem threshold never met</w:t>
            </w:r>
          </w:p>
        </w:tc>
        <w:tc>
          <w:tcPr/>
          <w:p>
            <w:pPr>
              <w:pStyle w:val="Compact"/>
              <w:jc w:val="left"/>
            </w:pPr>
            <w:r>
              <w:t xml:space="preserve">Stuck at 70–85% client support for years</w:t>
            </w:r>
          </w:p>
        </w:tc>
        <w:tc>
          <w:tcPr/>
          <w:p>
            <w:pPr>
              <w:pStyle w:val="Compact"/>
              <w:jc w:val="left"/>
            </w:pPr>
            <w:r>
              <w:t xml:space="preserve">Segment traffic; tiered endpoints; tenant outreach programme</w:t>
            </w:r>
          </w:p>
        </w:tc>
      </w:tr>
      <w:tr>
        <w:tc>
          <w:tcPr/>
          <w:p>
            <w:pPr>
              <w:pStyle w:val="Compact"/>
              <w:jc w:val="left"/>
            </w:pPr>
            <w:r>
              <w:rPr>
                <w:bCs/>
                <w:b/>
              </w:rPr>
              <w:t xml:space="preserve">H2</w:t>
            </w:r>
          </w:p>
        </w:tc>
        <w:tc>
          <w:tcPr/>
          <w:p>
            <w:pPr>
              <w:pStyle w:val="Compact"/>
              <w:jc w:val="left"/>
            </w:pPr>
            <w:r>
              <w:t xml:space="preserve">Classical component not deprecated in policy</w:t>
            </w:r>
          </w:p>
        </w:tc>
        <w:tc>
          <w:tcPr/>
          <w:p>
            <w:pPr>
              <w:pStyle w:val="Compact"/>
              <w:jc w:val="left"/>
            </w:pPr>
            <w:r>
              <w:t xml:space="preserve">New systems still ship classical-only</w:t>
            </w:r>
          </w:p>
        </w:tc>
        <w:tc>
          <w:tcPr/>
          <w:p>
            <w:pPr>
              <w:pStyle w:val="Compact"/>
              <w:jc w:val="left"/>
            </w:pPr>
            <w:r>
              <w:t xml:space="preserve">Policy update; SDLC gate enforcement</w:t>
            </w:r>
          </w:p>
        </w:tc>
      </w:tr>
      <w:tr>
        <w:tc>
          <w:tcPr/>
          <w:p>
            <w:pPr>
              <w:pStyle w:val="Compact"/>
              <w:jc w:val="left"/>
            </w:pPr>
            <w:r>
              <w:rPr>
                <w:bCs/>
                <w:b/>
              </w:rPr>
              <w:t xml:space="preserve">H2</w:t>
            </w:r>
          </w:p>
        </w:tc>
        <w:tc>
          <w:tcPr/>
          <w:p>
            <w:pPr>
              <w:pStyle w:val="Compact"/>
              <w:jc w:val="left"/>
            </w:pPr>
            <w:r>
              <w:t xml:space="preserve">Exception register grows without sunset</w:t>
            </w:r>
          </w:p>
        </w:tc>
        <w:tc>
          <w:tcPr/>
          <w:p>
            <w:pPr>
              <w:pStyle w:val="Compact"/>
              <w:jc w:val="left"/>
            </w:pPr>
            <w:r>
              <w:t xml:space="preserve">Hundreds of</w:t>
            </w:r>
            <w:r>
              <w:t xml:space="preserve"> </w:t>
            </w:r>
            <w:r>
              <w:t xml:space="preserve">“</w:t>
            </w:r>
            <w:r>
              <w:t xml:space="preserve">temporary</w:t>
            </w:r>
            <w:r>
              <w:t xml:space="preserve">”</w:t>
            </w:r>
            <w:r>
              <w:t xml:space="preserve"> </w:t>
            </w:r>
            <w:r>
              <w:t xml:space="preserve">classical systems</w:t>
            </w:r>
          </w:p>
        </w:tc>
        <w:tc>
          <w:tcPr/>
          <w:p>
            <w:pPr>
              <w:pStyle w:val="Compact"/>
              <w:jc w:val="left"/>
            </w:pPr>
            <w:r>
              <w:t xml:space="preserve">Steering committee cap on exceptions; executive escalation</w:t>
            </w:r>
          </w:p>
        </w:tc>
      </w:tr>
      <w:tr>
        <w:tc>
          <w:tcPr/>
          <w:p>
            <w:pPr>
              <w:pStyle w:val="Compact"/>
              <w:jc w:val="left"/>
            </w:pPr>
            <w:r>
              <w:rPr>
                <w:bCs/>
                <w:b/>
              </w:rPr>
              <w:t xml:space="preserve">H3</w:t>
            </w:r>
          </w:p>
        </w:tc>
        <w:tc>
          <w:tcPr/>
          <w:p>
            <w:pPr>
              <w:pStyle w:val="Compact"/>
              <w:jc w:val="left"/>
            </w:pPr>
            <w:r>
              <w:t xml:space="preserve">CBOM scan false negatives</w:t>
            </w:r>
          </w:p>
        </w:tc>
        <w:tc>
          <w:tcPr/>
          <w:p>
            <w:pPr>
              <w:pStyle w:val="Compact"/>
              <w:jc w:val="left"/>
            </w:pPr>
            <w:r>
              <w:t xml:space="preserve">Quantum-vulnerable PKC in shadow IT</w:t>
            </w:r>
          </w:p>
        </w:tc>
        <w:tc>
          <w:tcPr/>
          <w:p>
            <w:pPr>
              <w:pStyle w:val="Compact"/>
              <w:jc w:val="left"/>
            </w:pPr>
            <w:r>
              <w:t xml:space="preserve">Expand discovery; automated scanning in CI/CD</w:t>
            </w:r>
          </w:p>
        </w:tc>
      </w:tr>
      <w:tr>
        <w:tc>
          <w:tcPr/>
          <w:p>
            <w:pPr>
              <w:pStyle w:val="Compact"/>
              <w:jc w:val="left"/>
            </w:pPr>
            <w:r>
              <w:rPr>
                <w:bCs/>
                <w:b/>
              </w:rPr>
              <w:t xml:space="preserve">H3</w:t>
            </w:r>
          </w:p>
        </w:tc>
        <w:tc>
          <w:tcPr/>
          <w:p>
            <w:pPr>
              <w:pStyle w:val="Compact"/>
              <w:jc w:val="left"/>
            </w:pPr>
            <w:r>
              <w:t xml:space="preserve">Partner lag</w:t>
            </w:r>
          </w:p>
        </w:tc>
        <w:tc>
          <w:tcPr/>
          <w:p>
            <w:pPr>
              <w:pStyle w:val="Compact"/>
              <w:jc w:val="left"/>
            </w:pPr>
            <w:r>
              <w:t xml:space="preserve">Enterprise H3 but partner classical-only</w:t>
            </w:r>
          </w:p>
        </w:tc>
        <w:tc>
          <w:tcPr/>
          <w:p>
            <w:pPr>
              <w:pStyle w:val="Compact"/>
              <w:jc w:val="left"/>
            </w:pPr>
            <w:r>
              <w:t xml:space="preserve">Partner programme; contractual upgrade clauses</w:t>
            </w:r>
          </w:p>
        </w:tc>
      </w:tr>
    </w:tbl>
    <w:p>
      <w:pPr>
        <w:pStyle w:val="BodyText"/>
      </w:pPr>
      <w:r>
        <w:t xml:space="preserve">Apex Defense documented HLM failure modes in programme risk register — NSS programmes hitting H2 before commercial IT completed H1 created engineering confusion until matrix rows clarified independent phase tracking per workload class.</w:t>
      </w:r>
    </w:p>
    <w:bookmarkEnd w:id="37"/>
    <w:bookmarkStart w:id="38" w:name="cbom-attributes-for-hlm-tracking"/>
    <w:p>
      <w:pPr>
        <w:pStyle w:val="Heading3"/>
      </w:pPr>
      <w:r>
        <w:t xml:space="preserve">CBOM attributes for HLM tracking</w:t>
      </w:r>
    </w:p>
    <w:p>
      <w:pPr>
        <w:pStyle w:val="FirstParagraph"/>
      </w:pPr>
      <w:r>
        <w:t xml:space="preserve">Part III develops full CBOM methodology. Part II defines minimum attributes for hybrid governance:</w:t>
      </w:r>
    </w:p>
    <w:tbl>
      <w:tblPr>
        <w:tblStyle w:val="Table"/>
        <w:tblW w:type="pct" w:w="5000"/>
        <w:tblLook w:firstRow="1" w:lastRow="0" w:firstColumn="0" w:lastColumn="0" w:noHBand="0" w:noVBand="0" w:val="0020"/>
        <w:jc w:val="start"/>
      </w:tblPr>
      <w:tblGrid>
        <w:gridCol w:w="3111"/>
        <w:gridCol w:w="2262"/>
        <w:gridCol w:w="2545"/>
      </w:tblGrid>
      <w:tr>
        <w:trPr>
          <w:tblHeader w:val="true"/>
        </w:trPr>
        <w:tc>
          <w:tcPr/>
          <w:p>
            <w:pPr>
              <w:pStyle w:val="Compact"/>
              <w:jc w:val="left"/>
            </w:pPr>
            <w:r>
              <w:t xml:space="preserve">Attribute</w:t>
            </w:r>
          </w:p>
        </w:tc>
        <w:tc>
          <w:tcPr/>
          <w:p>
            <w:pPr>
              <w:pStyle w:val="Compact"/>
              <w:jc w:val="left"/>
            </w:pPr>
            <w:r>
              <w:t xml:space="preserve">Values</w:t>
            </w:r>
          </w:p>
        </w:tc>
        <w:tc>
          <w:tcPr/>
          <w:p>
            <w:pPr>
              <w:pStyle w:val="Compact"/>
              <w:jc w:val="left"/>
            </w:pPr>
            <w:r>
              <w:t xml:space="preserve">Purpose</w:t>
            </w:r>
          </w:p>
        </w:tc>
      </w:tr>
      <w:tr>
        <w:tc>
          <w:tcPr/>
          <w:p>
            <w:pPr>
              <w:pStyle w:val="Compact"/>
              <w:jc w:val="left"/>
            </w:pPr>
            <w:r>
              <w:rPr>
                <w:rStyle w:val="VerbatimChar"/>
              </w:rPr>
              <w:t xml:space="preserve">hlm_phase</w:t>
            </w:r>
          </w:p>
        </w:tc>
        <w:tc>
          <w:tcPr/>
          <w:p>
            <w:pPr>
              <w:pStyle w:val="Compact"/>
              <w:jc w:val="left"/>
            </w:pPr>
            <w:r>
              <w:t xml:space="preserve">H1, H2, H3</w:t>
            </w:r>
          </w:p>
        </w:tc>
        <w:tc>
          <w:tcPr/>
          <w:p>
            <w:pPr>
              <w:pStyle w:val="Compact"/>
              <w:jc w:val="left"/>
            </w:pPr>
            <w:r>
              <w:t xml:space="preserve">Current lifecycle phase</w:t>
            </w:r>
          </w:p>
        </w:tc>
      </w:tr>
      <w:tr>
        <w:tc>
          <w:tcPr/>
          <w:p>
            <w:pPr>
              <w:pStyle w:val="Compact"/>
              <w:jc w:val="left"/>
            </w:pPr>
            <w:r>
              <w:rPr>
                <w:rStyle w:val="VerbatimChar"/>
              </w:rPr>
              <w:t xml:space="preserve">h2_trigger_type</w:t>
            </w:r>
          </w:p>
        </w:tc>
        <w:tc>
          <w:tcPr/>
          <w:p>
            <w:pPr>
              <w:pStyle w:val="Compact"/>
              <w:jc w:val="left"/>
            </w:pPr>
            <w:r>
              <w:t xml:space="preserve">ecosystem, calendar, vendor, dependency</w:t>
            </w:r>
          </w:p>
        </w:tc>
        <w:tc>
          <w:tcPr/>
          <w:p>
            <w:pPr>
              <w:pStyle w:val="Compact"/>
              <w:jc w:val="left"/>
            </w:pPr>
            <w:r>
              <w:t xml:space="preserve">Trigger category</w:t>
            </w:r>
          </w:p>
        </w:tc>
      </w:tr>
      <w:tr>
        <w:tc>
          <w:tcPr/>
          <w:p>
            <w:pPr>
              <w:pStyle w:val="Compact"/>
              <w:jc w:val="left"/>
            </w:pPr>
            <w:r>
              <w:rPr>
                <w:rStyle w:val="VerbatimChar"/>
              </w:rPr>
              <w:t xml:space="preserve">h2_trigger_value</w:t>
            </w:r>
          </w:p>
        </w:tc>
        <w:tc>
          <w:tcPr/>
          <w:p>
            <w:pPr>
              <w:pStyle w:val="Compact"/>
              <w:jc w:val="left"/>
            </w:pPr>
            <w:r>
              <w:t xml:space="preserve">e.g. </w:t>
            </w:r>
            <w:r>
              <w:rPr>
                <w:rStyle w:val="VerbatimChar"/>
              </w:rPr>
              <w:t xml:space="preserve">90%_client_support</w:t>
            </w:r>
            <w:r>
              <w:t xml:space="preserve">,</w:t>
            </w:r>
            <w:r>
              <w:t xml:space="preserve"> </w:t>
            </w:r>
            <w:r>
              <w:rPr>
                <w:rStyle w:val="VerbatimChar"/>
              </w:rPr>
              <w:t xml:space="preserve">2030-01-01</w:t>
            </w:r>
            <w:r>
              <w:t xml:space="preserve">,</w:t>
            </w:r>
            <w:r>
              <w:t xml:space="preserve"> </w:t>
            </w:r>
            <w:r>
              <w:rPr>
                <w:rStyle w:val="VerbatimChar"/>
              </w:rPr>
              <w:t xml:space="preserve">vendor_module_GA</w:t>
            </w:r>
          </w:p>
        </w:tc>
        <w:tc>
          <w:tcPr/>
          <w:p>
            <w:pPr>
              <w:pStyle w:val="Compact"/>
              <w:jc w:val="left"/>
            </w:pPr>
            <w:r>
              <w:t xml:space="preserve">Measurable exit condition</w:t>
            </w:r>
          </w:p>
        </w:tc>
      </w:tr>
      <w:tr>
        <w:tc>
          <w:tcPr/>
          <w:p>
            <w:pPr>
              <w:pStyle w:val="Compact"/>
              <w:jc w:val="left"/>
            </w:pPr>
            <w:r>
              <w:rPr>
                <w:rStyle w:val="VerbatimChar"/>
              </w:rPr>
              <w:t xml:space="preserve">classical_component</w:t>
            </w:r>
          </w:p>
        </w:tc>
        <w:tc>
          <w:tcPr/>
          <w:p>
            <w:pPr>
              <w:pStyle w:val="Compact"/>
              <w:jc w:val="left"/>
            </w:pPr>
            <w:r>
              <w:t xml:space="preserve">e.g. </w:t>
            </w:r>
            <w:r>
              <w:rPr>
                <w:rStyle w:val="VerbatimChar"/>
              </w:rPr>
              <w:t xml:space="preserve">ECDSA_P256</w:t>
            </w:r>
            <w:r>
              <w:t xml:space="preserve">,</w:t>
            </w:r>
            <w:r>
              <w:t xml:space="preserve"> </w:t>
            </w:r>
            <w:r>
              <w:rPr>
                <w:rStyle w:val="VerbatimChar"/>
              </w:rPr>
              <w:t xml:space="preserve">RSA_2048</w:t>
            </w:r>
          </w:p>
        </w:tc>
        <w:tc>
          <w:tcPr/>
          <w:p>
            <w:pPr>
              <w:pStyle w:val="Compact"/>
              <w:jc w:val="left"/>
            </w:pPr>
            <w:r>
              <w:t xml:space="preserve">Algorithm to sunset</w:t>
            </w:r>
          </w:p>
        </w:tc>
      </w:tr>
      <w:tr>
        <w:tc>
          <w:tcPr/>
          <w:p>
            <w:pPr>
              <w:pStyle w:val="Compact"/>
              <w:jc w:val="left"/>
            </w:pPr>
            <w:r>
              <w:rPr>
                <w:rStyle w:val="VerbatimChar"/>
              </w:rPr>
              <w:t xml:space="preserve">pqc_component</w:t>
            </w:r>
          </w:p>
        </w:tc>
        <w:tc>
          <w:tcPr/>
          <w:p>
            <w:pPr>
              <w:pStyle w:val="Compact"/>
              <w:jc w:val="left"/>
            </w:pPr>
            <w:r>
              <w:t xml:space="preserve">e.g. </w:t>
            </w:r>
            <w:r>
              <w:rPr>
                <w:rStyle w:val="VerbatimChar"/>
              </w:rPr>
              <w:t xml:space="preserve">ML-KEM-768</w:t>
            </w:r>
            <w:r>
              <w:t xml:space="preserve">,</w:t>
            </w:r>
            <w:r>
              <w:t xml:space="preserve"> </w:t>
            </w:r>
            <w:r>
              <w:rPr>
                <w:rStyle w:val="VerbatimChar"/>
              </w:rPr>
              <w:t xml:space="preserve">ML-DSA-65</w:t>
            </w:r>
          </w:p>
        </w:tc>
        <w:tc>
          <w:tcPr/>
          <w:p>
            <w:pPr>
              <w:pStyle w:val="Compact"/>
              <w:jc w:val="left"/>
            </w:pPr>
            <w:r>
              <w:t xml:space="preserve">Target algorithm</w:t>
            </w:r>
          </w:p>
        </w:tc>
      </w:tr>
      <w:tr>
        <w:tc>
          <w:tcPr/>
          <w:p>
            <w:pPr>
              <w:pStyle w:val="Compact"/>
              <w:jc w:val="left"/>
            </w:pPr>
            <w:r>
              <w:rPr>
                <w:rStyle w:val="VerbatimChar"/>
              </w:rPr>
              <w:t xml:space="preserve">hybrid_construction_ref</w:t>
            </w:r>
          </w:p>
        </w:tc>
        <w:tc>
          <w:tcPr/>
          <w:p>
            <w:pPr>
              <w:pStyle w:val="Compact"/>
              <w:jc w:val="left"/>
            </w:pPr>
            <w:r>
              <w:t xml:space="preserve">IETF RFC/draft ID or vendor profile ID</w:t>
            </w:r>
          </w:p>
        </w:tc>
        <w:tc>
          <w:tcPr/>
          <w:p>
            <w:pPr>
              <w:pStyle w:val="Compact"/>
              <w:jc w:val="left"/>
            </w:pPr>
            <w:r>
              <w:t xml:space="preserve">Standards traceability</w:t>
            </w:r>
          </w:p>
        </w:tc>
      </w:tr>
      <w:tr>
        <w:tc>
          <w:tcPr/>
          <w:p>
            <w:pPr>
              <w:pStyle w:val="Compact"/>
              <w:jc w:val="left"/>
            </w:pPr>
            <w:r>
              <w:rPr>
                <w:rStyle w:val="VerbatimChar"/>
              </w:rPr>
              <w:t xml:space="preserve">exception_id</w:t>
            </w:r>
          </w:p>
        </w:tc>
        <w:tc>
          <w:tcPr/>
          <w:p>
            <w:pPr>
              <w:pStyle w:val="Compact"/>
              <w:jc w:val="left"/>
            </w:pPr>
            <w:r>
              <w:t xml:space="preserve">Link to risk acceptance register</w:t>
            </w:r>
          </w:p>
        </w:tc>
        <w:tc>
          <w:tcPr/>
          <w:p>
            <w:pPr>
              <w:pStyle w:val="Compact"/>
              <w:jc w:val="left"/>
            </w:pPr>
            <w:r>
              <w:t xml:space="preserve">Audit trail</w:t>
            </w:r>
          </w:p>
        </w:tc>
      </w:tr>
    </w:tbl>
    <w:p>
      <w:pPr>
        <w:pStyle w:val="BodyText"/>
      </w:pPr>
      <w:r>
        <w:t xml:space="preserve">GlobalSync automated</w:t>
      </w:r>
      <w:r>
        <w:t xml:space="preserve"> </w:t>
      </w:r>
      <w:r>
        <w:rPr>
          <w:rStyle w:val="VerbatimChar"/>
        </w:rPr>
        <w:t xml:space="preserve">hlm_phase</w:t>
      </w:r>
      <w:r>
        <w:t xml:space="preserve"> </w:t>
      </w:r>
      <w:r>
        <w:t xml:space="preserve">assignment in its CBOM pipeline — systems without</w:t>
      </w:r>
      <w:r>
        <w:t xml:space="preserve"> </w:t>
      </w:r>
      <w:r>
        <w:rPr>
          <w:rStyle w:val="VerbatimChar"/>
        </w:rPr>
        <w:t xml:space="preserve">h2_trigger_value</w:t>
      </w:r>
      <w:r>
        <w:t xml:space="preserve"> </w:t>
      </w:r>
      <w:r>
        <w:t xml:space="preserve">failed change-management approval for hybrid deployments.</w:t>
      </w:r>
    </w:p>
    <w:p>
      <w:r>
        <w:pict>
          <v:rect style="width:0;height:1.5pt" o:hralign="center" o:hrstd="t" o:hr="t"/>
        </w:pict>
      </w:r>
    </w:p>
    <w:bookmarkEnd w:id="38"/>
    <w:bookmarkEnd w:id="39"/>
    <w:bookmarkStart w:id="45" w:name="enterprise-hybrid-policy-requirements"/>
    <w:p>
      <w:pPr>
        <w:pStyle w:val="Heading2"/>
      </w:pPr>
      <w:r>
        <w:t xml:space="preserve">5.7 Enterprise Hybrid Policy Requirements</w:t>
      </w:r>
    </w:p>
    <w:p>
      <w:pPr>
        <w:pStyle w:val="FirstParagraph"/>
      </w:pPr>
      <w:r>
        <w:t xml:space="preserve">Hybrid policy belongs in the</w:t>
      </w:r>
      <w:r>
        <w:t xml:space="preserve"> </w:t>
      </w:r>
      <w:r>
        <w:rPr>
          <w:bCs/>
          <w:b/>
        </w:rPr>
        <w:t xml:space="preserve">Policy layer</w:t>
      </w:r>
      <w:r>
        <w:t xml:space="preserve"> </w:t>
      </w:r>
      <w:r>
        <w:t xml:space="preserve">of the PQC Governance Stack (Chapter 3). A complete hybrid policy addresses:</w:t>
      </w:r>
    </w:p>
    <w:bookmarkStart w:id="40" w:name="approved-hybrid-constructions"/>
    <w:p>
      <w:pPr>
        <w:pStyle w:val="Heading3"/>
      </w:pPr>
      <w:r>
        <w:t xml:space="preserve">Approved hybrid constructions</w:t>
      </w:r>
    </w:p>
    <w:p>
      <w:pPr>
        <w:pStyle w:val="FirstParagraph"/>
      </w:pPr>
      <w:r>
        <w:t xml:space="preserve">List permitted combinations by use case:</w:t>
      </w:r>
    </w:p>
    <w:tbl>
      <w:tblPr>
        <w:tblStyle w:val="Table"/>
        <w:tblW w:type="pct" w:w="5000"/>
        <w:tblLook w:firstRow="1" w:lastRow="0" w:firstColumn="0" w:lastColumn="0" w:noHBand="0" w:noVBand="0" w:val="0020"/>
        <w:jc w:val="start"/>
      </w:tblPr>
      <w:tblGrid>
        <w:gridCol w:w="1389"/>
        <w:gridCol w:w="3612"/>
        <w:gridCol w:w="2917"/>
      </w:tblGrid>
      <w:tr>
        <w:trPr>
          <w:tblHeader w:val="true"/>
        </w:trPr>
        <w:tc>
          <w:tcPr/>
          <w:p>
            <w:pPr>
              <w:pStyle w:val="Compact"/>
              <w:jc w:val="left"/>
            </w:pPr>
            <w:r>
              <w:t xml:space="preserve">Use case</w:t>
            </w:r>
          </w:p>
        </w:tc>
        <w:tc>
          <w:tcPr/>
          <w:p>
            <w:pPr>
              <w:pStyle w:val="Compact"/>
              <w:jc w:val="left"/>
            </w:pPr>
            <w:r>
              <w:t xml:space="preserve">Approved H1 construction</w:t>
            </w:r>
          </w:p>
        </w:tc>
        <w:tc>
          <w:tcPr/>
          <w:p>
            <w:pPr>
              <w:pStyle w:val="Compact"/>
              <w:jc w:val="left"/>
            </w:pPr>
            <w:r>
              <w:t xml:space="preserve">Standards reference</w:t>
            </w:r>
          </w:p>
        </w:tc>
      </w:tr>
      <w:tr>
        <w:tc>
          <w:tcPr/>
          <w:p>
            <w:pPr>
              <w:pStyle w:val="Compact"/>
              <w:jc w:val="left"/>
            </w:pPr>
            <w:r>
              <w:t xml:space="preserve">TLS 1.3</w:t>
            </w:r>
          </w:p>
        </w:tc>
        <w:tc>
          <w:tcPr/>
          <w:p>
            <w:pPr>
              <w:pStyle w:val="Compact"/>
              <w:jc w:val="left"/>
            </w:pPr>
            <w:r>
              <w:t xml:space="preserve">X25519 + ML-KEM-768</w:t>
            </w:r>
          </w:p>
        </w:tc>
        <w:tc>
          <w:tcPr/>
          <w:p>
            <w:pPr>
              <w:pStyle w:val="Compact"/>
              <w:jc w:val="left"/>
            </w:pPr>
            <w:r>
              <w:t xml:space="preserve">IETF standards-track hybrid</w:t>
            </w:r>
          </w:p>
        </w:tc>
      </w:tr>
      <w:tr>
        <w:tc>
          <w:tcPr/>
          <w:p>
            <w:pPr>
              <w:pStyle w:val="Compact"/>
              <w:jc w:val="left"/>
            </w:pPr>
            <w:r>
              <w:t xml:space="preserve">VPN (IKEv2)</w:t>
            </w:r>
          </w:p>
        </w:tc>
        <w:tc>
          <w:tcPr/>
          <w:p>
            <w:pPr>
              <w:pStyle w:val="Compact"/>
              <w:jc w:val="left"/>
            </w:pPr>
            <w:r>
              <w:t xml:space="preserve">ECDH + ML-KEM (per vendor/IETF profile)</w:t>
            </w:r>
          </w:p>
        </w:tc>
        <w:tc>
          <w:tcPr/>
          <w:p>
            <w:pPr>
              <w:pStyle w:val="Compact"/>
              <w:jc w:val="left"/>
            </w:pPr>
            <w:r>
              <w:t xml:space="preserve">Vendor-validated profile</w:t>
            </w:r>
          </w:p>
        </w:tc>
      </w:tr>
      <w:tr>
        <w:tc>
          <w:tcPr/>
          <w:p>
            <w:pPr>
              <w:pStyle w:val="Compact"/>
              <w:jc w:val="left"/>
            </w:pPr>
            <w:r>
              <w:t xml:space="preserve">Code signing</w:t>
            </w:r>
          </w:p>
        </w:tc>
        <w:tc>
          <w:tcPr/>
          <w:p>
            <w:pPr>
              <w:pStyle w:val="Compact"/>
              <w:jc w:val="left"/>
            </w:pPr>
            <w:r>
              <w:t xml:space="preserve">Classical + ML-DSA dual signature</w:t>
            </w:r>
          </w:p>
        </w:tc>
        <w:tc>
          <w:tcPr/>
          <w:p>
            <w:pPr>
              <w:pStyle w:val="Compact"/>
              <w:jc w:val="left"/>
            </w:pPr>
            <w:r>
              <w:t xml:space="preserve">Organisation-defined; CMS updates</w:t>
            </w:r>
          </w:p>
        </w:tc>
      </w:tr>
      <w:tr>
        <w:tc>
          <w:tcPr/>
          <w:p>
            <w:pPr>
              <w:pStyle w:val="Compact"/>
              <w:jc w:val="left"/>
            </w:pPr>
            <w:r>
              <w:t xml:space="preserve">Email (S/MIME)</w:t>
            </w:r>
          </w:p>
        </w:tc>
        <w:tc>
          <w:tcPr/>
          <w:p>
            <w:pPr>
              <w:pStyle w:val="Compact"/>
              <w:jc w:val="left"/>
            </w:pPr>
            <w:r>
              <w:t xml:space="preserve">Classical + ML-DSA</w:t>
            </w:r>
          </w:p>
        </w:tc>
        <w:tc>
          <w:tcPr/>
          <w:p>
            <w:pPr>
              <w:pStyle w:val="Compact"/>
              <w:jc w:val="left"/>
            </w:pPr>
            <w:r>
              <w:t xml:space="preserve">IETF/CMS profile when available</w:t>
            </w:r>
          </w:p>
        </w:tc>
      </w:tr>
    </w:tbl>
    <w:p>
      <w:pPr>
        <w:pStyle w:val="BodyText"/>
      </w:pPr>
      <w:r>
        <w:t xml:space="preserve">Prohibited: ad hoc hybrid combinations without cryptanalysis-backed construction proofs; hybrids using deprecated classical algorithms (RSA-1024, ECDSA with weak curves); permanent hybrid deployment without H2 trigger.</w:t>
      </w:r>
    </w:p>
    <w:bookmarkEnd w:id="40"/>
    <w:bookmarkStart w:id="41" w:name="sample-hybrid-policy-language"/>
    <w:p>
      <w:pPr>
        <w:pStyle w:val="Heading3"/>
      </w:pPr>
      <w:r>
        <w:t xml:space="preserve">Sample hybrid policy language</w:t>
      </w:r>
    </w:p>
    <w:p>
      <w:pPr>
        <w:pStyle w:val="FirstParagraph"/>
      </w:pPr>
      <w:r>
        <w:t xml:space="preserve">The following excerpt illustrates Policy-layer tone — organisation-specific legal review required:</w:t>
      </w:r>
    </w:p>
    <w:p>
      <w:pPr>
        <w:pStyle w:val="BlockText"/>
      </w:pPr>
      <w:r>
        <w:rPr>
          <w:bCs/>
          <w:b/>
        </w:rPr>
        <w:t xml:space="preserve">Hybrid Cryptography Standard (excerpt)</w:t>
      </w:r>
    </w:p>
    <w:p>
      <w:pPr>
        <w:numPr>
          <w:ilvl w:val="0"/>
          <w:numId w:val="1005"/>
        </w:numPr>
        <w:pStyle w:val="Compact"/>
      </w:pPr>
      <w:r>
        <w:t xml:space="preserve">Near-term production deployments of quantum-vulnerable protocols shall implement Protective Hybrid (H1) constructions listed in Annex B unless Ecosystem readiness assessment (TRADE dimension E ≥ 4) supports PQC-native deployment.</w:t>
      </w:r>
    </w:p>
    <w:p>
      <w:pPr>
        <w:numPr>
          <w:ilvl w:val="0"/>
          <w:numId w:val="1005"/>
        </w:numPr>
        <w:pStyle w:val="Compact"/>
      </w:pPr>
      <w:r>
        <w:t xml:space="preserve">Every H1 deployment shall record</w:t>
      </w:r>
      <w:r>
        <w:t xml:space="preserve"> </w:t>
      </w:r>
      <w:r>
        <w:rPr>
          <w:rStyle w:val="VerbatimChar"/>
        </w:rPr>
        <w:t xml:space="preserve">h2_trigger_type</w:t>
      </w:r>
      <w:r>
        <w:t xml:space="preserve"> </w:t>
      </w:r>
      <w:r>
        <w:t xml:space="preserve">and</w:t>
      </w:r>
      <w:r>
        <w:t xml:space="preserve"> </w:t>
      </w:r>
      <w:r>
        <w:rPr>
          <w:rStyle w:val="VerbatimChar"/>
        </w:rPr>
        <w:t xml:space="preserve">h2_trigger_value</w:t>
      </w:r>
      <w:r>
        <w:t xml:space="preserve"> </w:t>
      </w:r>
      <w:r>
        <w:t xml:space="preserve">in the Cryptographic Bill of Materials before production approval.</w:t>
      </w:r>
    </w:p>
    <w:p>
      <w:pPr>
        <w:numPr>
          <w:ilvl w:val="0"/>
          <w:numId w:val="1005"/>
        </w:numPr>
        <w:pStyle w:val="Compact"/>
      </w:pPr>
      <w:r>
        <w:t xml:space="preserve">Classical components in approved hybrid constructions are deprecated for new deployments effective 1 January 2030, aligned to NIST IR 8547 planning anchors. Continued classical use requires entry in the Risk Acceptance Register (Annex C).</w:t>
      </w:r>
    </w:p>
    <w:p>
      <w:pPr>
        <w:numPr>
          <w:ilvl w:val="0"/>
          <w:numId w:val="1005"/>
        </w:numPr>
        <w:pStyle w:val="Compact"/>
      </w:pPr>
      <w:r>
        <w:t xml:space="preserve">Transitional Hybrid (H2) begins when H1 exit criteria are met for a defined scope (service tier, business unit, or estate segment). H2 scopes shall not regress to classical-only new deployments without CISO exception.</w:t>
      </w:r>
    </w:p>
    <w:p>
      <w:pPr>
        <w:numPr>
          <w:ilvl w:val="0"/>
          <w:numId w:val="1005"/>
        </w:numPr>
        <w:pStyle w:val="Compact"/>
      </w:pPr>
      <w:r>
        <w:t xml:space="preserve">PQC-Native (H3) is the target state for all in-scope systems by 31 December 2035 unless disallowance policy is revised following NIST final guidance.</w:t>
      </w:r>
    </w:p>
    <w:p>
      <w:pPr>
        <w:pStyle w:val="FirstParagraph"/>
      </w:pPr>
      <w:r>
        <w:t xml:space="preserve">Meridian adopted language closely matching this structure — enabling Thomas Bergström’s team to demonstrate policy-to-CBOM traceability in supervisory dialogue.</w:t>
      </w:r>
    </w:p>
    <w:bookmarkEnd w:id="41"/>
    <w:bookmarkStart w:id="42" w:name="phase-assignment-rules"/>
    <w:p>
      <w:pPr>
        <w:pStyle w:val="Heading3"/>
      </w:pPr>
      <w:r>
        <w:t xml:space="preserve">Phase assignment rules</w:t>
      </w:r>
    </w:p>
    <w:p>
      <w:pPr>
        <w:pStyle w:val="FirstParagraph"/>
      </w:pPr>
      <w:r>
        <w:t xml:space="preserve">Every system receiving hybrid deployment is assigned H1 with an H2 trigger at change approval. CBOM entries include</w:t>
      </w:r>
      <w:r>
        <w:t xml:space="preserve"> </w:t>
      </w:r>
      <w:r>
        <w:rPr>
          <w:rStyle w:val="VerbatimChar"/>
        </w:rPr>
        <w:t xml:space="preserve">hlm_phase</w:t>
      </w:r>
      <w:r>
        <w:t xml:space="preserve"> </w:t>
      </w:r>
      <w:r>
        <w:t xml:space="preserve">attribute: H1, H2, or H3.</w:t>
      </w:r>
    </w:p>
    <w:bookmarkEnd w:id="42"/>
    <w:bookmarkStart w:id="43" w:name="classical-component-sunset"/>
    <w:p>
      <w:pPr>
        <w:pStyle w:val="Heading3"/>
      </w:pPr>
      <w:r>
        <w:t xml:space="preserve">Classical component sunset</w:t>
      </w:r>
    </w:p>
    <w:p>
      <w:pPr>
        <w:pStyle w:val="FirstParagraph"/>
      </w:pPr>
      <w:r>
        <w:t xml:space="preserve">Enterprise policy names the classical algorithms subject to sunset — typically RSA, finite-field DH, ECDSA, EdDSA at enterprise-standard key sizes. Sunset means: no new deployments after date X; existing deployments migrate by date Y.</w:t>
      </w:r>
    </w:p>
    <w:bookmarkEnd w:id="43"/>
    <w:bookmarkStart w:id="44" w:name="performance-and-operational-limits"/>
    <w:p>
      <w:pPr>
        <w:pStyle w:val="Heading3"/>
      </w:pPr>
      <w:r>
        <w:t xml:space="preserve">Performance and operational limits</w:t>
      </w:r>
    </w:p>
    <w:p>
      <w:pPr>
        <w:pStyle w:val="FirstParagraph"/>
      </w:pPr>
      <w:r>
        <w:t xml:space="preserve">Hybrids increase handshake size, signature size, and CPU cost. Policy should reference infrastructure assessment requirements before H1 production approval — preventing deployment on systems that cannot sustain operational load.</w:t>
      </w:r>
    </w:p>
    <w:p>
      <w:r>
        <w:pict>
          <v:rect style="width:0;height:1.5pt" o:hralign="center" o:hrstd="t" o:hr="t"/>
        </w:pict>
      </w:r>
    </w:p>
    <w:bookmarkEnd w:id="44"/>
    <w:bookmarkEnd w:id="45"/>
    <w:bookmarkStart w:id="48" w:name="exceptions-and-risk-acceptance"/>
    <w:p>
      <w:pPr>
        <w:pStyle w:val="Heading2"/>
      </w:pPr>
      <w:r>
        <w:t xml:space="preserve">5.8 Exceptions and Risk Acceptance</w:t>
      </w:r>
    </w:p>
    <w:p>
      <w:pPr>
        <w:pStyle w:val="FirstParagraph"/>
      </w:pPr>
      <w:r>
        <w:t xml:space="preserve">Exceptions are inevitable. Exceptions without governance are compliance failures.</w:t>
      </w:r>
    </w:p>
    <w:bookmarkStart w:id="46" w:name="exception-types"/>
    <w:p>
      <w:pPr>
        <w:pStyle w:val="Heading3"/>
      </w:pPr>
      <w:r>
        <w:t xml:space="preserve">Exception types</w:t>
      </w:r>
    </w:p>
    <w:tbl>
      <w:tblPr>
        <w:tblStyle w:val="Table"/>
        <w:tblW w:type="pct" w:w="5000"/>
        <w:tblLook w:firstRow="1" w:lastRow="0" w:firstColumn="0" w:lastColumn="0" w:noHBand="0" w:noVBand="0" w:val="0020"/>
        <w:jc w:val="start"/>
      </w:tblPr>
      <w:tblGrid>
        <w:gridCol w:w="1105"/>
        <w:gridCol w:w="1657"/>
        <w:gridCol w:w="3315"/>
        <w:gridCol w:w="1841"/>
      </w:tblGrid>
      <w:tr>
        <w:trPr>
          <w:tblHeader w:val="true"/>
        </w:trPr>
        <w:tc>
          <w:tcPr/>
          <w:p>
            <w:pPr>
              <w:pStyle w:val="Compact"/>
              <w:jc w:val="left"/>
            </w:pPr>
            <w:r>
              <w:t xml:space="preserve">Type</w:t>
            </w:r>
          </w:p>
        </w:tc>
        <w:tc>
          <w:tcPr/>
          <w:p>
            <w:pPr>
              <w:pStyle w:val="Compact"/>
              <w:jc w:val="left"/>
            </w:pPr>
            <w:r>
              <w:t xml:space="preserve">Example</w:t>
            </w:r>
          </w:p>
        </w:tc>
        <w:tc>
          <w:tcPr/>
          <w:p>
            <w:pPr>
              <w:pStyle w:val="Compact"/>
              <w:jc w:val="left"/>
            </w:pPr>
            <w:r>
              <w:t xml:space="preserve">Maximum duration</w:t>
            </w:r>
          </w:p>
        </w:tc>
        <w:tc>
          <w:tcPr/>
          <w:p>
            <w:pPr>
              <w:pStyle w:val="Compact"/>
              <w:jc w:val="left"/>
            </w:pPr>
            <w:r>
              <w:t xml:space="preserve">Approval</w:t>
            </w:r>
          </w:p>
        </w:tc>
      </w:tr>
      <w:tr>
        <w:tc>
          <w:tcPr/>
          <w:p>
            <w:pPr>
              <w:pStyle w:val="Compact"/>
              <w:jc w:val="left"/>
            </w:pPr>
            <w:r>
              <w:rPr>
                <w:bCs/>
                <w:b/>
              </w:rPr>
              <w:t xml:space="preserve">Ecosystem-gated</w:t>
            </w:r>
          </w:p>
        </w:tc>
        <w:tc>
          <w:tcPr/>
          <w:p>
            <w:pPr>
              <w:pStyle w:val="Compact"/>
              <w:jc w:val="left"/>
            </w:pPr>
            <w:r>
              <w:t xml:space="preserve">HSM vendor PQC module unavailable</w:t>
            </w:r>
          </w:p>
        </w:tc>
        <w:tc>
          <w:tcPr/>
          <w:p>
            <w:pPr>
              <w:pStyle w:val="Compact"/>
              <w:jc w:val="left"/>
            </w:pPr>
            <w:r>
              <w:t xml:space="preserve">Until vendor delivery + 90 days integration</w:t>
            </w:r>
          </w:p>
        </w:tc>
        <w:tc>
          <w:tcPr/>
          <w:p>
            <w:pPr>
              <w:pStyle w:val="Compact"/>
              <w:jc w:val="left"/>
            </w:pPr>
            <w:r>
              <w:t xml:space="preserve">CISO</w:t>
            </w:r>
          </w:p>
        </w:tc>
      </w:tr>
      <w:tr>
        <w:tc>
          <w:tcPr/>
          <w:p>
            <w:pPr>
              <w:pStyle w:val="Compact"/>
              <w:jc w:val="left"/>
            </w:pPr>
            <w:r>
              <w:rPr>
                <w:bCs/>
                <w:b/>
              </w:rPr>
              <w:t xml:space="preserve">Partner-gated</w:t>
            </w:r>
          </w:p>
        </w:tc>
        <w:tc>
          <w:tcPr/>
          <w:p>
            <w:pPr>
              <w:pStyle w:val="Compact"/>
              <w:jc w:val="left"/>
            </w:pPr>
            <w:r>
              <w:t xml:space="preserve">Acquiring bank trust store delay</w:t>
            </w:r>
          </w:p>
        </w:tc>
        <w:tc>
          <w:tcPr/>
          <w:p>
            <w:pPr>
              <w:pStyle w:val="Compact"/>
              <w:jc w:val="left"/>
            </w:pPr>
            <w:r>
              <w:t xml:space="preserve">Until partner confirmation + 6 months</w:t>
            </w:r>
          </w:p>
        </w:tc>
        <w:tc>
          <w:tcPr/>
          <w:p>
            <w:pPr>
              <w:pStyle w:val="Compact"/>
              <w:jc w:val="left"/>
            </w:pPr>
            <w:r>
              <w:t xml:space="preserve">CISO + business owner</w:t>
            </w:r>
          </w:p>
        </w:tc>
      </w:tr>
      <w:tr>
        <w:tc>
          <w:tcPr/>
          <w:p>
            <w:pPr>
              <w:pStyle w:val="Compact"/>
              <w:jc w:val="left"/>
            </w:pPr>
            <w:r>
              <w:rPr>
                <w:bCs/>
                <w:b/>
              </w:rPr>
              <w:t xml:space="preserve">Technical constraint</w:t>
            </w:r>
          </w:p>
        </w:tc>
        <w:tc>
          <w:tcPr/>
          <w:p>
            <w:pPr>
              <w:pStyle w:val="Compact"/>
              <w:jc w:val="left"/>
            </w:pPr>
            <w:r>
              <w:t xml:space="preserve">OT device cannot accommodate ML-DSA chain</w:t>
            </w:r>
          </w:p>
        </w:tc>
        <w:tc>
          <w:tcPr/>
          <w:p>
            <w:pPr>
              <w:pStyle w:val="Compact"/>
              <w:jc w:val="left"/>
            </w:pPr>
            <w:r>
              <w:t xml:space="preserve">Until device refresh or compensating control</w:t>
            </w:r>
          </w:p>
        </w:tc>
        <w:tc>
          <w:tcPr/>
          <w:p>
            <w:pPr>
              <w:pStyle w:val="Compact"/>
              <w:jc w:val="left"/>
            </w:pPr>
            <w:r>
              <w:t xml:space="preserve">CISO + OT security</w:t>
            </w:r>
          </w:p>
        </w:tc>
      </w:tr>
      <w:tr>
        <w:tc>
          <w:tcPr/>
          <w:p>
            <w:pPr>
              <w:pStyle w:val="Compact"/>
              <w:jc w:val="left"/>
            </w:pPr>
            <w:r>
              <w:rPr>
                <w:bCs/>
                <w:b/>
              </w:rPr>
              <w:t xml:space="preserve">Deprecation risk acceptance</w:t>
            </w:r>
          </w:p>
        </w:tc>
        <w:tc>
          <w:tcPr/>
          <w:p>
            <w:pPr>
              <w:pStyle w:val="Compact"/>
              <w:jc w:val="left"/>
            </w:pPr>
            <w:r>
              <w:t xml:space="preserve">Legacy system retiring 2029</w:t>
            </w:r>
          </w:p>
        </w:tc>
        <w:tc>
          <w:tcPr/>
          <w:p>
            <w:pPr>
              <w:pStyle w:val="Compact"/>
              <w:jc w:val="left"/>
            </w:pPr>
            <w:r>
              <w:t xml:space="preserve">Until decommission date</w:t>
            </w:r>
          </w:p>
        </w:tc>
        <w:tc>
          <w:tcPr/>
          <w:p>
            <w:pPr>
              <w:pStyle w:val="Compact"/>
              <w:jc w:val="left"/>
            </w:pPr>
            <w:r>
              <w:t xml:space="preserve">CISO; legal review if regulated data</w:t>
            </w:r>
          </w:p>
        </w:tc>
      </w:tr>
    </w:tbl>
    <w:bookmarkEnd w:id="46"/>
    <w:bookmarkStart w:id="47" w:name="exception-documentation"/>
    <w:p>
      <w:pPr>
        <w:pStyle w:val="Heading3"/>
      </w:pPr>
      <w:r>
        <w:t xml:space="preserve">Exception documentation</w:t>
      </w:r>
    </w:p>
    <w:p>
      <w:pPr>
        <w:pStyle w:val="FirstParagraph"/>
      </w:pPr>
      <w:r>
        <w:t xml:space="preserve">Each exception requires a CBOM record with: algorithm in use, TRADE scores, blocking dependency reference, compensating controls, review date, and named owner. Exceptions expiring without remediation escalate to steering committee — not silent renewal.</w:t>
      </w:r>
    </w:p>
    <w:p>
      <w:pPr>
        <w:pStyle w:val="BodyText"/>
      </w:pPr>
      <w:r>
        <w:t xml:space="preserve">Meridian limited ecosystem-gated exceptions to</w:t>
      </w:r>
      <w:r>
        <w:t xml:space="preserve"> </w:t>
      </w:r>
      <w:r>
        <w:rPr>
          <w:bCs/>
          <w:b/>
        </w:rPr>
        <w:t xml:space="preserve">two renewal cycles</w:t>
      </w:r>
      <w:r>
        <w:t xml:space="preserve"> </w:t>
      </w:r>
      <w:r>
        <w:t xml:space="preserve">before steering committee escalation to the board risk committee — preventing perpetual</w:t>
      </w:r>
      <w:r>
        <w:t xml:space="preserve"> </w:t>
      </w:r>
      <w:r>
        <w:t xml:space="preserve">“</w:t>
      </w:r>
      <w:r>
        <w:t xml:space="preserve">waiting for vendor</w:t>
      </w:r>
      <w:r>
        <w:t xml:space="preserve">”</w:t>
      </w:r>
      <w:r>
        <w:t xml:space="preserve"> </w:t>
      </w:r>
      <w:r>
        <w:t xml:space="preserve">status.</w:t>
      </w:r>
    </w:p>
    <w:p>
      <w:r>
        <w:pict>
          <v:rect style="width:0;height:1.5pt" o:hralign="center" o:hrstd="t" o:hr="t"/>
        </w:pict>
      </w:r>
    </w:p>
    <w:bookmarkEnd w:id="47"/>
    <w:bookmarkEnd w:id="48"/>
    <w:bookmarkStart w:id="54" w:name="Xc31ac93ed4667723c918c226e05d34bd235b496"/>
    <w:p>
      <w:pPr>
        <w:pStyle w:val="Heading2"/>
      </w:pPr>
      <w:r>
        <w:t xml:space="preserve">5.9 Sunset Criteria and Deprecation Governance</w:t>
      </w:r>
    </w:p>
    <w:p>
      <w:pPr>
        <w:pStyle w:val="FirstParagraph"/>
      </w:pPr>
      <w:r>
        <w:t xml:space="preserve">Sunset criteria convert policy anchors into operational gates. Effective sunset governance includes:</w:t>
      </w:r>
    </w:p>
    <w:bookmarkStart w:id="49" w:name="calendar-based-sunsets"/>
    <w:p>
      <w:pPr>
        <w:pStyle w:val="Heading3"/>
      </w:pPr>
      <w:r>
        <w:t xml:space="preserve">Calendar-based sunsets</w:t>
      </w:r>
    </w:p>
    <w:p>
      <w:pPr>
        <w:pStyle w:val="FirstParagraph"/>
      </w:pPr>
      <w:r>
        <w:t xml:space="preserve">Aligned to NIST IR 8547: no new quantum-vulnerable PKC deployments after 2030; no quantum-vulnerable PKC in production after 2035. Calendar sunsets apply to the enterprise default — exceptions require the process above.</w:t>
      </w:r>
    </w:p>
    <w:bookmarkEnd w:id="49"/>
    <w:bookmarkStart w:id="50" w:name="ecosystem-based-sunsets"/>
    <w:p>
      <w:pPr>
        <w:pStyle w:val="Heading3"/>
      </w:pPr>
      <w:r>
        <w:t xml:space="preserve">Ecosystem-based sunsets</w:t>
      </w:r>
    </w:p>
    <w:p>
      <w:pPr>
        <w:pStyle w:val="FirstParagraph"/>
      </w:pPr>
      <w:r>
        <w:t xml:space="preserve">H1 → H2 transition triggered when measured client/partner support exceeds threshold. GlobalSync used production TLS handshake analytics — not synthetic monitoring — to measure PQC client support.</w:t>
      </w:r>
    </w:p>
    <w:bookmarkEnd w:id="50"/>
    <w:bookmarkStart w:id="51" w:name="dependency-based-sunsets"/>
    <w:p>
      <w:pPr>
        <w:pStyle w:val="Heading3"/>
      </w:pPr>
      <w:r>
        <w:t xml:space="preserve">Dependency-based sunsets</w:t>
      </w:r>
    </w:p>
    <w:p>
      <w:pPr>
        <w:pStyle w:val="FirstParagraph"/>
      </w:pPr>
      <w:r>
        <w:t xml:space="preserve">Blocking node resolution triggers downstream migration waves. When Meridian’s HSM firmware signing chain reaches H3, twelve dependent systems become eligible for accelerated migration — a CDG-driven sunset cascade.</w:t>
      </w:r>
    </w:p>
    <w:bookmarkEnd w:id="51"/>
    <w:bookmarkStart w:id="52" w:name="exception-register-structure"/>
    <w:p>
      <w:pPr>
        <w:pStyle w:val="Heading3"/>
      </w:pPr>
      <w:r>
        <w:t xml:space="preserve">Exception register structure</w:t>
      </w:r>
    </w:p>
    <w:p>
      <w:pPr>
        <w:pStyle w:val="FirstParagraph"/>
      </w:pPr>
      <w:r>
        <w:t xml:space="preserve">Maintain a live exception register — not spreadsheet fragments across teams. Minimum fields: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Purpose</w:t>
            </w:r>
          </w:p>
        </w:tc>
      </w:tr>
      <w:tr>
        <w:tc>
          <w:tcPr/>
          <w:p>
            <w:pPr>
              <w:pStyle w:val="Compact"/>
              <w:jc w:val="left"/>
            </w:pPr>
            <w:r>
              <w:t xml:space="preserve">System ID</w:t>
            </w:r>
          </w:p>
        </w:tc>
        <w:tc>
          <w:tcPr/>
          <w:p>
            <w:pPr>
              <w:pStyle w:val="Compact"/>
              <w:jc w:val="left"/>
            </w:pPr>
            <w:r>
              <w:t xml:space="preserve">CBOM cross-reference</w:t>
            </w:r>
          </w:p>
        </w:tc>
      </w:tr>
      <w:tr>
        <w:tc>
          <w:tcPr/>
          <w:p>
            <w:pPr>
              <w:pStyle w:val="Compact"/>
              <w:jc w:val="left"/>
            </w:pPr>
            <w:r>
              <w:t xml:space="preserve">Algorithm in use</w:t>
            </w:r>
          </w:p>
        </w:tc>
        <w:tc>
          <w:tcPr/>
          <w:p>
            <w:pPr>
              <w:pStyle w:val="Compact"/>
              <w:jc w:val="left"/>
            </w:pPr>
            <w:r>
              <w:t xml:space="preserve">Classical scheme and key size</w:t>
            </w:r>
          </w:p>
        </w:tc>
      </w:tr>
      <w:tr>
        <w:tc>
          <w:tcPr/>
          <w:p>
            <w:pPr>
              <w:pStyle w:val="Compact"/>
              <w:jc w:val="left"/>
            </w:pPr>
            <w:r>
              <w:t xml:space="preserve">Exception type</w:t>
            </w:r>
          </w:p>
        </w:tc>
        <w:tc>
          <w:tcPr/>
          <w:p>
            <w:pPr>
              <w:pStyle w:val="Compact"/>
              <w:jc w:val="left"/>
            </w:pPr>
            <w:r>
              <w:t xml:space="preserve">Ecosystem / partner / technical / deprecation</w:t>
            </w:r>
          </w:p>
        </w:tc>
      </w:tr>
      <w:tr>
        <w:tc>
          <w:tcPr/>
          <w:p>
            <w:pPr>
              <w:pStyle w:val="Compact"/>
              <w:jc w:val="left"/>
            </w:pPr>
            <w:r>
              <w:t xml:space="preserve">TRADE MPI</w:t>
            </w:r>
          </w:p>
        </w:tc>
        <w:tc>
          <w:tcPr/>
          <w:p>
            <w:pPr>
              <w:pStyle w:val="Compact"/>
              <w:jc w:val="left"/>
            </w:pPr>
            <w:r>
              <w:t xml:space="preserve">Prioritisation context</w:t>
            </w:r>
          </w:p>
        </w:tc>
      </w:tr>
      <w:tr>
        <w:tc>
          <w:tcPr/>
          <w:p>
            <w:pPr>
              <w:pStyle w:val="Compact"/>
              <w:jc w:val="left"/>
            </w:pPr>
            <w:r>
              <w:t xml:space="preserve">Blocking dependency</w:t>
            </w:r>
          </w:p>
        </w:tc>
        <w:tc>
          <w:tcPr/>
          <w:p>
            <w:pPr>
              <w:pStyle w:val="Compact"/>
              <w:jc w:val="left"/>
            </w:pPr>
            <w:r>
              <w:t xml:space="preserve">CDG node reference</w:t>
            </w:r>
          </w:p>
        </w:tc>
      </w:tr>
      <w:tr>
        <w:tc>
          <w:tcPr/>
          <w:p>
            <w:pPr>
              <w:pStyle w:val="Compact"/>
              <w:jc w:val="left"/>
            </w:pPr>
            <w:r>
              <w:t xml:space="preserve">Compensating controls</w:t>
            </w:r>
          </w:p>
        </w:tc>
        <w:tc>
          <w:tcPr/>
          <w:p>
            <w:pPr>
              <w:pStyle w:val="Compact"/>
              <w:jc w:val="left"/>
            </w:pPr>
            <w:r>
              <w:t xml:space="preserve">Active risk reduction</w:t>
            </w:r>
          </w:p>
        </w:tc>
      </w:tr>
      <w:tr>
        <w:tc>
          <w:tcPr/>
          <w:p>
            <w:pPr>
              <w:pStyle w:val="Compact"/>
              <w:jc w:val="left"/>
            </w:pPr>
            <w:r>
              <w:t xml:space="preserve">Approval authority</w:t>
            </w:r>
          </w:p>
        </w:tc>
        <w:tc>
          <w:tcPr/>
          <w:p>
            <w:pPr>
              <w:pStyle w:val="Compact"/>
              <w:jc w:val="left"/>
            </w:pPr>
            <w:r>
              <w:t xml:space="preserve">Named individual and date</w:t>
            </w:r>
          </w:p>
        </w:tc>
      </w:tr>
      <w:tr>
        <w:tc>
          <w:tcPr/>
          <w:p>
            <w:pPr>
              <w:pStyle w:val="Compact"/>
              <w:jc w:val="left"/>
            </w:pPr>
            <w:r>
              <w:t xml:space="preserve">Review date</w:t>
            </w:r>
          </w:p>
        </w:tc>
        <w:tc>
          <w:tcPr/>
          <w:p>
            <w:pPr>
              <w:pStyle w:val="Compact"/>
              <w:jc w:val="left"/>
            </w:pPr>
            <w:r>
              <w:t xml:space="preserve">Maximum twelve months</w:t>
            </w:r>
          </w:p>
        </w:tc>
      </w:tr>
      <w:tr>
        <w:tc>
          <w:tcPr/>
          <w:p>
            <w:pPr>
              <w:pStyle w:val="Compact"/>
              <w:jc w:val="left"/>
            </w:pPr>
            <w:r>
              <w:t xml:space="preserve">Sunset or remediation date</w:t>
            </w:r>
          </w:p>
        </w:tc>
        <w:tc>
          <w:tcPr/>
          <w:p>
            <w:pPr>
              <w:pStyle w:val="Compact"/>
              <w:jc w:val="left"/>
            </w:pPr>
            <w:r>
              <w:t xml:space="preserve">Hard stop</w:t>
            </w:r>
          </w:p>
        </w:tc>
      </w:tr>
    </w:tbl>
    <w:p>
      <w:pPr>
        <w:pStyle w:val="BodyText"/>
      </w:pPr>
      <w:r>
        <w:t xml:space="preserve">Steering committee reviews exceptions exceeding two renewal cycles — preventing perpetual classical PKC in TES 5 systems.</w:t>
      </w:r>
    </w:p>
    <w:bookmarkEnd w:id="52"/>
    <w:bookmarkStart w:id="53" w:name="policy-review-cadence"/>
    <w:p>
      <w:pPr>
        <w:pStyle w:val="Heading3"/>
      </w:pPr>
      <w:r>
        <w:t xml:space="preserve">Policy review cadence</w:t>
      </w:r>
    </w:p>
    <w:p>
      <w:pPr>
        <w:pStyle w:val="FirstParagraph"/>
      </w:pPr>
      <w:r>
        <w:t xml:space="preserve">Cryptography policy and sunset dates are reviewed</w:t>
      </w:r>
      <w:r>
        <w:t xml:space="preserve"> </w:t>
      </w:r>
      <w:r>
        <w:rPr>
          <w:bCs/>
          <w:b/>
        </w:rPr>
        <w:t xml:space="preserve">quarterly</w:t>
      </w:r>
      <w:r>
        <w:t xml:space="preserve"> </w:t>
      </w:r>
      <w:r>
        <w:t xml:space="preserve">by the programme office and</w:t>
      </w:r>
      <w:r>
        <w:t xml:space="preserve"> </w:t>
      </w:r>
      <w:r>
        <w:rPr>
          <w:bCs/>
          <w:b/>
        </w:rPr>
        <w:t xml:space="preserve">annually</w:t>
      </w:r>
      <w:r>
        <w:t xml:space="preserve"> </w:t>
      </w:r>
      <w:r>
        <w:t xml:space="preserve">by the policy committee. NIST IR 8547 revisions, CNSA updates, and regulatory publications trigger ad hoc review.</w:t>
      </w:r>
    </w:p>
    <w:p>
      <w:r>
        <w:pict>
          <v:rect style="width:0;height:1.5pt" o:hralign="center" o:hrstd="t" o:hr="t"/>
        </w:pict>
      </w:r>
    </w:p>
    <w:bookmarkEnd w:id="53"/>
    <w:bookmarkEnd w:id="54"/>
    <w:bookmarkStart w:id="55" w:name="globalsync-multinational-policy-variants"/>
    <w:p>
      <w:pPr>
        <w:pStyle w:val="Heading2"/>
      </w:pPr>
      <w:r>
        <w:t xml:space="preserve">5.10 GlobalSync: Multinational Policy Variants</w:t>
      </w:r>
    </w:p>
    <w:p>
      <w:pPr>
        <w:pStyle w:val="FirstParagraph"/>
      </w:pPr>
      <w:r>
        <w:t xml:space="preserve">GlobalSync Logistics operates a</w:t>
      </w:r>
      <w:r>
        <w:t xml:space="preserve"> </w:t>
      </w:r>
      <w:r>
        <w:rPr>
          <w:bCs/>
          <w:b/>
        </w:rPr>
        <w:t xml:space="preserve">single global programme</w:t>
      </w:r>
      <w:r>
        <w:t xml:space="preserve"> </w:t>
      </w:r>
      <w:r>
        <w:t xml:space="preserve">with</w:t>
      </w:r>
      <w:r>
        <w:t xml:space="preserve"> </w:t>
      </w:r>
      <w:r>
        <w:rPr>
          <w:bCs/>
          <w:b/>
        </w:rPr>
        <w:t xml:space="preserve">jurisdiction annotations</w:t>
      </w:r>
      <w:r>
        <w:t xml:space="preserve"> </w:t>
      </w:r>
      <w:r>
        <w:t xml:space="preserve">— the pattern introduced in Chapter 3 for regulatory compliance, applied here to timeline and hybrid policy.</w:t>
      </w:r>
    </w:p>
    <w:p>
      <w:pPr>
        <w:pStyle w:val="BodyText"/>
      </w:pPr>
      <w:r>
        <w:rPr>
          <w:bCs/>
          <w:b/>
        </w:rPr>
        <w:t xml:space="preserve">Table 5.4 — GlobalSync Timeline Overlay (Excerpt)</w:t>
      </w:r>
    </w:p>
    <w:tbl>
      <w:tblPr>
        <w:tblStyle w:val="Table"/>
        <w:tblW w:type="pct" w:w="5000"/>
        <w:tblLook w:firstRow="1" w:lastRow="0" w:firstColumn="0" w:lastColumn="0" w:noHBand="0" w:noVBand="0" w:val="0020"/>
        <w:jc w:val="start"/>
      </w:tblPr>
      <w:tblGrid>
        <w:gridCol w:w="1857"/>
        <w:gridCol w:w="1466"/>
        <w:gridCol w:w="1466"/>
        <w:gridCol w:w="1466"/>
        <w:gridCol w:w="1662"/>
      </w:tblGrid>
      <w:tr>
        <w:trPr>
          <w:tblHeader w:val="true"/>
        </w:trPr>
        <w:tc>
          <w:tcPr/>
          <w:p>
            <w:pPr>
              <w:pStyle w:val="Compact"/>
              <w:jc w:val="left"/>
            </w:pPr>
            <w:r>
              <w:t xml:space="preserve">Programme element</w:t>
            </w:r>
          </w:p>
        </w:tc>
        <w:tc>
          <w:tcPr/>
          <w:p>
            <w:pPr>
              <w:pStyle w:val="Compact"/>
              <w:jc w:val="left"/>
            </w:pPr>
            <w:r>
              <w:t xml:space="preserve">Global default</w:t>
            </w:r>
          </w:p>
        </w:tc>
        <w:tc>
          <w:tcPr/>
          <w:p>
            <w:pPr>
              <w:pStyle w:val="Compact"/>
              <w:jc w:val="left"/>
            </w:pPr>
            <w:r>
              <w:t xml:space="preserve">EU annotation</w:t>
            </w:r>
          </w:p>
        </w:tc>
        <w:tc>
          <w:tcPr/>
          <w:p>
            <w:pPr>
              <w:pStyle w:val="Compact"/>
              <w:jc w:val="left"/>
            </w:pPr>
            <w:r>
              <w:t xml:space="preserve">US annotation</w:t>
            </w:r>
          </w:p>
        </w:tc>
        <w:tc>
          <w:tcPr/>
          <w:p>
            <w:pPr>
              <w:pStyle w:val="Compact"/>
              <w:jc w:val="left"/>
            </w:pPr>
            <w:r>
              <w:t xml:space="preserve">APAC annotation</w:t>
            </w:r>
          </w:p>
        </w:tc>
      </w:tr>
      <w:tr>
        <w:tc>
          <w:tcPr/>
          <w:p>
            <w:pPr>
              <w:pStyle w:val="Compact"/>
              <w:jc w:val="left"/>
            </w:pPr>
            <w:r>
              <w:t xml:space="preserve">Algorithm policy</w:t>
            </w:r>
          </w:p>
        </w:tc>
        <w:tc>
          <w:tcPr/>
          <w:p>
            <w:pPr>
              <w:pStyle w:val="Compact"/>
              <w:jc w:val="left"/>
            </w:pPr>
            <w:r>
              <w:t xml:space="preserve">FIPS 203–205</w:t>
            </w:r>
          </w:p>
        </w:tc>
        <w:tc>
          <w:tcPr/>
          <w:p>
            <w:pPr>
              <w:pStyle w:val="Compact"/>
              <w:jc w:val="left"/>
            </w:pPr>
            <w:r>
              <w:t xml:space="preserve">Same; DORA evidence tag</w:t>
            </w:r>
          </w:p>
        </w:tc>
        <w:tc>
          <w:tcPr/>
          <w:p>
            <w:pPr>
              <w:pStyle w:val="Compact"/>
              <w:jc w:val="left"/>
            </w:pPr>
            <w:r>
              <w:t xml:space="preserve">Same; FedRAMP customer overlay</w:t>
            </w:r>
          </w:p>
        </w:tc>
        <w:tc>
          <w:tcPr/>
          <w:p>
            <w:pPr>
              <w:pStyle w:val="Compact"/>
              <w:jc w:val="left"/>
            </w:pPr>
            <w:r>
              <w:t xml:space="preserve">Same; ASD 2030 reference</w:t>
            </w:r>
          </w:p>
        </w:tc>
      </w:tr>
      <w:tr>
        <w:tc>
          <w:tcPr/>
          <w:p>
            <w:pPr>
              <w:pStyle w:val="Compact"/>
              <w:jc w:val="left"/>
            </w:pPr>
            <w:r>
              <w:t xml:space="preserve">H1 hybrid TLS</w:t>
            </w:r>
          </w:p>
        </w:tc>
        <w:tc>
          <w:tcPr/>
          <w:p>
            <w:pPr>
              <w:pStyle w:val="Compact"/>
              <w:jc w:val="left"/>
            </w:pPr>
            <w:r>
              <w:t xml:space="preserve">Approved</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Deprecation target</w:t>
            </w:r>
          </w:p>
        </w:tc>
        <w:tc>
          <w:tcPr/>
          <w:p>
            <w:pPr>
              <w:pStyle w:val="Compact"/>
              <w:jc w:val="left"/>
            </w:pPr>
            <w:r>
              <w:t xml:space="preserve">2030</w:t>
            </w:r>
          </w:p>
        </w:tc>
        <w:tc>
          <w:tcPr/>
          <w:p>
            <w:pPr>
              <w:pStyle w:val="Compact"/>
              <w:jc w:val="left"/>
            </w:pPr>
            <w:r>
              <w:t xml:space="preserve">DORA state-of-the-art</w:t>
            </w:r>
          </w:p>
        </w:tc>
        <w:tc>
          <w:tcPr/>
          <w:p>
            <w:pPr>
              <w:pStyle w:val="Compact"/>
              <w:jc w:val="left"/>
            </w:pPr>
            <w:r>
              <w:t xml:space="preserve">NIST IR 8547</w:t>
            </w:r>
          </w:p>
        </w:tc>
        <w:tc>
          <w:tcPr/>
          <w:p>
            <w:pPr>
              <w:pStyle w:val="Compact"/>
              <w:jc w:val="left"/>
            </w:pPr>
            <w:r>
              <w:t xml:space="preserve">ASD 2030</w:t>
            </w:r>
          </w:p>
        </w:tc>
      </w:tr>
      <w:tr>
        <w:tc>
          <w:tcPr/>
          <w:p>
            <w:pPr>
              <w:pStyle w:val="Compact"/>
              <w:jc w:val="left"/>
            </w:pPr>
            <w:r>
              <w:t xml:space="preserve">Disallowance target</w:t>
            </w:r>
          </w:p>
        </w:tc>
        <w:tc>
          <w:tcPr/>
          <w:p>
            <w:pPr>
              <w:pStyle w:val="Compact"/>
              <w:jc w:val="left"/>
            </w:pPr>
            <w:r>
              <w:t xml:space="preserve">2035</w:t>
            </w:r>
          </w:p>
        </w:tc>
        <w:tc>
          <w:tcPr/>
          <w:p>
            <w:pPr>
              <w:pStyle w:val="Compact"/>
              <w:jc w:val="left"/>
            </w:pPr>
            <w:r>
              <w:t xml:space="preserve">Supervisory alignment</w:t>
            </w:r>
          </w:p>
        </w:tc>
        <w:tc>
          <w:tcPr/>
          <w:p>
            <w:pPr>
              <w:pStyle w:val="Compact"/>
              <w:jc w:val="left"/>
            </w:pPr>
            <w:r>
              <w:t xml:space="preserve">NIST IR 8547</w:t>
            </w:r>
          </w:p>
        </w:tc>
        <w:tc>
          <w:tcPr/>
          <w:p>
            <w:pPr>
              <w:pStyle w:val="Compact"/>
              <w:jc w:val="left"/>
            </w:pPr>
            <w:r>
              <w:t xml:space="preserve">ASD 2035</w:t>
            </w:r>
          </w:p>
        </w:tc>
      </w:tr>
      <w:tr>
        <w:tc>
          <w:tcPr/>
          <w:p>
            <w:pPr>
              <w:pStyle w:val="Compact"/>
              <w:jc w:val="left"/>
            </w:pPr>
            <w:r>
              <w:t xml:space="preserve">NSS customer contracts</w:t>
            </w:r>
          </w:p>
        </w:tc>
        <w:tc>
          <w:tcPr/>
          <w:p>
            <w:pPr>
              <w:pStyle w:val="Compact"/>
              <w:jc w:val="left"/>
            </w:pPr>
            <w:r>
              <w:t xml:space="preserve">CNSA 2.0 elevated</w:t>
            </w:r>
          </w:p>
        </w:tc>
        <w:tc>
          <w:tcPr/>
          <w:p>
            <w:pPr>
              <w:pStyle w:val="Compact"/>
              <w:jc w:val="left"/>
            </w:pPr>
            <w:r>
              <w:t xml:space="preserve">Per contract</w:t>
            </w:r>
          </w:p>
        </w:tc>
        <w:tc>
          <w:tcPr/>
          <w:p>
            <w:pPr>
              <w:pStyle w:val="Compact"/>
              <w:jc w:val="left"/>
            </w:pPr>
            <w:r>
              <w:t xml:space="preserve">Per contract</w:t>
            </w:r>
          </w:p>
        </w:tc>
        <w:tc>
          <w:tcPr/>
          <w:p>
            <w:pPr>
              <w:pStyle w:val="Compact"/>
              <w:jc w:val="left"/>
            </w:pPr>
            <w:r>
              <w:t xml:space="preserve">Per contract</w:t>
            </w:r>
          </w:p>
        </w:tc>
      </w:tr>
    </w:tbl>
    <w:p>
      <w:pPr>
        <w:pStyle w:val="BodyText"/>
      </w:pPr>
      <w:r>
        <w:t xml:space="preserve">Marcus Chen’s board presentation used the global default row — jurisdiction annotations appeared in appendix slides for regional compliance officers, not in the executive summary. The board needed one programme; compliance teams needed annotated evidence.</w:t>
      </w:r>
    </w:p>
    <w:p>
      <w:pPr>
        <w:pStyle w:val="BodyText"/>
      </w:pPr>
      <w:r>
        <w:t xml:space="preserve">GlobalSync’s failed first-year approach — separate EU and US PQC programmes — produced contradictory hybrid policies and duplicated CBOM effort. Consolidation under Marcus’s global programme office reduced compliance staff effort by an estimated thirty percent (Chapter 3) and eliminated a case where EU pilots deployed different hybrid constructions than US production.</w:t>
      </w:r>
    </w:p>
    <w:p>
      <w:r>
        <w:pict>
          <v:rect style="width:0;height:1.5pt" o:hralign="center" o:hrstd="t" o:hr="t"/>
        </w:pict>
      </w:r>
    </w:p>
    <w:bookmarkEnd w:id="55"/>
    <w:bookmarkStart w:id="56" w:name="meridian-dora-aligned-timeline-evidence"/>
    <w:p>
      <w:pPr>
        <w:pStyle w:val="Heading2"/>
      </w:pPr>
      <w:r>
        <w:t xml:space="preserve">5.11 Meridian: DORA-Aligned Timeline Evidence</w:t>
      </w:r>
    </w:p>
    <w:p>
      <w:pPr>
        <w:pStyle w:val="FirstParagraph"/>
      </w:pPr>
      <w:r>
        <w:t xml:space="preserve">Meridian Mutual Bank linked timeline policy to DORA supervisory evidence. Thomas Bergström’s regulatory team mapped:</w:t>
      </w:r>
    </w:p>
    <w:p>
      <w:pPr>
        <w:numPr>
          <w:ilvl w:val="0"/>
          <w:numId w:val="1006"/>
        </w:numPr>
        <w:pStyle w:val="Compact"/>
      </w:pPr>
      <w:r>
        <w:rPr>
          <w:bCs/>
          <w:b/>
        </w:rPr>
        <w:t xml:space="preserve">Encryption policy</w:t>
      </w:r>
      <w:r>
        <w:t xml:space="preserve"> </w:t>
      </w:r>
      <w:r>
        <w:t xml:space="preserve">(Policy layer) → names algorithms and sunset dates</w:t>
      </w:r>
    </w:p>
    <w:p>
      <w:pPr>
        <w:numPr>
          <w:ilvl w:val="0"/>
          <w:numId w:val="1006"/>
        </w:numPr>
        <w:pStyle w:val="Compact"/>
      </w:pPr>
      <w:r>
        <w:rPr>
          <w:bCs/>
          <w:b/>
        </w:rPr>
        <w:t xml:space="preserve">Certificate register</w:t>
      </w:r>
      <w:r>
        <w:t xml:space="preserve"> </w:t>
      </w:r>
      <w:r>
        <w:t xml:space="preserve">(Operational layer) → DORA RTS requirement; tracks classical vs PQC certificates</w:t>
      </w:r>
    </w:p>
    <w:p>
      <w:pPr>
        <w:numPr>
          <w:ilvl w:val="0"/>
          <w:numId w:val="1006"/>
        </w:numPr>
        <w:pStyle w:val="Compact"/>
      </w:pPr>
      <w:r>
        <w:rPr>
          <w:bCs/>
          <w:b/>
        </w:rPr>
        <w:t xml:space="preserve">Migration plan</w:t>
      </w:r>
      <w:r>
        <w:t xml:space="preserve"> </w:t>
      </w:r>
      <w:r>
        <w:t xml:space="preserve">(Programme layer) → wave schedule with TRADE justification</w:t>
      </w:r>
    </w:p>
    <w:p>
      <w:pPr>
        <w:numPr>
          <w:ilvl w:val="0"/>
          <w:numId w:val="1006"/>
        </w:numPr>
        <w:pStyle w:val="Compact"/>
      </w:pPr>
      <w:r>
        <w:rPr>
          <w:bCs/>
          <w:b/>
        </w:rPr>
        <w:t xml:space="preserve">Risk acceptance register</w:t>
      </w:r>
      <w:r>
        <w:t xml:space="preserve"> </w:t>
      </w:r>
      <w:r>
        <w:t xml:space="preserve">(Assurance layer) → documents deprecation-period exceptions</w:t>
      </w:r>
    </w:p>
    <w:p>
      <w:pPr>
        <w:pStyle w:val="FirstParagraph"/>
      </w:pPr>
      <w:r>
        <w:t xml:space="preserve">Supervisory dialogue in Meridian’s home jurisdiction focused on whether the</w:t>
      </w:r>
      <w:r>
        <w:t xml:space="preserve"> </w:t>
      </w:r>
      <w:r>
        <w:rPr>
          <w:bCs/>
          <w:b/>
        </w:rPr>
        <w:t xml:space="preserve">migration plan’s timeline was credible given vendor dependencies</w:t>
      </w:r>
      <w:r>
        <w:t xml:space="preserve"> </w:t>
      </w:r>
      <w:r>
        <w:t xml:space="preserve">— not whether Meridian had selected the correct lattice parameters. Thomas’s team presented HSM vendor correspondence, TRADE scores, and CDG blocking analysis as timeline evidence. Algorithm standards (Chapter 4) were referenced but not debated.</w:t>
      </w:r>
    </w:p>
    <w:p>
      <w:pPr>
        <w:pStyle w:val="BlockText"/>
      </w:pPr>
      <w:r>
        <w:rPr>
          <w:bCs/>
          <w:b/>
        </w:rPr>
        <w:t xml:space="preserve">Regulatory Lens</w:t>
      </w:r>
    </w:p>
    <w:p>
      <w:pPr>
        <w:pStyle w:val="BlockText"/>
      </w:pPr>
      <w:r>
        <w:t xml:space="preserve">DORA does not specify 2030 or 2035. It requires encryption policies responsive to cryptanalytic developments. An enterprise that presents NIST-aligned sunset dates</w:t>
      </w:r>
      <w:r>
        <w:t xml:space="preserve"> </w:t>
      </w:r>
      <w:r>
        <w:rPr>
          <w:bCs/>
          <w:b/>
        </w:rPr>
        <w:t xml:space="preserve">justified by risk assessment and dependency analysis</w:t>
      </w:r>
      <w:r>
        <w:t xml:space="preserve"> </w:t>
      </w:r>
      <w:r>
        <w:t xml:space="preserve">demonstrates state-of-the-art practice. An enterprise that presents dates without CBOM backing demonstrates policy theatre.</w:t>
      </w:r>
    </w:p>
    <w:p>
      <w:r>
        <w:pict>
          <v:rect style="width:0;height:1.5pt" o:hralign="center" o:hrstd="t" o:hr="t"/>
        </w:pict>
      </w:r>
    </w:p>
    <w:bookmarkEnd w:id="56"/>
    <w:bookmarkStart w:id="57" w:name="pq-adapt-and-hlm-integration"/>
    <w:p>
      <w:pPr>
        <w:pStyle w:val="Heading2"/>
      </w:pPr>
      <w:r>
        <w:t xml:space="preserve">5.12 PQ-ADAPT and HLM Integration</w:t>
      </w:r>
    </w:p>
    <w:p>
      <w:pPr>
        <w:pStyle w:val="FirstParagraph"/>
      </w:pPr>
      <w:r>
        <w:t xml:space="preserve">The PQ-ADAPT maturity model (book architecture) connects HLM to programme progression:</w:t>
      </w:r>
    </w:p>
    <w:tbl>
      <w:tblPr>
        <w:tblStyle w:val="Table"/>
        <w:tblW w:type="pct" w:w="5000"/>
        <w:tblLook w:firstRow="1" w:lastRow="0" w:firstColumn="0" w:lastColumn="0" w:noHBand="0" w:noVBand="0" w:val="0020"/>
        <w:jc w:val="start"/>
      </w:tblPr>
      <w:tblGrid>
        <w:gridCol w:w="3840"/>
        <w:gridCol w:w="4080"/>
      </w:tblGrid>
      <w:tr>
        <w:trPr>
          <w:tblHeader w:val="true"/>
        </w:trPr>
        <w:tc>
          <w:tcPr/>
          <w:p>
            <w:pPr>
              <w:pStyle w:val="Compact"/>
              <w:jc w:val="left"/>
            </w:pPr>
            <w:r>
              <w:t xml:space="preserve">PQ-ADAPT level</w:t>
            </w:r>
          </w:p>
        </w:tc>
        <w:tc>
          <w:tcPr/>
          <w:p>
            <w:pPr>
              <w:pStyle w:val="Compact"/>
              <w:jc w:val="left"/>
            </w:pPr>
            <w:r>
              <w:t xml:space="preserve">HLM requirement</w:t>
            </w:r>
          </w:p>
        </w:tc>
      </w:tr>
      <w:tr>
        <w:tc>
          <w:tcPr/>
          <w:p>
            <w:pPr>
              <w:pStyle w:val="Compact"/>
              <w:jc w:val="left"/>
            </w:pPr>
            <w:r>
              <w:t xml:space="preserve">Level 2 — Inventoried</w:t>
            </w:r>
          </w:p>
        </w:tc>
        <w:tc>
          <w:tcPr/>
          <w:p>
            <w:pPr>
              <w:pStyle w:val="Compact"/>
              <w:jc w:val="left"/>
            </w:pPr>
            <w:r>
              <w:t xml:space="preserve">CBOM identifies hybrid vs classical-only systems</w:t>
            </w:r>
          </w:p>
        </w:tc>
      </w:tr>
      <w:tr>
        <w:tc>
          <w:tcPr/>
          <w:p>
            <w:pPr>
              <w:pStyle w:val="Compact"/>
              <w:jc w:val="left"/>
            </w:pPr>
            <w:r>
              <w:t xml:space="preserve">Level 3 — Architected</w:t>
            </w:r>
          </w:p>
        </w:tc>
        <w:tc>
          <w:tcPr/>
          <w:p>
            <w:pPr>
              <w:pStyle w:val="Compact"/>
              <w:jc w:val="left"/>
            </w:pPr>
            <w:r>
              <w:t xml:space="preserve">Hybrid policy defined; H1 constructions approved; H2 triggers documented</w:t>
            </w:r>
          </w:p>
        </w:tc>
      </w:tr>
      <w:tr>
        <w:tc>
          <w:tcPr/>
          <w:p>
            <w:pPr>
              <w:pStyle w:val="Compact"/>
              <w:jc w:val="left"/>
            </w:pPr>
            <w:r>
              <w:t xml:space="preserve">Level 4 — Transitioning</w:t>
            </w:r>
          </w:p>
        </w:tc>
        <w:tc>
          <w:tcPr/>
          <w:p>
            <w:pPr>
              <w:pStyle w:val="Compact"/>
              <w:jc w:val="left"/>
            </w:pPr>
            <w:r>
              <w:t xml:space="preserve">Production H1/H2 deployments; risk acceptance register active</w:t>
            </w:r>
          </w:p>
        </w:tc>
      </w:tr>
      <w:tr>
        <w:tc>
          <w:tcPr/>
          <w:p>
            <w:pPr>
              <w:pStyle w:val="Compact"/>
              <w:jc w:val="left"/>
            </w:pPr>
            <w:r>
              <w:t xml:space="preserve">Level 5 — Quantum-Resilient</w:t>
            </w:r>
          </w:p>
        </w:tc>
        <w:tc>
          <w:tcPr/>
          <w:p>
            <w:pPr>
              <w:pStyle w:val="Compact"/>
              <w:jc w:val="left"/>
            </w:pPr>
            <w:r>
              <w:t xml:space="preserve">H3 achieved; CBOM confirms disallowance compliance</w:t>
            </w:r>
          </w:p>
        </w:tc>
      </w:tr>
    </w:tbl>
    <w:p>
      <w:pPr>
        <w:pStyle w:val="BodyText"/>
      </w:pPr>
      <w:r>
        <w:t xml:space="preserve">Enterprises self-assessing at Level 3 after writing hybrid policy on paper — without H1 production deployments or H2 triggers — are overestimating maturity. Level 3 requires</w:t>
      </w:r>
      <w:r>
        <w:t xml:space="preserve"> </w:t>
      </w:r>
      <w:r>
        <w:rPr>
          <w:bCs/>
          <w:b/>
        </w:rPr>
        <w:t xml:space="preserve">approved policy plus architectural standards embedded in SDLC and change management</w:t>
      </w:r>
      <w:r>
        <w:t xml:space="preserve">.</w:t>
      </w:r>
    </w:p>
    <w:p>
      <w:r>
        <w:pict>
          <v:rect style="width:0;height:1.5pt" o:hralign="center" o:hrstd="t" o:hr="t"/>
        </w:pict>
      </w:r>
    </w:p>
    <w:bookmarkEnd w:id="57"/>
    <w:bookmarkStart w:id="58" w:name="apex-defense-nss-timeline-floors"/>
    <w:p>
      <w:pPr>
        <w:pStyle w:val="Heading2"/>
      </w:pPr>
      <w:r>
        <w:t xml:space="preserve">5.13 Apex Defense: NSS Timeline Floors</w:t>
      </w:r>
    </w:p>
    <w:p>
      <w:pPr>
        <w:pStyle w:val="FirstParagraph"/>
      </w:pPr>
      <w:r>
        <w:t xml:space="preserve">Apex Defense Technologies maps CNSA 2.0 milestones as</w:t>
      </w:r>
      <w:r>
        <w:t xml:space="preserve"> </w:t>
      </w:r>
      <w:r>
        <w:rPr>
          <w:bCs/>
          <w:b/>
        </w:rPr>
        <w:t xml:space="preserve">non-negotiable floors</w:t>
      </w:r>
      <w:r>
        <w:t xml:space="preserve"> </w:t>
      </w:r>
      <w:r>
        <w:t xml:space="preserve">for NSS workloads while applying NIST IR 8547 anchors to corporate IT. Priya Nair’s programme office maintains a timeline overlay with separate swim lanes:</w:t>
      </w:r>
    </w:p>
    <w:tbl>
      <w:tblPr>
        <w:tblStyle w:val="Table"/>
        <w:tblW w:type="pct" w:w="5000"/>
        <w:tblLook w:firstRow="1" w:lastRow="0" w:firstColumn="0" w:lastColumn="0" w:noHBand="0" w:noVBand="0" w:val="0020"/>
        <w:jc w:val="start"/>
      </w:tblPr>
      <w:tblGrid>
        <w:gridCol w:w="1405"/>
        <w:gridCol w:w="1405"/>
        <w:gridCol w:w="2427"/>
        <w:gridCol w:w="2682"/>
      </w:tblGrid>
      <w:tr>
        <w:trPr>
          <w:tblHeader w:val="true"/>
        </w:trPr>
        <w:tc>
          <w:tcPr/>
          <w:p>
            <w:pPr>
              <w:pStyle w:val="Compact"/>
              <w:jc w:val="left"/>
            </w:pPr>
            <w:r>
              <w:t xml:space="preserve">Milestone</w:t>
            </w:r>
          </w:p>
        </w:tc>
        <w:tc>
          <w:tcPr/>
          <w:p>
            <w:pPr>
              <w:pStyle w:val="Compact"/>
              <w:jc w:val="left"/>
            </w:pPr>
            <w:r>
              <w:t xml:space="preserve">NSS track</w:t>
            </w:r>
          </w:p>
        </w:tc>
        <w:tc>
          <w:tcPr/>
          <w:p>
            <w:pPr>
              <w:pStyle w:val="Compact"/>
              <w:jc w:val="left"/>
            </w:pPr>
            <w:r>
              <w:t xml:space="preserve">Corporate IT track</w:t>
            </w:r>
          </w:p>
        </w:tc>
        <w:tc>
          <w:tcPr/>
          <w:p>
            <w:pPr>
              <w:pStyle w:val="Compact"/>
              <w:jc w:val="left"/>
            </w:pPr>
            <w:r>
              <w:t xml:space="preserve">Conflict resolution</w:t>
            </w:r>
          </w:p>
        </w:tc>
      </w:tr>
      <w:tr>
        <w:tc>
          <w:tcPr/>
          <w:p>
            <w:pPr>
              <w:pStyle w:val="Compact"/>
              <w:jc w:val="left"/>
            </w:pPr>
            <w:r>
              <w:t xml:space="preserve">2027 new acquisitions</w:t>
            </w:r>
          </w:p>
        </w:tc>
        <w:tc>
          <w:tcPr/>
          <w:p>
            <w:pPr>
              <w:pStyle w:val="Compact"/>
              <w:jc w:val="left"/>
            </w:pPr>
            <w:r>
              <w:t xml:space="preserve">CNSA 2.0 required</w:t>
            </w:r>
          </w:p>
        </w:tc>
        <w:tc>
          <w:tcPr/>
          <w:p>
            <w:pPr>
              <w:pStyle w:val="Compact"/>
              <w:jc w:val="left"/>
            </w:pPr>
            <w:r>
              <w:t xml:space="preserve">NIST-aligned planning</w:t>
            </w:r>
          </w:p>
        </w:tc>
        <w:tc>
          <w:tcPr/>
          <w:p>
            <w:pPr>
              <w:pStyle w:val="Compact"/>
              <w:jc w:val="left"/>
            </w:pPr>
            <w:r>
              <w:t xml:space="preserve">Contract review flags NSS flow-down</w:t>
            </w:r>
          </w:p>
        </w:tc>
      </w:tr>
      <w:tr>
        <w:tc>
          <w:tcPr/>
          <w:p>
            <w:pPr>
              <w:pStyle w:val="Compact"/>
              <w:jc w:val="left"/>
            </w:pPr>
            <w:r>
              <w:t xml:space="preserve">2030 firmware signing</w:t>
            </w:r>
          </w:p>
        </w:tc>
        <w:tc>
          <w:tcPr/>
          <w:p>
            <w:pPr>
              <w:pStyle w:val="Compact"/>
              <w:jc w:val="left"/>
            </w:pPr>
            <w:r>
              <w:t xml:space="preserve">ML-DSA-87 / LMS</w:t>
            </w:r>
          </w:p>
        </w:tc>
        <w:tc>
          <w:tcPr/>
          <w:p>
            <w:pPr>
              <w:pStyle w:val="Compact"/>
              <w:jc w:val="left"/>
            </w:pPr>
            <w:r>
              <w:t xml:space="preserve">Hybrid code signing H1</w:t>
            </w:r>
          </w:p>
        </w:tc>
        <w:tc>
          <w:tcPr/>
          <w:p>
            <w:pPr>
              <w:pStyle w:val="Compact"/>
              <w:jc w:val="left"/>
            </w:pPr>
            <w:r>
              <w:t xml:space="preserve">Shared PKI team prioritises NSS queue</w:t>
            </w:r>
          </w:p>
        </w:tc>
      </w:tr>
      <w:tr>
        <w:tc>
          <w:tcPr/>
          <w:p>
            <w:pPr>
              <w:pStyle w:val="Compact"/>
              <w:jc w:val="left"/>
            </w:pPr>
            <w:r>
              <w:t xml:space="preserve">2030 deprecation</w:t>
            </w:r>
          </w:p>
        </w:tc>
        <w:tc>
          <w:tcPr/>
          <w:p>
            <w:pPr>
              <w:pStyle w:val="Compact"/>
              <w:jc w:val="left"/>
            </w:pPr>
            <w:r>
              <w:t xml:space="preserve">NSS largely PQC-native</w:t>
            </w:r>
          </w:p>
        </w:tc>
        <w:tc>
          <w:tcPr/>
          <w:p>
            <w:pPr>
              <w:pStyle w:val="Compact"/>
              <w:jc w:val="left"/>
            </w:pPr>
            <w:r>
              <w:t xml:space="preserve">Deprecation with risk acceptance</w:t>
            </w:r>
          </w:p>
        </w:tc>
        <w:tc>
          <w:tcPr/>
          <w:p>
            <w:pPr>
              <w:pStyle w:val="Compact"/>
              <w:jc w:val="left"/>
            </w:pPr>
            <w:r>
              <w:t xml:space="preserve">Board reports separate RAG status per track</w:t>
            </w:r>
          </w:p>
        </w:tc>
      </w:tr>
      <w:tr>
        <w:tc>
          <w:tcPr/>
          <w:p>
            <w:pPr>
              <w:pStyle w:val="Compact"/>
              <w:jc w:val="left"/>
            </w:pPr>
            <w:r>
              <w:t xml:space="preserve">2035 disallowance</w:t>
            </w:r>
          </w:p>
        </w:tc>
        <w:tc>
          <w:tcPr/>
          <w:p>
            <w:pPr>
              <w:pStyle w:val="Compact"/>
              <w:jc w:val="left"/>
            </w:pPr>
            <w:r>
              <w:t xml:space="preserve">Full NSS migration</w:t>
            </w:r>
          </w:p>
        </w:tc>
        <w:tc>
          <w:tcPr/>
          <w:p>
            <w:pPr>
              <w:pStyle w:val="Compact"/>
              <w:jc w:val="left"/>
            </w:pPr>
            <w:r>
              <w:t xml:space="preserve">Disallowance target</w:t>
            </w:r>
          </w:p>
        </w:tc>
        <w:tc>
          <w:tcPr/>
          <w:p>
            <w:pPr>
              <w:pStyle w:val="Compact"/>
              <w:jc w:val="left"/>
            </w:pPr>
            <w:r>
              <w:t xml:space="preserve">Single programme; dual evidence packages</w:t>
            </w:r>
          </w:p>
        </w:tc>
      </w:tr>
    </w:tbl>
    <w:p>
      <w:pPr>
        <w:pStyle w:val="BodyText"/>
      </w:pPr>
      <w:r>
        <w:t xml:space="preserve">When NSS programmes required H2 entry before corporate IT completed H1, Apex’s steering committee approved</w:t>
      </w:r>
      <w:r>
        <w:t xml:space="preserve"> </w:t>
      </w:r>
      <w:r>
        <w:rPr>
          <w:bCs/>
          <w:b/>
        </w:rPr>
        <w:t xml:space="preserve">parallel phase tracking</w:t>
      </w:r>
      <w:r>
        <w:t xml:space="preserve"> </w:t>
      </w:r>
      <w:r>
        <w:t xml:space="preserve">— not forced synchronisation across classification boundaries. Corporate IT did not delay NSS compliance; NSS did not relax corporate IT ecosystem gates.</w:t>
      </w:r>
    </w:p>
    <w:p>
      <w:r>
        <w:pict>
          <v:rect style="width:0;height:1.5pt" o:hralign="center" o:hrstd="t" o:hr="t"/>
        </w:pict>
      </w:r>
    </w:p>
    <w:bookmarkEnd w:id="58"/>
    <w:bookmarkStart w:id="59" w:name="Xd1f8270c69abf8a594bd80232c0df83e0dba614"/>
    <w:p>
      <w:pPr>
        <w:pStyle w:val="Heading2"/>
      </w:pPr>
      <w:r>
        <w:t xml:space="preserve">5.14 Northfield Energy: Wave 1 Capital and Timeline Anchors</w:t>
      </w:r>
    </w:p>
    <w:p>
      <w:pPr>
        <w:pStyle w:val="FirstParagraph"/>
      </w:pPr>
      <w:r>
        <w:t xml:space="preserve">Northfield’s TRADE analysis (Chapter 2) elevated VPN concentrators and firmware signing to Wave 1 — linking threat urgency to capital planning before 2030 deprecation anchors.</w:t>
      </w:r>
    </w:p>
    <w:tbl>
      <w:tblPr>
        <w:tblStyle w:val="Table"/>
        <w:tblW w:type="pct" w:w="5000"/>
        <w:tblLook w:firstRow="1" w:lastRow="0" w:firstColumn="0" w:lastColumn="0" w:noHBand="0" w:noVBand="0" w:val="0020"/>
        <w:jc w:val="start"/>
      </w:tblPr>
      <w:tblGrid>
        <w:gridCol w:w="1403"/>
        <w:gridCol w:w="1303"/>
        <w:gridCol w:w="3408"/>
        <w:gridCol w:w="1804"/>
      </w:tblGrid>
      <w:tr>
        <w:trPr>
          <w:tblHeader w:val="true"/>
        </w:trPr>
        <w:tc>
          <w:tcPr/>
          <w:p>
            <w:pPr>
              <w:pStyle w:val="Compact"/>
              <w:jc w:val="left"/>
            </w:pPr>
            <w:r>
              <w:t xml:space="preserve">Wave 1 asset</w:t>
            </w:r>
          </w:p>
        </w:tc>
        <w:tc>
          <w:tcPr/>
          <w:p>
            <w:pPr>
              <w:pStyle w:val="Compact"/>
              <w:jc w:val="left"/>
            </w:pPr>
            <w:r>
              <w:t xml:space="preserve">TRADE driver</w:t>
            </w:r>
          </w:p>
        </w:tc>
        <w:tc>
          <w:tcPr/>
          <w:p>
            <w:pPr>
              <w:pStyle w:val="Compact"/>
              <w:jc w:val="left"/>
            </w:pPr>
            <w:r>
              <w:t xml:space="preserve">Capital estimate (</w:t>
            </w:r>
            <w:r>
              <w:rPr>
                <w:iCs/>
                <w:i/>
              </w:rPr>
              <w:t xml:space="preserve">illustrative</w:t>
            </w:r>
            <w:r>
              <w:t xml:space="preserve">)</w:t>
            </w:r>
          </w:p>
        </w:tc>
        <w:tc>
          <w:tcPr/>
          <w:p>
            <w:pPr>
              <w:pStyle w:val="Compact"/>
              <w:jc w:val="left"/>
            </w:pPr>
            <w:r>
              <w:t xml:space="preserve">Anchor alignment</w:t>
            </w:r>
          </w:p>
        </w:tc>
      </w:tr>
      <w:tr>
        <w:tc>
          <w:tcPr/>
          <w:p>
            <w:pPr>
              <w:pStyle w:val="Compact"/>
              <w:jc w:val="left"/>
            </w:pPr>
            <w:r>
              <w:t xml:space="preserve">WAN VPN concentrators (2 models)</w:t>
            </w:r>
          </w:p>
        </w:tc>
        <w:tc>
          <w:tcPr/>
          <w:p>
            <w:pPr>
              <w:pStyle w:val="Compact"/>
              <w:jc w:val="left"/>
            </w:pPr>
            <w:r>
              <w:t xml:space="preserve">TES 5; HNDL on SCADA archives</w:t>
            </w:r>
          </w:p>
        </w:tc>
        <w:tc>
          <w:tcPr/>
          <w:p>
            <w:pPr>
              <w:pStyle w:val="Compact"/>
              <w:jc w:val="left"/>
            </w:pPr>
            <w:r>
              <w:t xml:space="preserve">$2.8M hardware refresh</w:t>
            </w:r>
          </w:p>
        </w:tc>
        <w:tc>
          <w:tcPr/>
          <w:p>
            <w:pPr>
              <w:pStyle w:val="Compact"/>
              <w:jc w:val="left"/>
            </w:pPr>
            <w:r>
              <w:t xml:space="preserve">Pre-2030 deprecation</w:t>
            </w:r>
          </w:p>
        </w:tc>
      </w:tr>
      <w:tr>
        <w:tc>
          <w:tcPr/>
          <w:p>
            <w:pPr>
              <w:pStyle w:val="Compact"/>
              <w:jc w:val="left"/>
            </w:pPr>
            <w:r>
              <w:t xml:space="preserve">Compressor firmware LMS programme</w:t>
            </w:r>
          </w:p>
        </w:tc>
        <w:tc>
          <w:tcPr/>
          <w:p>
            <w:pPr>
              <w:pStyle w:val="Compact"/>
              <w:jc w:val="left"/>
            </w:pPr>
            <w:r>
              <w:t xml:space="preserve">TES 5; firmware forgery</w:t>
            </w:r>
          </w:p>
        </w:tc>
        <w:tc>
          <w:tcPr/>
          <w:p>
            <w:pPr>
              <w:pStyle w:val="Compact"/>
              <w:jc w:val="left"/>
            </w:pPr>
            <w:r>
              <w:t xml:space="preserve">$1.1M vendor + signing appliance</w:t>
            </w:r>
          </w:p>
        </w:tc>
        <w:tc>
          <w:tcPr/>
          <w:p>
            <w:pPr>
              <w:pStyle w:val="Compact"/>
              <w:jc w:val="left"/>
            </w:pPr>
            <w:r>
              <w:t xml:space="preserve">CISA PQC initiative alignment</w:t>
            </w:r>
          </w:p>
        </w:tc>
      </w:tr>
      <w:tr>
        <w:tc>
          <w:tcPr/>
          <w:p>
            <w:pPr>
              <w:pStyle w:val="Compact"/>
              <w:jc w:val="left"/>
            </w:pPr>
            <w:r>
              <w:t xml:space="preserve">RTU dual-sign programme</w:t>
            </w:r>
          </w:p>
        </w:tc>
        <w:tc>
          <w:tcPr/>
          <w:p>
            <w:pPr>
              <w:pStyle w:val="Compact"/>
              <w:jc w:val="left"/>
            </w:pPr>
            <w:r>
              <w:t xml:space="preserve">TES 4–5</w:t>
            </w:r>
          </w:p>
        </w:tc>
        <w:tc>
          <w:tcPr/>
          <w:p>
            <w:pPr>
              <w:pStyle w:val="Compact"/>
              <w:jc w:val="left"/>
            </w:pPr>
            <w:r>
              <w:t xml:space="preserve">$0.4M vendor engineering</w:t>
            </w:r>
          </w:p>
        </w:tc>
        <w:tc>
          <w:tcPr/>
          <w:p>
            <w:pPr>
              <w:pStyle w:val="Compact"/>
              <w:jc w:val="left"/>
            </w:pPr>
            <w:r>
              <w:t xml:space="preserve">2028 pilot / 2030 deprecation</w:t>
            </w:r>
          </w:p>
        </w:tc>
      </w:tr>
    </w:tbl>
    <w:p>
      <w:pPr>
        <w:pStyle w:val="BodyText"/>
      </w:pPr>
      <w:r>
        <w:t xml:space="preserve">James Whitfield presented Wave 1 to the board as</w:t>
      </w:r>
      <w:r>
        <w:t xml:space="preserve"> </w:t>
      </w:r>
      <w:r>
        <w:rPr>
          <w:bCs/>
          <w:b/>
        </w:rPr>
        <w:t xml:space="preserve">threat-driven capital</w:t>
      </w:r>
      <w:r>
        <w:t xml:space="preserve"> </w:t>
      </w:r>
      <w:r>
        <w:t xml:space="preserve">— not as a response to a single regulatory date. Regulatory anchors (CISA, NERC CIP evidence) provided secondary justification. The distinction mattered: Northfield’s board approved threat-driven spend more readily than compliance-driven spend with ambiguous ROI.</w:t>
      </w:r>
    </w:p>
    <w:p>
      <w:pPr>
        <w:pStyle w:val="BodyText"/>
      </w:pPr>
      <w:r>
        <w:t xml:space="preserve">Northfield’s internal schedule targets 2028 completion for Wave 1 —</w:t>
      </w:r>
      <w:r>
        <w:t xml:space="preserve"> </w:t>
      </w:r>
      <w:r>
        <w:rPr>
          <w:bCs/>
          <w:b/>
        </w:rPr>
        <w:t xml:space="preserve">ahead of</w:t>
      </w:r>
      <w:r>
        <w:t xml:space="preserve"> </w:t>
      </w:r>
      <w:r>
        <w:t xml:space="preserve">NIST 2030 deprecation — because OT refresh cycles and vendor lead times require early commitment, not because regulation mandated 2028.</w:t>
      </w:r>
    </w:p>
    <w:p>
      <w:r>
        <w:pict>
          <v:rect style="width:0;height:1.5pt" o:hralign="center" o:hrstd="t" o:hr="t"/>
        </w:pict>
      </w:r>
    </w:p>
    <w:bookmarkEnd w:id="59"/>
    <w:bookmarkStart w:id="60" w:name="meridian-risk-acceptance-worked-example"/>
    <w:p>
      <w:pPr>
        <w:pStyle w:val="Heading2"/>
      </w:pPr>
      <w:r>
        <w:t xml:space="preserve">5.15 Meridian: Risk Acceptance Worked Example</w:t>
      </w:r>
    </w:p>
    <w:p>
      <w:pPr>
        <w:pStyle w:val="FirstParagraph"/>
      </w:pPr>
      <w:r>
        <w:t xml:space="preserve">Meridian’s payment HSM chain could not reach production PQC migration before the 2030 deprecation anchor without vendor acceleration. Thomas Bergström’s legal team approved a</w:t>
      </w:r>
      <w:r>
        <w:t xml:space="preserve"> </w:t>
      </w:r>
      <w:r>
        <w:rPr>
          <w:bCs/>
          <w:b/>
        </w:rPr>
        <w:t xml:space="preserve">deprecation-period risk acceptance</w:t>
      </w:r>
      <w:r>
        <w:t xml:space="preserve"> </w:t>
      </w:r>
      <w:r>
        <w:t xml:space="preserve">— not a permanent waiver.</w:t>
      </w:r>
    </w:p>
    <w:p>
      <w:pPr>
        <w:pStyle w:val="BodyText"/>
      </w:pPr>
      <w:r>
        <w:rPr>
          <w:bCs/>
          <w:b/>
        </w:rPr>
        <w:t xml:space="preserve">Risk acceptance record (abridged):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System</w:t>
            </w:r>
          </w:p>
        </w:tc>
        <w:tc>
          <w:tcPr/>
          <w:p>
            <w:pPr>
              <w:pStyle w:val="Compact"/>
              <w:jc w:val="left"/>
            </w:pPr>
            <w:r>
              <w:t xml:space="preserve">Payment HSM firmware signing chain (vendor anonymised)</w:t>
            </w:r>
          </w:p>
        </w:tc>
      </w:tr>
      <w:tr>
        <w:tc>
          <w:tcPr/>
          <w:p>
            <w:pPr>
              <w:pStyle w:val="Compact"/>
              <w:jc w:val="left"/>
            </w:pPr>
            <w:r>
              <w:t xml:space="preserve">Classical algorithm</w:t>
            </w:r>
          </w:p>
        </w:tc>
        <w:tc>
          <w:tcPr/>
          <w:p>
            <w:pPr>
              <w:pStyle w:val="Compact"/>
              <w:jc w:val="left"/>
            </w:pPr>
            <w:r>
              <w:t xml:space="preserve">RSA-2048 / ECDSA-P256 firmware signatures</w:t>
            </w:r>
          </w:p>
        </w:tc>
      </w:tr>
      <w:tr>
        <w:tc>
          <w:tcPr/>
          <w:p>
            <w:pPr>
              <w:pStyle w:val="Compact"/>
              <w:jc w:val="left"/>
            </w:pPr>
            <w:r>
              <w:t xml:space="preserve">TRADE MPI</w:t>
            </w:r>
          </w:p>
        </w:tc>
        <w:tc>
          <w:tcPr/>
          <w:p>
            <w:pPr>
              <w:pStyle w:val="Compact"/>
              <w:jc w:val="left"/>
            </w:pPr>
            <w:r>
              <w:t xml:space="preserve">4.39 (Chapter 2)</w:t>
            </w:r>
          </w:p>
        </w:tc>
      </w:tr>
      <w:tr>
        <w:tc>
          <w:tcPr/>
          <w:p>
            <w:pPr>
              <w:pStyle w:val="Compact"/>
              <w:jc w:val="left"/>
            </w:pPr>
            <w:r>
              <w:t xml:space="preserve">Blocking dependency</w:t>
            </w:r>
          </w:p>
        </w:tc>
        <w:tc>
          <w:tcPr/>
          <w:p>
            <w:pPr>
              <w:pStyle w:val="Compact"/>
              <w:jc w:val="left"/>
            </w:pPr>
            <w:r>
              <w:t xml:space="preserve">FIPS 140-3 L3 module ML-DSA-87 — vendor GA Q3 2026</w:t>
            </w:r>
          </w:p>
        </w:tc>
      </w:tr>
      <w:tr>
        <w:tc>
          <w:tcPr/>
          <w:p>
            <w:pPr>
              <w:pStyle w:val="Compact"/>
              <w:jc w:val="left"/>
            </w:pPr>
            <w:r>
              <w:t xml:space="preserve">Compensating controls</w:t>
            </w:r>
          </w:p>
        </w:tc>
        <w:tc>
          <w:tcPr/>
          <w:p>
            <w:pPr>
              <w:pStyle w:val="Compact"/>
              <w:jc w:val="left"/>
            </w:pPr>
            <w:r>
              <w:t xml:space="preserve">HSM physical security; dual-control ceremony; firmware integrity monitoring</w:t>
            </w:r>
          </w:p>
        </w:tc>
      </w:tr>
      <w:tr>
        <w:tc>
          <w:tcPr/>
          <w:p>
            <w:pPr>
              <w:pStyle w:val="Compact"/>
              <w:jc w:val="left"/>
            </w:pPr>
            <w:r>
              <w:t xml:space="preserve">Review date</w:t>
            </w:r>
          </w:p>
        </w:tc>
        <w:tc>
          <w:tcPr/>
          <w:p>
            <w:pPr>
              <w:pStyle w:val="Compact"/>
              <w:jc w:val="left"/>
            </w:pPr>
            <w:r>
              <w:t xml:space="preserve">2025-12-31 (quarterly thereafter)</w:t>
            </w:r>
          </w:p>
        </w:tc>
      </w:tr>
      <w:tr>
        <w:tc>
          <w:tcPr/>
          <w:p>
            <w:pPr>
              <w:pStyle w:val="Compact"/>
              <w:jc w:val="left"/>
            </w:pPr>
            <w:r>
              <w:t xml:space="preserve">Remediation date</w:t>
            </w:r>
          </w:p>
        </w:tc>
        <w:tc>
          <w:tcPr/>
          <w:p>
            <w:pPr>
              <w:pStyle w:val="Compact"/>
              <w:jc w:val="left"/>
            </w:pPr>
            <w:r>
              <w:t xml:space="preserve">2027-06-30 (vendor module + integration)</w:t>
            </w:r>
          </w:p>
        </w:tc>
      </w:tr>
      <w:tr>
        <w:tc>
          <w:tcPr/>
          <w:p>
            <w:pPr>
              <w:pStyle w:val="Compact"/>
              <w:jc w:val="left"/>
            </w:pPr>
            <w:r>
              <w:t xml:space="preserve">Supervisory notification</w:t>
            </w:r>
          </w:p>
        </w:tc>
        <w:tc>
          <w:tcPr/>
          <w:p>
            <w:pPr>
              <w:pStyle w:val="Compact"/>
              <w:jc w:val="left"/>
            </w:pPr>
            <w:r>
              <w:t xml:space="preserve">Assessed — not required pre-examination in home jurisdiction</w:t>
            </w:r>
          </w:p>
        </w:tc>
      </w:tr>
      <w:tr>
        <w:tc>
          <w:tcPr/>
          <w:p>
            <w:pPr>
              <w:pStyle w:val="Compact"/>
              <w:jc w:val="left"/>
            </w:pPr>
            <w:r>
              <w:t xml:space="preserve">Approval</w:t>
            </w:r>
          </w:p>
        </w:tc>
        <w:tc>
          <w:tcPr/>
          <w:p>
            <w:pPr>
              <w:pStyle w:val="Compact"/>
              <w:jc w:val="left"/>
            </w:pPr>
            <w:r>
              <w:t xml:space="preserve">CISO + General Counsel</w:t>
            </w:r>
          </w:p>
        </w:tc>
      </w:tr>
    </w:tbl>
    <w:p>
      <w:pPr>
        <w:pStyle w:val="BodyText"/>
      </w:pPr>
      <w:r>
        <w:t xml:space="preserve">The record linked to CBOM asset ID, CDG node reference, and procurement escalation ticket. Supervisory reviewers could trace</w:t>
      </w:r>
      <w:r>
        <w:t xml:space="preserve"> </w:t>
      </w:r>
      <w:r>
        <w:rPr>
          <w:bCs/>
          <w:b/>
        </w:rPr>
        <w:t xml:space="preserve">why</w:t>
      </w:r>
      <w:r>
        <w:t xml:space="preserve"> </w:t>
      </w:r>
      <w:r>
        <w:t xml:space="preserve">classical algorithms remained — vendor ecosystem gate, not programme neglect.</w:t>
      </w:r>
    </w:p>
    <w:p>
      <w:pPr>
        <w:pStyle w:val="BodyText"/>
      </w:pPr>
      <w:r>
        <w:t xml:space="preserve">Meridian capped payment-domain risk acceptances at</w:t>
      </w:r>
      <w:r>
        <w:t xml:space="preserve"> </w:t>
      </w:r>
      <w:r>
        <w:rPr>
          <w:bCs/>
          <w:b/>
        </w:rPr>
        <w:t xml:space="preserve">two renewal cycles</w:t>
      </w:r>
      <w:r>
        <w:t xml:space="preserve"> </w:t>
      </w:r>
      <w:r>
        <w:t xml:space="preserve">before steering committee escalation — preventing the exception register from becoming a shadow migration policy.</w:t>
      </w:r>
    </w:p>
    <w:p>
      <w:r>
        <w:pict>
          <v:rect style="width:0;height:1.5pt" o:hralign="center" o:hrstd="t" o:hr="t"/>
        </w:pict>
      </w:r>
    </w:p>
    <w:bookmarkEnd w:id="60"/>
    <w:bookmarkStart w:id="61" w:name="Xd5cad05eb03c595b3d999433f4236e0a84b1219"/>
    <w:p>
      <w:pPr>
        <w:pStyle w:val="Heading2"/>
      </w:pPr>
      <w:r>
        <w:t xml:space="preserve">5.16 GlobalSync: Tenant Notification and Contractual Sunsets</w:t>
      </w:r>
    </w:p>
    <w:p>
      <w:pPr>
        <w:pStyle w:val="FirstParagraph"/>
      </w:pPr>
      <w:r>
        <w:t xml:space="preserve">Hybrid TLS on GlobalSync’s API required tenant awareness — contractual notice periods treated cryptographic parameter changes as material amendments for three enterprise tenants.</w:t>
      </w:r>
    </w:p>
    <w:p>
      <w:pPr>
        <w:pStyle w:val="BodyText"/>
      </w:pPr>
      <w:r>
        <w:t xml:space="preserve">GlobalSync’s tenant programme:</w:t>
      </w:r>
    </w:p>
    <w:p>
      <w:pPr>
        <w:numPr>
          <w:ilvl w:val="0"/>
          <w:numId w:val="1007"/>
        </w:numPr>
        <w:pStyle w:val="Compact"/>
      </w:pPr>
      <w:r>
        <w:rPr>
          <w:bCs/>
          <w:b/>
        </w:rPr>
        <w:t xml:space="preserve">Inventory</w:t>
      </w:r>
      <w:r>
        <w:t xml:space="preserve"> </w:t>
      </w:r>
      <w:r>
        <w:t xml:space="preserve">— contractual notice periods and material-change clauses per tenant (legal + customer success)</w:t>
      </w:r>
    </w:p>
    <w:p>
      <w:pPr>
        <w:numPr>
          <w:ilvl w:val="0"/>
          <w:numId w:val="1007"/>
        </w:numPr>
        <w:pStyle w:val="Compact"/>
      </w:pPr>
      <w:r>
        <w:rPr>
          <w:bCs/>
          <w:b/>
        </w:rPr>
        <w:t xml:space="preserve">Tier B client outreach</w:t>
      </w:r>
      <w:r>
        <w:t xml:space="preserve"> </w:t>
      </w:r>
      <w:r>
        <w:t xml:space="preserve">— updatable classical clients; 90-day notice with migration guide</w:t>
      </w:r>
    </w:p>
    <w:p>
      <w:pPr>
        <w:numPr>
          <w:ilvl w:val="0"/>
          <w:numId w:val="1007"/>
        </w:numPr>
        <w:pStyle w:val="Compact"/>
      </w:pPr>
      <w:r>
        <w:rPr>
          <w:bCs/>
          <w:b/>
        </w:rPr>
        <w:t xml:space="preserve">Tier C negotiation</w:t>
      </w:r>
      <w:r>
        <w:t xml:space="preserve"> </w:t>
      </w:r>
      <w:r>
        <w:t xml:space="preserve">— fixed embedded clients; risk acceptance or amended contract with sunset date</w:t>
      </w:r>
    </w:p>
    <w:p>
      <w:pPr>
        <w:numPr>
          <w:ilvl w:val="0"/>
          <w:numId w:val="1007"/>
        </w:numPr>
        <w:pStyle w:val="Compact"/>
      </w:pPr>
      <w:r>
        <w:rPr>
          <w:bCs/>
          <w:b/>
        </w:rPr>
        <w:t xml:space="preserve">Revenue impact model</w:t>
      </w:r>
      <w:r>
        <w:t xml:space="preserve"> </w:t>
      </w:r>
      <w:r>
        <w:t xml:space="preserve">— Tier C clients at 2.1% API traffic (</w:t>
      </w:r>
      <w:r>
        <w:rPr>
          <w:iCs/>
          <w:i/>
        </w:rPr>
        <w:t xml:space="preserve">illustrative</w:t>
      </w:r>
      <w:r>
        <w:t xml:space="preserve">); acceptable for H1 scope with compensating monitoring</w:t>
      </w:r>
    </w:p>
    <w:p>
      <w:pPr>
        <w:pStyle w:val="FirstParagraph"/>
      </w:pPr>
      <w:r>
        <w:t xml:space="preserve">Marcus Chen’s team sequenced tenant work</w:t>
      </w:r>
      <w:r>
        <w:t xml:space="preserve"> </w:t>
      </w:r>
      <w:r>
        <w:rPr>
          <w:bCs/>
          <w:b/>
        </w:rPr>
        <w:t xml:space="preserve">before</w:t>
      </w:r>
      <w:r>
        <w:t xml:space="preserve"> </w:t>
      </w:r>
      <w:r>
        <w:t xml:space="preserve">H1 production date — not after hybrid pilot success. Two tenants required contract amendments averaging</w:t>
      </w:r>
      <w:r>
        <w:t xml:space="preserve"> </w:t>
      </w:r>
      <w:r>
        <w:rPr>
          <w:bCs/>
          <w:b/>
        </w:rPr>
        <w:t xml:space="preserve">74 days</w:t>
      </w:r>
      <w:r>
        <w:t xml:space="preserve"> </w:t>
      </w:r>
      <w:r>
        <w:t xml:space="preserve">legal cycle (</w:t>
      </w:r>
      <w:r>
        <w:rPr>
          <w:iCs/>
          <w:i/>
        </w:rPr>
        <w:t xml:space="preserve">illustrative</w:t>
      </w:r>
      <w:r>
        <w:t xml:space="preserve">) — a synchronization delay invisible to TLS benchmarks but decisive for production rollout.</w:t>
      </w:r>
    </w:p>
    <w:p>
      <w:pPr>
        <w:pStyle w:val="BlockText"/>
      </w:pPr>
      <w:r>
        <w:rPr>
          <w:bCs/>
          <w:b/>
        </w:rPr>
        <w:t xml:space="preserve">Regulatory Lens</w:t>
      </w:r>
    </w:p>
    <w:p>
      <w:pPr>
        <w:pStyle w:val="BlockText"/>
      </w:pPr>
      <w:r>
        <w:rPr>
          <w:bCs/>
          <w:b/>
        </w:rPr>
        <w:t xml:space="preserve">GDPR and commercial contract law intersect hybrid deployment.</w:t>
      </w:r>
      <w:r>
        <w:t xml:space="preserve"> </w:t>
      </w:r>
      <w:r>
        <w:t xml:space="preserve">GlobalSync’s EU tenants required documentation that hybrid constructions maintained appropriate technical measures under Article 32 — satisfied by standards-track hybrid references and updated customer security whitepaper, not by algorithm reassurances in email.</w:t>
      </w:r>
    </w:p>
    <w:p>
      <w:r>
        <w:pict>
          <v:rect style="width:0;height:1.5pt" o:hralign="center" o:hrstd="t" o:hr="t"/>
        </w:pict>
      </w:r>
    </w:p>
    <w:bookmarkEnd w:id="61"/>
    <w:bookmarkStart w:id="62" w:name="X4d5d27038bc6f5b7b1f7019e5143455d11b7b63"/>
    <w:p>
      <w:pPr>
        <w:pStyle w:val="Heading2"/>
      </w:pPr>
      <w:r>
        <w:t xml:space="preserve">5.17 Northfield Energy: VPN and IKE Hybrid Transition</w:t>
      </w:r>
    </w:p>
    <w:p>
      <w:pPr>
        <w:pStyle w:val="FirstParagraph"/>
      </w:pPr>
      <w:r>
        <w:t xml:space="preserve">Northfield’s Wave 1 WAN VPN concentrators protected SCADA historian traffic — TES 5 HNDL exposure (Chapter 2). Hybrid TLS lessons did not transfer directly; IKEv2 hybrid constructions carried different fragmentation and failover behaviour.</w:t>
      </w:r>
    </w:p>
    <w:p>
      <w:pPr>
        <w:pStyle w:val="BodyText"/>
      </w:pPr>
      <w:r>
        <w:t xml:space="preserve">Northfield’s VPN programme:</w:t>
      </w:r>
    </w:p>
    <w:tbl>
      <w:tblPr>
        <w:tblStyle w:val="Table"/>
        <w:tblW w:type="pct" w:w="5000"/>
        <w:tblLook w:firstRow="1" w:lastRow="0" w:firstColumn="0" w:lastColumn="0" w:noHBand="0" w:noVBand="0" w:val="0020"/>
        <w:jc w:val="start"/>
      </w:tblPr>
      <w:tblGrid>
        <w:gridCol w:w="2132"/>
        <w:gridCol w:w="3046"/>
        <w:gridCol w:w="2741"/>
      </w:tblGrid>
      <w:tr>
        <w:trPr>
          <w:tblHeader w:val="true"/>
        </w:trPr>
        <w:tc>
          <w:tcPr/>
          <w:p>
            <w:pPr>
              <w:pStyle w:val="Compact"/>
              <w:jc w:val="left"/>
            </w:pPr>
            <w:r>
              <w:t xml:space="preserve">Phase</w:t>
            </w:r>
          </w:p>
        </w:tc>
        <w:tc>
          <w:tcPr/>
          <w:p>
            <w:pPr>
              <w:pStyle w:val="Compact"/>
              <w:jc w:val="left"/>
            </w:pPr>
            <w:r>
              <w:t xml:space="preserve">Activity</w:t>
            </w:r>
          </w:p>
        </w:tc>
        <w:tc>
          <w:tcPr/>
          <w:p>
            <w:pPr>
              <w:pStyle w:val="Compact"/>
              <w:jc w:val="left"/>
            </w:pPr>
            <w:r>
              <w:t xml:space="preserve">Outcome</w:t>
            </w:r>
          </w:p>
        </w:tc>
      </w:tr>
      <w:tr>
        <w:tc>
          <w:tcPr/>
          <w:p>
            <w:pPr>
              <w:pStyle w:val="Compact"/>
              <w:jc w:val="left"/>
            </w:pPr>
            <w:r>
              <w:t xml:space="preserve">Assessment</w:t>
            </w:r>
          </w:p>
        </w:tc>
        <w:tc>
          <w:tcPr/>
          <w:p>
            <w:pPr>
              <w:pStyle w:val="Compact"/>
              <w:jc w:val="left"/>
            </w:pPr>
            <w:r>
              <w:t xml:space="preserve">Two concentrator models tested with ML-KEM hybrid IKE profiles</w:t>
            </w:r>
          </w:p>
        </w:tc>
        <w:tc>
          <w:tcPr/>
          <w:p>
            <w:pPr>
              <w:pStyle w:val="Compact"/>
              <w:jc w:val="left"/>
            </w:pPr>
            <w:r>
              <w:t xml:space="preserve">Model A passed; Model B required hardware refresh</w:t>
            </w:r>
          </w:p>
        </w:tc>
      </w:tr>
      <w:tr>
        <w:tc>
          <w:tcPr/>
          <w:p>
            <w:pPr>
              <w:pStyle w:val="Compact"/>
              <w:jc w:val="left"/>
            </w:pPr>
            <w:r>
              <w:t xml:space="preserve">Capital</w:t>
            </w:r>
          </w:p>
        </w:tc>
        <w:tc>
          <w:tcPr/>
          <w:p>
            <w:pPr>
              <w:pStyle w:val="Compact"/>
              <w:jc w:val="left"/>
            </w:pPr>
            <w:r>
              <w:t xml:space="preserve">$2.8M refresh approved (</w:t>
            </w:r>
            <w:r>
              <w:rPr>
                <w:iCs/>
                <w:i/>
              </w:rPr>
              <w:t xml:space="preserve">illustrative</w:t>
            </w:r>
            <w:r>
              <w:t xml:space="preserve">)</w:t>
            </w:r>
          </w:p>
        </w:tc>
        <w:tc>
          <w:tcPr/>
          <w:p>
            <w:pPr>
              <w:pStyle w:val="Compact"/>
              <w:jc w:val="left"/>
            </w:pPr>
            <w:r>
              <w:t xml:space="preserve">Model B replaced in Wave 1 budget</w:t>
            </w:r>
          </w:p>
        </w:tc>
      </w:tr>
      <w:tr>
        <w:tc>
          <w:tcPr/>
          <w:p>
            <w:pPr>
              <w:pStyle w:val="Compact"/>
              <w:jc w:val="left"/>
            </w:pPr>
            <w:r>
              <w:t xml:space="preserve">Pilot</w:t>
            </w:r>
          </w:p>
        </w:tc>
        <w:tc>
          <w:tcPr/>
          <w:p>
            <w:pPr>
              <w:pStyle w:val="Compact"/>
              <w:jc w:val="left"/>
            </w:pPr>
            <w:r>
              <w:t xml:space="preserve">Single non-production site; 30-day monitoring</w:t>
            </w:r>
          </w:p>
        </w:tc>
        <w:tc>
          <w:tcPr/>
          <w:p>
            <w:pPr>
              <w:pStyle w:val="Compact"/>
              <w:jc w:val="left"/>
            </w:pPr>
            <w:r>
              <w:t xml:space="preserve">Fragmentation on one path — MTU tuning required</w:t>
            </w:r>
          </w:p>
        </w:tc>
      </w:tr>
      <w:tr>
        <w:tc>
          <w:tcPr/>
          <w:p>
            <w:pPr>
              <w:pStyle w:val="Compact"/>
              <w:jc w:val="left"/>
            </w:pPr>
            <w:r>
              <w:t xml:space="preserve">Rollout</w:t>
            </w:r>
          </w:p>
        </w:tc>
        <w:tc>
          <w:tcPr/>
          <w:p>
            <w:pPr>
              <w:pStyle w:val="Compact"/>
              <w:jc w:val="left"/>
            </w:pPr>
            <w:r>
              <w:t xml:space="preserve">Regional staging per §6.16 pattern</w:t>
            </w:r>
          </w:p>
        </w:tc>
        <w:tc>
          <w:tcPr/>
          <w:p>
            <w:pPr>
              <w:pStyle w:val="Compact"/>
              <w:jc w:val="left"/>
            </w:pPr>
            <w:r>
              <w:t xml:space="preserve">Operational continuity maintained</w:t>
            </w:r>
          </w:p>
        </w:tc>
      </w:tr>
    </w:tbl>
    <w:p>
      <w:pPr>
        <w:pStyle w:val="BodyText"/>
      </w:pPr>
      <w:r>
        <w:t xml:space="preserve">James Whitfield reported VPN migration to the board as</w:t>
      </w:r>
      <w:r>
        <w:t xml:space="preserve"> </w:t>
      </w:r>
      <w:r>
        <w:rPr>
          <w:bCs/>
          <w:b/>
        </w:rPr>
        <w:t xml:space="preserve">threat reduction on historian archives</w:t>
      </w:r>
      <w:r>
        <w:t xml:space="preserve"> </w:t>
      </w:r>
      <w:r>
        <w:t xml:space="preserve">— linking Chapter 2 threat analysis to Chapter 5 timeline capital. Regulatory evidence (NERC CIP) attached test reports demonstrating integrity controls remained effective post-migration.</w:t>
      </w:r>
    </w:p>
    <w:p>
      <w:pPr>
        <w:pStyle w:val="BodyText"/>
      </w:pPr>
      <w:r>
        <w:t xml:space="preserve">IKE hybrid policy joined Meridian-style risk acceptance for one legacy site that could not refresh until 2029 — six-month exception renewal with network segmentation compensating control.</w:t>
      </w:r>
    </w:p>
    <w:p>
      <w:r>
        <w:pict>
          <v:rect style="width:0;height:1.5pt" o:hralign="center" o:hrstd="t" o:hr="t"/>
        </w:pict>
      </w:r>
    </w:p>
    <w:bookmarkEnd w:id="62"/>
    <w:bookmarkStart w:id="67" w:name="hybrid-tls-operational-deep-dive"/>
    <w:p>
      <w:pPr>
        <w:pStyle w:val="Heading2"/>
      </w:pPr>
      <w:r>
        <w:t xml:space="preserve">5.18 Hybrid TLS: Operational Deep Dive</w:t>
      </w:r>
    </w:p>
    <w:p>
      <w:pPr>
        <w:pStyle w:val="FirstParagraph"/>
      </w:pPr>
      <w:r>
        <w:t xml:space="preserve">TLS is the most common H1 deployment target — and the most common source of false programme confidence. Operational depth beyond pilot success separates production-ready hybrid policy from slide-deck compliance.</w:t>
      </w:r>
    </w:p>
    <w:bookmarkStart w:id="63" w:name="client-compatibility-measurement"/>
    <w:p>
      <w:pPr>
        <w:pStyle w:val="Heading3"/>
      </w:pPr>
      <w:r>
        <w:t xml:space="preserve">Client compatibility measurement</w:t>
      </w:r>
    </w:p>
    <w:p>
      <w:pPr>
        <w:pStyle w:val="FirstParagraph"/>
      </w:pPr>
      <w:r>
        <w:t xml:space="preserve">Measure compatibility from</w:t>
      </w:r>
      <w:r>
        <w:t xml:space="preserve"> </w:t>
      </w:r>
      <w:r>
        <w:rPr>
          <w:bCs/>
          <w:b/>
        </w:rPr>
        <w:t xml:space="preserve">production traffic</w:t>
      </w:r>
      <w:r>
        <w:t xml:space="preserve">, not synthetic scans. GlobalSync analysed thirty days of API TLS handshakes, classifying clients by negotiated cipher suite and ClientHello extensions. Clients not sending supported hybrid extensions were enumerated by tenant and revenue impact — enabling commercial conversations with high-value tenants before deprecating classical-only paths.</w:t>
      </w:r>
    </w:p>
    <w:p>
      <w:pPr>
        <w:pStyle w:val="BodyText"/>
      </w:pPr>
      <w:r>
        <w:rPr>
          <w:bCs/>
          <w:b/>
        </w:rPr>
        <w:t xml:space="preserve">Table 5.5 — Client Compatibility Tiers</w:t>
      </w:r>
    </w:p>
    <w:tbl>
      <w:tblPr>
        <w:tblStyle w:val="Table"/>
        <w:tblW w:type="pct" w:w="5000"/>
        <w:tblLook w:firstRow="1" w:lastRow="0" w:firstColumn="0" w:lastColumn="0" w:noHBand="0" w:noVBand="0" w:val="0020"/>
        <w:jc w:val="start"/>
      </w:tblPr>
      <w:tblGrid>
        <w:gridCol w:w="1320"/>
        <w:gridCol w:w="2640"/>
        <w:gridCol w:w="3960"/>
      </w:tblGrid>
      <w:tr>
        <w:trPr>
          <w:tblHeader w:val="true"/>
        </w:trPr>
        <w:tc>
          <w:tcPr/>
          <w:p>
            <w:pPr>
              <w:pStyle w:val="Compact"/>
              <w:jc w:val="left"/>
            </w:pPr>
            <w:r>
              <w:t xml:space="preserve">Tier</w:t>
            </w:r>
          </w:p>
        </w:tc>
        <w:tc>
          <w:tcPr/>
          <w:p>
            <w:pPr>
              <w:pStyle w:val="Compact"/>
              <w:jc w:val="left"/>
            </w:pPr>
            <w:r>
              <w:t xml:space="preserve">Definition</w:t>
            </w:r>
          </w:p>
        </w:tc>
        <w:tc>
          <w:tcPr/>
          <w:p>
            <w:pPr>
              <w:pStyle w:val="Compact"/>
              <w:jc w:val="left"/>
            </w:pPr>
            <w:r>
              <w:t xml:space="preserve">Programme action</w:t>
            </w:r>
          </w:p>
        </w:tc>
      </w:tr>
      <w:tr>
        <w:tc>
          <w:tcPr/>
          <w:p>
            <w:pPr>
              <w:pStyle w:val="Compact"/>
              <w:jc w:val="left"/>
            </w:pPr>
            <w:r>
              <w:t xml:space="preserve">A — PQC-capable</w:t>
            </w:r>
          </w:p>
        </w:tc>
        <w:tc>
          <w:tcPr/>
          <w:p>
            <w:pPr>
              <w:pStyle w:val="Compact"/>
              <w:jc w:val="left"/>
            </w:pPr>
            <w:r>
              <w:t xml:space="preserve">Negotiates hybrid successfully</w:t>
            </w:r>
          </w:p>
        </w:tc>
        <w:tc>
          <w:tcPr/>
          <w:p>
            <w:pPr>
              <w:pStyle w:val="Compact"/>
              <w:jc w:val="left"/>
            </w:pPr>
            <w:r>
              <w:t xml:space="preserve">Full H1 deployment</w:t>
            </w:r>
          </w:p>
        </w:tc>
      </w:tr>
      <w:tr>
        <w:tc>
          <w:tcPr/>
          <w:p>
            <w:pPr>
              <w:pStyle w:val="Compact"/>
              <w:jc w:val="left"/>
            </w:pPr>
            <w:r>
              <w:t xml:space="preserve">B — Classical only, updatable</w:t>
            </w:r>
          </w:p>
        </w:tc>
        <w:tc>
          <w:tcPr/>
          <w:p>
            <w:pPr>
              <w:pStyle w:val="Compact"/>
              <w:jc w:val="left"/>
            </w:pPr>
            <w:r>
              <w:t xml:space="preserve">Legacy client; vendor patch available</w:t>
            </w:r>
          </w:p>
        </w:tc>
        <w:tc>
          <w:tcPr/>
          <w:p>
            <w:pPr>
              <w:pStyle w:val="Compact"/>
              <w:jc w:val="left"/>
            </w:pPr>
            <w:r>
              <w:t xml:space="preserve">Tenant notification; sunset date</w:t>
            </w:r>
          </w:p>
        </w:tc>
      </w:tr>
      <w:tr>
        <w:tc>
          <w:tcPr/>
          <w:p>
            <w:pPr>
              <w:pStyle w:val="Compact"/>
              <w:jc w:val="left"/>
            </w:pPr>
            <w:r>
              <w:t xml:space="preserve">C — Classical only, fixed</w:t>
            </w:r>
          </w:p>
        </w:tc>
        <w:tc>
          <w:tcPr/>
          <w:p>
            <w:pPr>
              <w:pStyle w:val="Compact"/>
              <w:jc w:val="left"/>
            </w:pPr>
            <w:r>
              <w:t xml:space="preserve">Embedded integration; no update path</w:t>
            </w:r>
          </w:p>
        </w:tc>
        <w:tc>
          <w:tcPr/>
          <w:p>
            <w:pPr>
              <w:pStyle w:val="Compact"/>
              <w:jc w:val="left"/>
            </w:pPr>
            <w:r>
              <w:t xml:space="preserve">Risk acceptance; compensating controls</w:t>
            </w:r>
          </w:p>
        </w:tc>
      </w:tr>
      <w:tr>
        <w:tc>
          <w:tcPr/>
          <w:p>
            <w:pPr>
              <w:pStyle w:val="Compact"/>
              <w:jc w:val="left"/>
            </w:pPr>
            <w:r>
              <w:t xml:space="preserve">D — Unknown</w:t>
            </w:r>
          </w:p>
        </w:tc>
        <w:tc>
          <w:tcPr/>
          <w:p>
            <w:pPr>
              <w:pStyle w:val="Compact"/>
              <w:jc w:val="left"/>
            </w:pPr>
            <w:r>
              <w:t xml:space="preserve">Insufficient handshake logging</w:t>
            </w:r>
          </w:p>
        </w:tc>
        <w:tc>
          <w:tcPr/>
          <w:p>
            <w:pPr>
              <w:pStyle w:val="Compact"/>
              <w:jc w:val="left"/>
            </w:pPr>
            <w:r>
              <w:t xml:space="preserve">Instrument before migration</w:t>
            </w:r>
          </w:p>
        </w:tc>
      </w:tr>
    </w:tbl>
    <w:p>
      <w:pPr>
        <w:pStyle w:val="BlockText"/>
      </w:pPr>
      <w:r>
        <w:rPr>
          <w:bCs/>
          <w:b/>
        </w:rPr>
        <w:t xml:space="preserve">Dependency Alert</w:t>
      </w:r>
    </w:p>
    <w:p>
      <w:pPr>
        <w:pStyle w:val="BlockText"/>
      </w:pPr>
      <w:r>
        <w:rPr>
          <w:bCs/>
          <w:b/>
        </w:rPr>
        <w:t xml:space="preserve">TLS hybrid pilots succeed on unconstrained endpoints; production fails at middleboxes.</w:t>
      </w:r>
      <w:r>
        <w:t xml:space="preserve"> </w:t>
      </w:r>
      <w:r>
        <w:t xml:space="preserve">Load balancers, IDS/IPS platforms, SSL inspection proxies, and mobile carrier gateways enforce buffer limits invisible to application-team pilots. Assess infrastructure</w:t>
      </w:r>
      <w:r>
        <w:t xml:space="preserve"> </w:t>
      </w:r>
      <w:r>
        <w:rPr>
          <w:bCs/>
          <w:b/>
        </w:rPr>
        <w:t xml:space="preserve">before</w:t>
      </w:r>
      <w:r>
        <w:t xml:space="preserve"> </w:t>
      </w:r>
      <w:r>
        <w:t xml:space="preserve">board approval of H1 production dates — not after pilot demonstration.</w:t>
      </w:r>
    </w:p>
    <w:bookmarkEnd w:id="63"/>
    <w:bookmarkStart w:id="64" w:name="middlebox-and-infrastructure-assessment"/>
    <w:p>
      <w:pPr>
        <w:pStyle w:val="Heading3"/>
      </w:pPr>
      <w:r>
        <w:t xml:space="preserve">Middlebox and infrastructure assessment</w:t>
      </w:r>
    </w:p>
    <w:p>
      <w:pPr>
        <w:pStyle w:val="FirstParagraph"/>
      </w:pPr>
      <w:r>
        <w:t xml:space="preserve">Hybrid handshakes exceed classical sizes. Infrastructure assessment checklist:</w:t>
      </w:r>
    </w:p>
    <w:p>
      <w:pPr>
        <w:numPr>
          <w:ilvl w:val="0"/>
          <w:numId w:val="1008"/>
        </w:numPr>
        <w:pStyle w:val="Compact"/>
      </w:pPr>
      <w:r>
        <w:t xml:space="preserve">Load balancer maximum handshake buffer</w:t>
      </w:r>
    </w:p>
    <w:p>
      <w:pPr>
        <w:numPr>
          <w:ilvl w:val="0"/>
          <w:numId w:val="1008"/>
        </w:numPr>
        <w:pStyle w:val="Compact"/>
      </w:pPr>
      <w:r>
        <w:t xml:space="preserve">IDS/IPS reassembly limits</w:t>
      </w:r>
    </w:p>
    <w:p>
      <w:pPr>
        <w:numPr>
          <w:ilvl w:val="0"/>
          <w:numId w:val="1008"/>
        </w:numPr>
        <w:pStyle w:val="Compact"/>
      </w:pPr>
      <w:r>
        <w:t xml:space="preserve">CDN edge configuration</w:t>
      </w:r>
    </w:p>
    <w:p>
      <w:pPr>
        <w:numPr>
          <w:ilvl w:val="0"/>
          <w:numId w:val="1008"/>
        </w:numPr>
        <w:pStyle w:val="Compact"/>
      </w:pPr>
      <w:r>
        <w:t xml:space="preserve">Corporate proxy SSL inspection buffers</w:t>
      </w:r>
    </w:p>
    <w:p>
      <w:pPr>
        <w:numPr>
          <w:ilvl w:val="0"/>
          <w:numId w:val="1008"/>
        </w:numPr>
        <w:pStyle w:val="Compact"/>
      </w:pPr>
      <w:r>
        <w:t xml:space="preserve">Mobile network carrier middleboxes (for consumer-facing services)</w:t>
      </w:r>
    </w:p>
    <w:p>
      <w:pPr>
        <w:pStyle w:val="FirstParagraph"/>
      </w:pPr>
      <w:r>
        <w:t xml:space="preserve">Northfield assessed VPN concentrators separately from TLS — IKE hybrid constructions carry different fragmentation behaviour. Two concentrator models required hardware refresh before hybrid deployment; refresh was funded as Wave 1 capital expenditure linked to TES 5 scoring.</w:t>
      </w:r>
    </w:p>
    <w:bookmarkEnd w:id="64"/>
    <w:bookmarkStart w:id="65" w:name="cipher-suite-policy"/>
    <w:p>
      <w:pPr>
        <w:pStyle w:val="Heading3"/>
      </w:pPr>
      <w:r>
        <w:t xml:space="preserve">Cipher suite policy</w:t>
      </w:r>
    </w:p>
    <w:p>
      <w:pPr>
        <w:pStyle w:val="FirstParagraph"/>
      </w:pPr>
      <w:r>
        <w:t xml:space="preserve">Enterprise TLS policy should name</w:t>
      </w:r>
      <w:r>
        <w:t xml:space="preserve"> </w:t>
      </w:r>
      <w:r>
        <w:rPr>
          <w:bCs/>
          <w:b/>
        </w:rPr>
        <w:t xml:space="preserve">approved cipher suites</w:t>
      </w:r>
      <w:r>
        <w:t xml:space="preserve"> </w:t>
      </w:r>
      <w:r>
        <w:t xml:space="preserve">including hybrid combinations — not</w:t>
      </w:r>
      <w:r>
        <w:t xml:space="preserve"> </w:t>
      </w:r>
      <w:r>
        <w:t xml:space="preserve">“</w:t>
      </w:r>
      <w:r>
        <w:t xml:space="preserve">TLS 1.3 with PQC.</w:t>
      </w:r>
      <w:r>
        <w:t xml:space="preserve">”</w:t>
      </w:r>
      <w:r>
        <w:t xml:space="preserve"> </w:t>
      </w:r>
      <w:r>
        <w:t xml:space="preserve">Examples at time of writing follow IETF standards-track naming; policy owners must update as specifications finalise:</w:t>
      </w:r>
    </w:p>
    <w:p>
      <w:pPr>
        <w:numPr>
          <w:ilvl w:val="0"/>
          <w:numId w:val="1009"/>
        </w:numPr>
        <w:pStyle w:val="Compact"/>
      </w:pPr>
      <w:r>
        <w:t xml:space="preserve">Hybrid key exchange: X25519MLKEM768 or equivalent standards-track identifier</w:t>
      </w:r>
    </w:p>
    <w:p>
      <w:pPr>
        <w:numPr>
          <w:ilvl w:val="0"/>
          <w:numId w:val="1009"/>
        </w:numPr>
        <w:pStyle w:val="Compact"/>
      </w:pPr>
      <w:r>
        <w:t xml:space="preserve">Prohibited: non-standard hybrid combinations; classical-only for new deployments post-H2 entry</w:t>
      </w:r>
    </w:p>
    <w:bookmarkEnd w:id="65"/>
    <w:bookmarkStart w:id="66" w:name="certificate-lifecycle-integration"/>
    <w:p>
      <w:pPr>
        <w:pStyle w:val="Heading3"/>
      </w:pPr>
      <w:r>
        <w:t xml:space="preserve">Certificate lifecycle integration</w:t>
      </w:r>
    </w:p>
    <w:p>
      <w:pPr>
        <w:pStyle w:val="FirstParagraph"/>
      </w:pPr>
      <w:r>
        <w:t xml:space="preserve">Hybrid TLS requires certificates signed with ML-DSA (or transitional classical certificates during early H1). Certificate lifecycle management — issuance, renewal, revocation, transparency logging — must accommodate larger certificates and new CA hierarchy plans (Chapter 12). Timeline policy without PKI roadmap integration fails at first renewal cycle.</w:t>
      </w:r>
    </w:p>
    <w:p>
      <w:r>
        <w:pict>
          <v:rect style="width:0;height:1.5pt" o:hralign="center" o:hrstd="t" o:hr="t"/>
        </w:pict>
      </w:r>
    </w:p>
    <w:bookmarkEnd w:id="66"/>
    <w:bookmarkEnd w:id="67"/>
    <w:bookmarkStart w:id="68" w:name="X48e0fcb8337143bbc055f131bcec10d260a1c62"/>
    <w:p>
      <w:pPr>
        <w:pStyle w:val="Heading2"/>
      </w:pPr>
      <w:r>
        <w:t xml:space="preserve">5.19 Board and Executive Reporting on Timelines</w:t>
      </w:r>
    </w:p>
    <w:p>
      <w:pPr>
        <w:pStyle w:val="FirstParagraph"/>
      </w:pPr>
      <w:r>
        <w:t xml:space="preserve">Executives require timeline communication without algorithm detail. Effective board reporting structure:</w:t>
      </w:r>
    </w:p>
    <w:p>
      <w:pPr>
        <w:pStyle w:val="BodyText"/>
      </w:pPr>
      <w:r>
        <w:rPr>
          <w:bCs/>
          <w:b/>
        </w:rPr>
        <w:t xml:space="preserve">Slide 1 — Policy anchors:</w:t>
      </w:r>
      <w:r>
        <w:t xml:space="preserve"> </w:t>
      </w:r>
      <w:r>
        <w:t xml:space="preserve">NIST 2030/2035, applicable CNSA or national dates — one row per jurisdiction for multinationals.</w:t>
      </w:r>
    </w:p>
    <w:p>
      <w:pPr>
        <w:pStyle w:val="BodyText"/>
      </w:pPr>
      <w:r>
        <w:rPr>
          <w:bCs/>
          <w:b/>
        </w:rPr>
        <w:t xml:space="preserve">Slide 2 — Programme waves:</w:t>
      </w:r>
      <w:r>
        <w:t xml:space="preserve"> </w:t>
      </w:r>
      <w:r>
        <w:t xml:space="preserve">Three to five waves with business-language descriptions (</w:t>
      </w:r>
      <w:r>
        <w:t xml:space="preserve">“</w:t>
      </w:r>
      <w:r>
        <w:t xml:space="preserve">customer data key management,</w:t>
      </w:r>
      <w:r>
        <w:t xml:space="preserve">”</w:t>
      </w:r>
      <w:r>
        <w:t xml:space="preserve"> </w:t>
      </w:r>
      <w:r>
        <w:t xml:space="preserve">not</w:t>
      </w:r>
      <w:r>
        <w:t xml:space="preserve"> </w:t>
      </w:r>
      <w:r>
        <w:t xml:space="preserve">“</w:t>
      </w:r>
      <w:r>
        <w:t xml:space="preserve">ML-KEM-768 key wrap</w:t>
      </w:r>
      <w:r>
        <w:t xml:space="preserve">”</w:t>
      </w:r>
      <w:r>
        <w:t xml:space="preserve">).</w:t>
      </w:r>
    </w:p>
    <w:p>
      <w:pPr>
        <w:pStyle w:val="BodyText"/>
      </w:pPr>
      <w:r>
        <w:rPr>
          <w:bCs/>
          <w:b/>
        </w:rPr>
        <w:t xml:space="preserve">Slide 3 — Critical path:</w:t>
      </w:r>
      <w:r>
        <w:t xml:space="preserve"> </w:t>
      </w:r>
      <w:r>
        <w:t xml:space="preserve">Top three blocking dependencies with owner and status — ecosystem gates explicit.</w:t>
      </w:r>
    </w:p>
    <w:p>
      <w:pPr>
        <w:pStyle w:val="BodyText"/>
      </w:pPr>
      <w:r>
        <w:rPr>
          <w:bCs/>
          <w:b/>
        </w:rPr>
        <w:t xml:space="preserve">Slide 4 — HLM status:</w:t>
      </w:r>
      <w:r>
        <w:t xml:space="preserve"> </w:t>
      </w:r>
      <w:r>
        <w:t xml:space="preserve">Percentage of estate in H1/H2/H3 by criticality tier — not percentage of pilots completed.</w:t>
      </w:r>
    </w:p>
    <w:p>
      <w:pPr>
        <w:pStyle w:val="BodyText"/>
      </w:pPr>
      <w:r>
        <w:rPr>
          <w:bCs/>
          <w:b/>
        </w:rPr>
        <w:t xml:space="preserve">Slide 5 — Exceptions:</w:t>
      </w:r>
      <w:r>
        <w:t xml:space="preserve"> </w:t>
      </w:r>
      <w:r>
        <w:t xml:space="preserve">Count and aggregate risk acceptance exposure; ageing exceptions highlighted.</w:t>
      </w:r>
    </w:p>
    <w:p>
      <w:pPr>
        <w:pStyle w:val="BodyText"/>
      </w:pPr>
      <w:r>
        <w:rPr>
          <w:bCs/>
          <w:b/>
        </w:rPr>
        <w:t xml:space="preserve">Slide 6 — Investment:</w:t>
      </w:r>
      <w:r>
        <w:t xml:space="preserve"> </w:t>
      </w:r>
      <w:r>
        <w:t xml:space="preserve">Current-year spend vs programme budget; capital vs operational split for OT refresh.</w:t>
      </w:r>
    </w:p>
    <w:p>
      <w:pPr>
        <w:pStyle w:val="BodyText"/>
      </w:pPr>
      <w:r>
        <w:t xml:space="preserve">Marcus Chen’s board deck never mentioned lattice cryptography. It reported that Wave 1 — tenant API authentication and key management — was ecosystem-gated on two HSM products with validated ML-KEM modules expected Q3 2026, and that risk acceptance covered fourteen Tier-C legacy clients representing</w:t>
      </w:r>
      <w:r>
        <w:t xml:space="preserve"> </w:t>
      </w:r>
      <w:r>
        <w:rPr>
          <w:bCs/>
          <w:b/>
        </w:rPr>
        <w:t xml:space="preserve">2.1%</w:t>
      </w:r>
      <w:r>
        <w:t xml:space="preserve"> </w:t>
      </w:r>
      <w:r>
        <w:t xml:space="preserve">of API traffic (</w:t>
      </w:r>
      <w:r>
        <w:rPr>
          <w:iCs/>
          <w:i/>
        </w:rPr>
        <w:t xml:space="preserve">illustrative</w:t>
      </w:r>
      <w:r>
        <w:t xml:space="preserve">).</w:t>
      </w:r>
    </w:p>
    <w:p>
      <w:r>
        <w:pict>
          <v:rect style="width:0;height:1.5pt" o:hralign="center" o:hrstd="t" o:hr="t"/>
        </w:pict>
      </w:r>
    </w:p>
    <w:bookmarkEnd w:id="68"/>
    <w:bookmarkStart w:id="71" w:name="X77b459b24892931a9b88f4d7fad2f087f2c11b8"/>
    <w:p>
      <w:pPr>
        <w:pStyle w:val="Heading2"/>
      </w:pPr>
      <w:r>
        <w:t xml:space="preserve">5.20 Integration with Zero Trust and Identity Programmes</w:t>
      </w:r>
    </w:p>
    <w:p>
      <w:pPr>
        <w:pStyle w:val="FirstParagraph"/>
      </w:pPr>
      <w:r>
        <w:t xml:space="preserve">Enterprises running Zero Trust architecture programmes alongside PQC migration must integrate timeline policy — not sequence blindly.</w:t>
      </w:r>
    </w:p>
    <w:bookmarkStart w:id="69" w:name="shared-dependencies"/>
    <w:p>
      <w:pPr>
        <w:pStyle w:val="Heading3"/>
      </w:pPr>
      <w:r>
        <w:t xml:space="preserve">Shared dependencies</w:t>
      </w:r>
    </w:p>
    <w:p>
      <w:pPr>
        <w:pStyle w:val="FirstParagraph"/>
      </w:pPr>
      <w:r>
        <w:t xml:space="preserve">Zero Trust and PQC programmes share:</w:t>
      </w:r>
    </w:p>
    <w:p>
      <w:pPr>
        <w:numPr>
          <w:ilvl w:val="0"/>
          <w:numId w:val="1010"/>
        </w:numPr>
        <w:pStyle w:val="Compact"/>
      </w:pPr>
      <w:r>
        <w:t xml:space="preserve">PKI engineering capacity</w:t>
      </w:r>
    </w:p>
    <w:p>
      <w:pPr>
        <w:numPr>
          <w:ilvl w:val="0"/>
          <w:numId w:val="1010"/>
        </w:numPr>
        <w:pStyle w:val="Compact"/>
      </w:pPr>
      <w:r>
        <w:t xml:space="preserve">HSM and key management infrastructure</w:t>
      </w:r>
    </w:p>
    <w:p>
      <w:pPr>
        <w:numPr>
          <w:ilvl w:val="0"/>
          <w:numId w:val="1010"/>
        </w:numPr>
        <w:pStyle w:val="Compact"/>
      </w:pPr>
      <w:r>
        <w:t xml:space="preserve">Identity provider certificate profiles</w:t>
      </w:r>
    </w:p>
    <w:p>
      <w:pPr>
        <w:numPr>
          <w:ilvl w:val="0"/>
          <w:numId w:val="1010"/>
        </w:numPr>
        <w:pStyle w:val="Compact"/>
      </w:pPr>
      <w:r>
        <w:t xml:space="preserve">Device authentication and attestation chains</w:t>
      </w:r>
    </w:p>
    <w:bookmarkEnd w:id="69"/>
    <w:bookmarkStart w:id="70" w:name="policy-integration-options"/>
    <w:p>
      <w:pPr>
        <w:pStyle w:val="Heading3"/>
      </w:pPr>
      <w:r>
        <w:t xml:space="preserve">Policy integration options</w:t>
      </w:r>
    </w:p>
    <w:tbl>
      <w:tblPr>
        <w:tblStyle w:val="Table"/>
        <w:tblW w:type="pct" w:w="5000"/>
        <w:tblLook w:firstRow="1" w:lastRow="0" w:firstColumn="0" w:lastColumn="0" w:noHBand="0" w:noVBand="0" w:val="0020"/>
        <w:jc w:val="start"/>
      </w:tblPr>
      <w:tblGrid>
        <w:gridCol w:w="2329"/>
        <w:gridCol w:w="4192"/>
        <w:gridCol w:w="1397"/>
      </w:tblGrid>
      <w:tr>
        <w:trPr>
          <w:tblHeader w:val="true"/>
        </w:trPr>
        <w:tc>
          <w:tcPr/>
          <w:p>
            <w:pPr>
              <w:pStyle w:val="Compact"/>
              <w:jc w:val="left"/>
            </w:pPr>
            <w:r>
              <w:t xml:space="preserve">Approach</w:t>
            </w:r>
          </w:p>
        </w:tc>
        <w:tc>
          <w:tcPr/>
          <w:p>
            <w:pPr>
              <w:pStyle w:val="Compact"/>
              <w:jc w:val="left"/>
            </w:pPr>
            <w:r>
              <w:t xml:space="preserve">When appropriate</w:t>
            </w:r>
          </w:p>
        </w:tc>
        <w:tc>
          <w:tcPr/>
          <w:p>
            <w:pPr>
              <w:pStyle w:val="Compact"/>
              <w:jc w:val="left"/>
            </w:pPr>
            <w:r>
              <w:t xml:space="preserve">Risk</w:t>
            </w:r>
          </w:p>
        </w:tc>
      </w:tr>
      <w:tr>
        <w:tc>
          <w:tcPr/>
          <w:p>
            <w:pPr>
              <w:pStyle w:val="Compact"/>
              <w:jc w:val="left"/>
            </w:pPr>
            <w:r>
              <w:rPr>
                <w:bCs/>
                <w:b/>
              </w:rPr>
              <w:t xml:space="preserve">Unified programme</w:t>
            </w:r>
          </w:p>
        </w:tc>
        <w:tc>
          <w:tcPr/>
          <w:p>
            <w:pPr>
              <w:pStyle w:val="Compact"/>
              <w:jc w:val="left"/>
            </w:pPr>
            <w:r>
              <w:t xml:space="preserve">Sufficient staff; executive sponsorship for combined charter</w:t>
            </w:r>
          </w:p>
        </w:tc>
        <w:tc>
          <w:tcPr/>
          <w:p>
            <w:pPr>
              <w:pStyle w:val="Compact"/>
              <w:jc w:val="left"/>
            </w:pPr>
            <w:r>
              <w:t xml:space="preserve">Programme complexity</w:t>
            </w:r>
          </w:p>
        </w:tc>
      </w:tr>
      <w:tr>
        <w:tc>
          <w:tcPr/>
          <w:p>
            <w:pPr>
              <w:pStyle w:val="Compact"/>
              <w:jc w:val="left"/>
            </w:pPr>
            <w:r>
              <w:rPr>
                <w:bCs/>
                <w:b/>
              </w:rPr>
              <w:t xml:space="preserve">PQC embedded in Zero Trust standards</w:t>
            </w:r>
          </w:p>
        </w:tc>
        <w:tc>
          <w:tcPr/>
          <w:p>
            <w:pPr>
              <w:pStyle w:val="Compact"/>
              <w:jc w:val="left"/>
            </w:pPr>
            <w:r>
              <w:t xml:space="preserve">Zero Trust is primary executive mandate</w:t>
            </w:r>
          </w:p>
        </w:tc>
        <w:tc>
          <w:tcPr/>
          <w:p>
            <w:pPr>
              <w:pStyle w:val="Compact"/>
              <w:jc w:val="left"/>
            </w:pPr>
            <w:r>
              <w:t xml:space="preserve">PQC deprioritised within identity workstreams</w:t>
            </w:r>
          </w:p>
        </w:tc>
      </w:tr>
      <w:tr>
        <w:tc>
          <w:tcPr/>
          <w:p>
            <w:pPr>
              <w:pStyle w:val="Compact"/>
              <w:jc w:val="left"/>
            </w:pPr>
            <w:r>
              <w:rPr>
                <w:bCs/>
                <w:b/>
              </w:rPr>
              <w:t xml:space="preserve">Parallel with shared PKI governance</w:t>
            </w:r>
          </w:p>
        </w:tc>
        <w:tc>
          <w:tcPr/>
          <w:p>
            <w:pPr>
              <w:pStyle w:val="Compact"/>
              <w:jc w:val="left"/>
            </w:pPr>
            <w:r>
              <w:t xml:space="preserve">Resource constraints require separate charters</w:t>
            </w:r>
          </w:p>
        </w:tc>
        <w:tc>
          <w:tcPr/>
          <w:p>
            <w:pPr>
              <w:pStyle w:val="Compact"/>
              <w:jc w:val="left"/>
            </w:pPr>
            <w:r>
              <w:t xml:space="preserve">PKI team bottleneck (Apex pattern, Chapter 1)</w:t>
            </w:r>
          </w:p>
        </w:tc>
      </w:tr>
      <w:tr>
        <w:tc>
          <w:tcPr/>
          <w:p>
            <w:pPr>
              <w:pStyle w:val="Compact"/>
              <w:jc w:val="left"/>
            </w:pPr>
            <w:r>
              <w:rPr>
                <w:bCs/>
                <w:b/>
              </w:rPr>
              <w:t xml:space="preserve">Serial: Zero Trust first</w:t>
            </w:r>
          </w:p>
        </w:tc>
        <w:tc>
          <w:tcPr/>
          <w:p>
            <w:pPr>
              <w:pStyle w:val="Compact"/>
              <w:jc w:val="left"/>
            </w:pPr>
            <w:r>
              <w:t xml:space="preserve">Rare; only if identity gaps are acute breach drivers</w:t>
            </w:r>
          </w:p>
        </w:tc>
        <w:tc>
          <w:tcPr/>
          <w:p>
            <w:pPr>
              <w:pStyle w:val="Compact"/>
              <w:jc w:val="left"/>
            </w:pPr>
            <w:r>
              <w:t xml:space="preserve">PQC delayed past regulatory comfort</w:t>
            </w:r>
          </w:p>
        </w:tc>
      </w:tr>
    </w:tbl>
    <w:p>
      <w:pPr>
        <w:pStyle w:val="BodyText"/>
      </w:pPr>
      <w:r>
        <w:t xml:space="preserve">Chapter 1’s Dependency Alert recommended embedding PQC agility in Zero Trust standards when both programmes are active. Timeline policy should reference both charters — sunset dates for quantum-vulnerable PKC in device authentication certificates align with Zero Trust certificate renewal cycles.</w:t>
      </w:r>
    </w:p>
    <w:p>
      <w:r>
        <w:pict>
          <v:rect style="width:0;height:1.5pt" o:hralign="center" o:hrstd="t" o:hr="t"/>
        </w:pict>
      </w:r>
    </w:p>
    <w:bookmarkEnd w:id="70"/>
    <w:bookmarkEnd w:id="71"/>
    <w:bookmarkStart w:id="72" w:name="conducting-a-timeline-alignment-workshop"/>
    <w:p>
      <w:pPr>
        <w:pStyle w:val="Heading2"/>
      </w:pPr>
      <w:r>
        <w:t xml:space="preserve">5.21 Conducting a Timeline Alignment Workshop</w:t>
      </w:r>
    </w:p>
    <w:p>
      <w:pPr>
        <w:pStyle w:val="FirstParagraph"/>
      </w:pPr>
      <w:r>
        <w:t xml:space="preserve">Before publishing enterprise timeline policy, run a alignment workshop connecting standards anchors to estate reality.</w:t>
      </w:r>
    </w:p>
    <w:p>
      <w:pPr>
        <w:pStyle w:val="BodyText"/>
      </w:pPr>
      <w:r>
        <w:rPr>
          <w:bCs/>
          <w:b/>
        </w:rPr>
        <w:t xml:space="preserve">Participants:</w:t>
      </w:r>
      <w:r>
        <w:t xml:space="preserve"> </w:t>
      </w:r>
      <w:r>
        <w:t xml:space="preserve">Programme director, enterprise architect, PKI lead, OT lead (if applicable), regulatory affairs, vendor management, finance planner.</w:t>
      </w:r>
    </w:p>
    <w:p>
      <w:pPr>
        <w:pStyle w:val="BodyText"/>
      </w:pPr>
      <w:r>
        <w:rPr>
          <w:bCs/>
          <w:b/>
        </w:rPr>
        <w:t xml:space="preserve">Inputs:</w:t>
      </w:r>
      <w:r>
        <w:t xml:space="preserve"> </w:t>
      </w:r>
      <w:r>
        <w:t xml:space="preserve">Draft CBOM summary; top ten TRADE-scored systems; vendor roadmap letters; regulatory overlay matrix.</w:t>
      </w:r>
    </w:p>
    <w:p>
      <w:pPr>
        <w:pStyle w:val="BodyText"/>
      </w:pPr>
      <w:r>
        <w:rPr>
          <w:bCs/>
          <w:b/>
        </w:rPr>
        <w:t xml:space="preserve">Agenda (full day):</w:t>
      </w:r>
    </w:p>
    <w:p>
      <w:pPr>
        <w:numPr>
          <w:ilvl w:val="0"/>
          <w:numId w:val="1011"/>
        </w:numPr>
        <w:pStyle w:val="Compact"/>
      </w:pPr>
      <w:r>
        <w:rPr>
          <w:bCs/>
          <w:b/>
        </w:rPr>
        <w:t xml:space="preserve">Anchor review</w:t>
      </w:r>
      <w:r>
        <w:t xml:space="preserve"> </w:t>
      </w:r>
      <w:r>
        <w:t xml:space="preserve">(60 min) — confirm applicable NIST, CNSA, national, contractual dates</w:t>
      </w:r>
    </w:p>
    <w:p>
      <w:pPr>
        <w:numPr>
          <w:ilvl w:val="0"/>
          <w:numId w:val="1011"/>
        </w:numPr>
        <w:pStyle w:val="Compact"/>
      </w:pPr>
      <w:r>
        <w:rPr>
          <w:bCs/>
          <w:b/>
        </w:rPr>
        <w:t xml:space="preserve">Critical path mapping</w:t>
      </w:r>
      <w:r>
        <w:t xml:space="preserve"> </w:t>
      </w:r>
      <w:r>
        <w:t xml:space="preserve">(90 min) — CDG blocking nodes vs anchor dates; identify conflicts</w:t>
      </w:r>
    </w:p>
    <w:p>
      <w:pPr>
        <w:numPr>
          <w:ilvl w:val="0"/>
          <w:numId w:val="1011"/>
        </w:numPr>
        <w:pStyle w:val="Compact"/>
      </w:pPr>
      <w:r>
        <w:rPr>
          <w:bCs/>
          <w:b/>
        </w:rPr>
        <w:t xml:space="preserve">Wave drafting</w:t>
      </w:r>
      <w:r>
        <w:t xml:space="preserve"> </w:t>
      </w:r>
      <w:r>
        <w:t xml:space="preserve">(90 min) — assign systems to waves; no calendar dates yet — sequence only</w:t>
      </w:r>
    </w:p>
    <w:p>
      <w:pPr>
        <w:numPr>
          <w:ilvl w:val="0"/>
          <w:numId w:val="1011"/>
        </w:numPr>
        <w:pStyle w:val="Compact"/>
      </w:pPr>
      <w:r>
        <w:rPr>
          <w:bCs/>
          <w:b/>
        </w:rPr>
        <w:t xml:space="preserve">Ecosystem gate assessment</w:t>
      </w:r>
      <w:r>
        <w:t xml:space="preserve"> </w:t>
      </w:r>
      <w:r>
        <w:t xml:space="preserve">(60 min) — vendor validation dates vs wave sequence</w:t>
      </w:r>
    </w:p>
    <w:p>
      <w:pPr>
        <w:numPr>
          <w:ilvl w:val="0"/>
          <w:numId w:val="1011"/>
        </w:numPr>
        <w:pStyle w:val="Compact"/>
      </w:pPr>
      <w:r>
        <w:rPr>
          <w:bCs/>
          <w:b/>
        </w:rPr>
        <w:t xml:space="preserve">Calendar assignment</w:t>
      </w:r>
      <w:r>
        <w:t xml:space="preserve"> </w:t>
      </w:r>
      <w:r>
        <w:t xml:space="preserve">(60 min) — map waves to quarters; document conflicts requiring risk acceptance or accelerated investment</w:t>
      </w:r>
    </w:p>
    <w:p>
      <w:pPr>
        <w:numPr>
          <w:ilvl w:val="0"/>
          <w:numId w:val="1011"/>
        </w:numPr>
        <w:pStyle w:val="Compact"/>
      </w:pPr>
      <w:r>
        <w:rPr>
          <w:bCs/>
          <w:b/>
        </w:rPr>
        <w:t xml:space="preserve">Executive narrative</w:t>
      </w:r>
      <w:r>
        <w:t xml:space="preserve"> </w:t>
      </w:r>
      <w:r>
        <w:t xml:space="preserve">(30 min) — draft board slide structure</w:t>
      </w:r>
    </w:p>
    <w:p>
      <w:pPr>
        <w:pStyle w:val="FirstParagraph"/>
      </w:pPr>
      <w:r>
        <w:rPr>
          <w:bCs/>
          <w:b/>
        </w:rPr>
        <w:t xml:space="preserve">Outputs:</w:t>
      </w:r>
      <w:r>
        <w:t xml:space="preserve"> </w:t>
      </w:r>
      <w:r>
        <w:t xml:space="preserve">Timeline overlay diagram; wave schedule with TRADE justification; risk acceptance preliminary list; investment gaps for finance planning.</w:t>
      </w:r>
    </w:p>
    <w:p>
      <w:pPr>
        <w:pStyle w:val="BodyText"/>
      </w:pPr>
      <w:r>
        <w:t xml:space="preserve">Meridian’s workshop identified that Wave 1 could not achieve 2030 deprecation for payment HSM chain without vendor acceleration — producing a board request for executive engagement with the HSM vendor’s CEO office, not merely procurement escalation.</w:t>
      </w:r>
    </w:p>
    <w:p>
      <w:r>
        <w:pict>
          <v:rect style="width:0;height:1.5pt" o:hralign="center" o:hrstd="t" o:hr="t"/>
        </w:pict>
      </w:r>
    </w:p>
    <w:bookmarkEnd w:id="72"/>
    <w:bookmarkStart w:id="73" w:name="common-hybrid-policy-failures"/>
    <w:p>
      <w:pPr>
        <w:pStyle w:val="Heading2"/>
      </w:pPr>
      <w:r>
        <w:t xml:space="preserve">5.22 Common Hybrid Policy Failures</w:t>
      </w:r>
    </w:p>
    <w:p>
      <w:pPr>
        <w:pStyle w:val="FirstParagraph"/>
      </w:pPr>
      <w:r>
        <w:rPr>
          <w:bCs/>
          <w:b/>
        </w:rPr>
        <w:t xml:space="preserve">Permanent hybrid.</w:t>
      </w:r>
      <w:r>
        <w:t xml:space="preserve"> </w:t>
      </w:r>
      <w:r>
        <w:t xml:space="preserve">H1 deployed without H2 trigger; classical component never sunset. Dual attack surface indefinitely.</w:t>
      </w:r>
    </w:p>
    <w:p>
      <w:pPr>
        <w:pStyle w:val="BodyText"/>
      </w:pPr>
      <w:r>
        <w:rPr>
          <w:bCs/>
          <w:b/>
        </w:rPr>
        <w:t xml:space="preserve">Pilot-as-production.</w:t>
      </w:r>
      <w:r>
        <w:t xml:space="preserve"> </w:t>
      </w:r>
      <w:r>
        <w:t xml:space="preserve">Hybrid TLS on one load balancer declared</w:t>
      </w:r>
      <w:r>
        <w:t xml:space="preserve"> </w:t>
      </w:r>
      <w:r>
        <w:t xml:space="preserve">“</w:t>
      </w:r>
      <w:r>
        <w:t xml:space="preserve">PQC complete</w:t>
      </w:r>
      <w:r>
        <w:t xml:space="preserve">”</w:t>
      </w:r>
      <w:r>
        <w:t xml:space="preserve"> </w:t>
      </w:r>
      <w:r>
        <w:t xml:space="preserve">while 94% of estate remains classical-only without risk acceptance.</w:t>
      </w:r>
    </w:p>
    <w:p>
      <w:pPr>
        <w:pStyle w:val="BodyText"/>
      </w:pPr>
      <w:r>
        <w:rPr>
          <w:bCs/>
          <w:b/>
        </w:rPr>
        <w:t xml:space="preserve">Inconsistent constructions.</w:t>
      </w:r>
      <w:r>
        <w:t xml:space="preserve"> </w:t>
      </w:r>
      <w:r>
        <w:t xml:space="preserve">EU region deploys IETF hybrid; US region deploys vendor-proprietary hybrid. Interoperability testing does not cover cross-region traffic.</w:t>
      </w:r>
    </w:p>
    <w:p>
      <w:pPr>
        <w:pStyle w:val="BodyText"/>
      </w:pPr>
      <w:r>
        <w:rPr>
          <w:bCs/>
          <w:b/>
        </w:rPr>
        <w:t xml:space="preserve">Missing CBOM annotation.</w:t>
      </w:r>
      <w:r>
        <w:t xml:space="preserve"> </w:t>
      </w:r>
      <w:r>
        <w:t xml:space="preserve">Hybrid systems not flagged in inventory; auditors cannot distinguish transitional from target-state deployments.</w:t>
      </w:r>
    </w:p>
    <w:p>
      <w:pPr>
        <w:pStyle w:val="BodyText"/>
      </w:pPr>
      <w:r>
        <w:rPr>
          <w:bCs/>
          <w:b/>
        </w:rPr>
        <w:t xml:space="preserve">Calendar denial.</w:t>
      </w:r>
      <w:r>
        <w:t xml:space="preserve"> </w:t>
      </w:r>
      <w:r>
        <w:t xml:space="preserve">Internal schedule ignores 2030 deprecation because</w:t>
      </w:r>
      <w:r>
        <w:t xml:space="preserve"> </w:t>
      </w:r>
      <w:r>
        <w:t xml:space="preserve">“</w:t>
      </w:r>
      <w:r>
        <w:t xml:space="preserve">our refresh cycle is 2032</w:t>
      </w:r>
      <w:r>
        <w:t xml:space="preserve">”</w:t>
      </w:r>
      <w:r>
        <w:t xml:space="preserve"> </w:t>
      </w:r>
      <w:r>
        <w:t xml:space="preserve">— without risk acceptance or accelerated refresh business case.</w:t>
      </w:r>
    </w:p>
    <w:p>
      <w:r>
        <w:pict>
          <v:rect style="width:0;height:1.5pt" o:hralign="center" o:hrstd="t" o:hr="t"/>
        </w:pict>
      </w:r>
    </w:p>
    <w:bookmarkEnd w:id="73"/>
    <w:bookmarkStart w:id="74" w:name="apply-in-your-organisation"/>
    <w:p>
      <w:pPr>
        <w:pStyle w:val="Heading2"/>
      </w:pPr>
      <w:r>
        <w:t xml:space="preserve">5.23 Apply in Your Organisation</w:t>
      </w:r>
    </w:p>
    <w:p>
      <w:pPr>
        <w:numPr>
          <w:ilvl w:val="0"/>
          <w:numId w:val="1012"/>
        </w:numPr>
        <w:pStyle w:val="Compact"/>
      </w:pPr>
      <w:r>
        <w:rPr>
          <w:bCs/>
          <w:b/>
        </w:rPr>
        <w:t xml:space="preserve">Publish a timeline overlay</w:t>
      </w:r>
      <w:r>
        <w:t xml:space="preserve"> </w:t>
      </w:r>
      <w:r>
        <w:t xml:space="preserve">mapping NIST, CNSA, and applicable national anchors to your programme waves — distinguish anchors from internal schedules.</w:t>
      </w:r>
    </w:p>
    <w:p>
      <w:pPr>
        <w:numPr>
          <w:ilvl w:val="0"/>
          <w:numId w:val="1012"/>
        </w:numPr>
        <w:pStyle w:val="Compact"/>
      </w:pPr>
      <w:r>
        <w:rPr>
          <w:bCs/>
          <w:b/>
        </w:rPr>
        <w:t xml:space="preserve">Adopt the HLM</w:t>
      </w:r>
      <w:r>
        <w:t xml:space="preserve"> </w:t>
      </w:r>
      <w:r>
        <w:t xml:space="preserve">with mandatory H2 triggers on every H1 deployment — no permanent hybrids.</w:t>
      </w:r>
    </w:p>
    <w:p>
      <w:pPr>
        <w:numPr>
          <w:ilvl w:val="0"/>
          <w:numId w:val="1012"/>
        </w:numPr>
        <w:pStyle w:val="Compact"/>
      </w:pPr>
      <w:r>
        <w:rPr>
          <w:bCs/>
          <w:b/>
        </w:rPr>
        <w:t xml:space="preserve">Define risk acceptance templates</w:t>
      </w:r>
      <w:r>
        <w:t xml:space="preserve"> </w:t>
      </w:r>
      <w:r>
        <w:t xml:space="preserve">for deprecation-period classical PKC — maximum duration, approval authority, CBOM fields.</w:t>
      </w:r>
    </w:p>
    <w:p>
      <w:pPr>
        <w:numPr>
          <w:ilvl w:val="0"/>
          <w:numId w:val="1012"/>
        </w:numPr>
        <w:pStyle w:val="Compact"/>
      </w:pPr>
      <w:r>
        <w:rPr>
          <w:bCs/>
          <w:b/>
        </w:rPr>
        <w:t xml:space="preserve">Measure ecosystem readiness</w:t>
      </w:r>
      <w:r>
        <w:t xml:space="preserve"> </w:t>
      </w:r>
      <w:r>
        <w:t xml:space="preserve">with production traffic data for TLS/client hybrids — not lab tests alone.</w:t>
      </w:r>
    </w:p>
    <w:p>
      <w:pPr>
        <w:numPr>
          <w:ilvl w:val="0"/>
          <w:numId w:val="1012"/>
        </w:numPr>
        <w:pStyle w:val="Compact"/>
      </w:pPr>
      <w:r>
        <w:rPr>
          <w:bCs/>
          <w:b/>
        </w:rPr>
        <w:t xml:space="preserve">Consolidate multinational programmes</w:t>
      </w:r>
      <w:r>
        <w:t xml:space="preserve"> </w:t>
      </w:r>
      <w:r>
        <w:t xml:space="preserve">under one policy with jurisdiction annotations — avoid parallel regional programmes.</w:t>
      </w:r>
    </w:p>
    <w:p>
      <w:pPr>
        <w:numPr>
          <w:ilvl w:val="0"/>
          <w:numId w:val="1012"/>
        </w:numPr>
        <w:pStyle w:val="Compact"/>
      </w:pPr>
      <w:r>
        <w:rPr>
          <w:bCs/>
          <w:b/>
        </w:rPr>
        <w:t xml:space="preserve">Map five-year programme phases</w:t>
      </w:r>
      <w:r>
        <w:t xml:space="preserve"> </w:t>
      </w:r>
      <w:r>
        <w:t xml:space="preserve">with exit criteria — avoid calendar theatre without deliverable gates.</w:t>
      </w:r>
    </w:p>
    <w:p>
      <w:pPr>
        <w:numPr>
          <w:ilvl w:val="0"/>
          <w:numId w:val="1012"/>
        </w:numPr>
        <w:pStyle w:val="Compact"/>
      </w:pPr>
      <w:r>
        <w:rPr>
          <w:bCs/>
          <w:b/>
        </w:rPr>
        <w:t xml:space="preserve">Brief internal audit</w:t>
      </w:r>
      <w:r>
        <w:t xml:space="preserve"> </w:t>
      </w:r>
      <w:r>
        <w:t xml:space="preserve">on hybrid policy before production H1 — close CBOM schema gaps proactively.</w:t>
      </w:r>
    </w:p>
    <w:p>
      <w:pPr>
        <w:numPr>
          <w:ilvl w:val="0"/>
          <w:numId w:val="1012"/>
        </w:numPr>
        <w:pStyle w:val="Compact"/>
      </w:pPr>
      <w:r>
        <w:rPr>
          <w:bCs/>
          <w:b/>
        </w:rPr>
        <w:t xml:space="preserve">Embed procurement milestones</w:t>
      </w:r>
      <w:r>
        <w:t xml:space="preserve"> </w:t>
      </w:r>
      <w:r>
        <w:t xml:space="preserve">in vendor contracts linked to timeline overlay exhibits.</w:t>
      </w:r>
    </w:p>
    <w:p>
      <w:r>
        <w:pict>
          <v:rect style="width:0;height:1.5pt" o:hralign="center" o:hrstd="t" o:hr="t"/>
        </w:pict>
      </w:r>
    </w:p>
    <w:bookmarkEnd w:id="74"/>
    <w:bookmarkStart w:id="75" w:name="procurement-and-timeline-alignment"/>
    <w:p>
      <w:pPr>
        <w:pStyle w:val="Heading2"/>
      </w:pPr>
      <w:r>
        <w:t xml:space="preserve">5.24 Procurement and Timeline Alignment</w:t>
      </w:r>
    </w:p>
    <w:p>
      <w:pPr>
        <w:pStyle w:val="FirstParagraph"/>
      </w:pPr>
      <w:r>
        <w:t xml:space="preserve">Timeline policy without procurement integration produces vendor surprises at gate reviews. Programme procurement clauses tied to Part II anchors:</w:t>
      </w:r>
    </w:p>
    <w:p>
      <w:pPr>
        <w:numPr>
          <w:ilvl w:val="0"/>
          <w:numId w:val="1013"/>
        </w:numPr>
        <w:pStyle w:val="Compact"/>
      </w:pPr>
      <w:r>
        <w:rPr>
          <w:bCs/>
          <w:b/>
        </w:rPr>
        <w:t xml:space="preserve">Algorithm delivery milestones</w:t>
      </w:r>
      <w:r>
        <w:t xml:space="preserve"> </w:t>
      </w:r>
      <w:r>
        <w:t xml:space="preserve">— FIPS-validated module dates by algorithm and platform</w:t>
      </w:r>
    </w:p>
    <w:p>
      <w:pPr>
        <w:numPr>
          <w:ilvl w:val="0"/>
          <w:numId w:val="1013"/>
        </w:numPr>
        <w:pStyle w:val="Compact"/>
      </w:pPr>
      <w:r>
        <w:rPr>
          <w:bCs/>
          <w:b/>
        </w:rPr>
        <w:t xml:space="preserve">Hybrid support</w:t>
      </w:r>
      <w:r>
        <w:t xml:space="preserve"> </w:t>
      </w:r>
      <w:r>
        <w:t xml:space="preserve">— standards-track construction IDs in deliverables</w:t>
      </w:r>
    </w:p>
    <w:p>
      <w:pPr>
        <w:numPr>
          <w:ilvl w:val="0"/>
          <w:numId w:val="1013"/>
        </w:numPr>
        <w:pStyle w:val="Compact"/>
      </w:pPr>
      <w:r>
        <w:rPr>
          <w:bCs/>
          <w:b/>
        </w:rPr>
        <w:t xml:space="preserve">Deprecation cooperation</w:t>
      </w:r>
      <w:r>
        <w:t xml:space="preserve"> </w:t>
      </w:r>
      <w:r>
        <w:t xml:space="preserve">— vendor obligation to remove classical-only paths by contract sunset</w:t>
      </w:r>
    </w:p>
    <w:p>
      <w:pPr>
        <w:numPr>
          <w:ilvl w:val="0"/>
          <w:numId w:val="1013"/>
        </w:numPr>
        <w:pStyle w:val="Compact"/>
      </w:pPr>
      <w:r>
        <w:rPr>
          <w:bCs/>
          <w:b/>
        </w:rPr>
        <w:t xml:space="preserve">Termination rights</w:t>
      </w:r>
      <w:r>
        <w:t xml:space="preserve"> </w:t>
      </w:r>
      <w:r>
        <w:t xml:space="preserve">— if milestones slip beyond exception-covered dates</w:t>
      </w:r>
    </w:p>
    <w:p>
      <w:pPr>
        <w:numPr>
          <w:ilvl w:val="0"/>
          <w:numId w:val="1013"/>
        </w:numPr>
        <w:pStyle w:val="Compact"/>
      </w:pPr>
      <w:r>
        <w:rPr>
          <w:bCs/>
          <w:b/>
        </w:rPr>
        <w:t xml:space="preserve">Roadmap transparency</w:t>
      </w:r>
      <w:r>
        <w:t xml:space="preserve"> </w:t>
      </w:r>
      <w:r>
        <w:t xml:space="preserve">— quarterly written updates referenced in steering committee</w:t>
      </w:r>
    </w:p>
    <w:p>
      <w:pPr>
        <w:pStyle w:val="FirstParagraph"/>
      </w:pPr>
      <w:r>
        <w:t xml:space="preserve">Meridian’s HSM contract amendment linked</w:t>
      </w:r>
      <w:r>
        <w:t xml:space="preserve"> </w:t>
      </w:r>
      <w:r>
        <w:rPr>
          <w:bCs/>
          <w:b/>
        </w:rPr>
        <w:t xml:space="preserve">€2.4 million</w:t>
      </w:r>
      <w:r>
        <w:t xml:space="preserve"> </w:t>
      </w:r>
      <w:r>
        <w:t xml:space="preserve">(</w:t>
      </w:r>
      <w:r>
        <w:rPr>
          <w:iCs/>
          <w:i/>
        </w:rPr>
        <w:t xml:space="preserve">illustrative</w:t>
      </w:r>
      <w:r>
        <w:t xml:space="preserve">) remaining contract value to ML-DSA module delivery — creating commercial leverage Elena’s team lacked during the original RSA-only negotiation. Northfield’s compressor contract tied</w:t>
      </w:r>
      <w:r>
        <w:t xml:space="preserve"> </w:t>
      </w:r>
      <w:r>
        <w:rPr>
          <w:bCs/>
          <w:b/>
        </w:rPr>
        <w:t xml:space="preserve">15%</w:t>
      </w:r>
      <w:r>
        <w:t xml:space="preserve"> </w:t>
      </w:r>
      <w:r>
        <w:t xml:space="preserve">of remaining vendor engineering fees to LMS acceptance test completion.</w:t>
      </w:r>
    </w:p>
    <w:p>
      <w:pPr>
        <w:pStyle w:val="BodyText"/>
      </w:pPr>
      <w:r>
        <w:t xml:space="preserve">Procurement teams need the timeline overlay and validation matrix as</w:t>
      </w:r>
      <w:r>
        <w:t xml:space="preserve"> </w:t>
      </w:r>
      <w:r>
        <w:rPr>
          <w:bCs/>
          <w:b/>
        </w:rPr>
        <w:t xml:space="preserve">exhibits</w:t>
      </w:r>
      <w:r>
        <w:t xml:space="preserve"> </w:t>
      </w:r>
      <w:r>
        <w:t xml:space="preserve">— not summaries from security email threads.</w:t>
      </w:r>
    </w:p>
    <w:p>
      <w:r>
        <w:pict>
          <v:rect style="width:0;height:1.5pt" o:hralign="center" o:hrstd="t" o:hr="t"/>
        </w:pict>
      </w:r>
    </w:p>
    <w:bookmarkEnd w:id="75"/>
    <w:bookmarkStart w:id="76" w:name="hlm-governance-cadence"/>
    <w:p>
      <w:pPr>
        <w:pStyle w:val="Heading2"/>
      </w:pPr>
      <w:r>
        <w:t xml:space="preserve">5.25 HLM Governance Cadence</w:t>
      </w:r>
    </w:p>
    <w:p>
      <w:pPr>
        <w:pStyle w:val="FirstParagraph"/>
      </w:pPr>
      <w:r>
        <w:t xml:space="preserve">Sustaining HLM across a decade requires operational rhythm — not one-time policy publication.</w:t>
      </w:r>
    </w:p>
    <w:tbl>
      <w:tblPr>
        <w:tblStyle w:val="Table"/>
        <w:tblW w:type="pct" w:w="5000"/>
        <w:tblLook w:firstRow="1" w:lastRow="0" w:firstColumn="0" w:lastColumn="0" w:noHBand="0" w:noVBand="0" w:val="0020"/>
        <w:jc w:val="start"/>
      </w:tblPr>
      <w:tblGrid>
        <w:gridCol w:w="2741"/>
        <w:gridCol w:w="3046"/>
        <w:gridCol w:w="2132"/>
      </w:tblGrid>
      <w:tr>
        <w:trPr>
          <w:tblHeader w:val="true"/>
        </w:trPr>
        <w:tc>
          <w:tcPr/>
          <w:p>
            <w:pPr>
              <w:pStyle w:val="Compact"/>
              <w:jc w:val="left"/>
            </w:pPr>
            <w:r>
              <w:t xml:space="preserve">Cadence</w:t>
            </w:r>
          </w:p>
        </w:tc>
        <w:tc>
          <w:tcPr/>
          <w:p>
            <w:pPr>
              <w:pStyle w:val="Compact"/>
              <w:jc w:val="left"/>
            </w:pPr>
            <w:r>
              <w:t xml:space="preserve">Activity</w:t>
            </w:r>
          </w:p>
        </w:tc>
        <w:tc>
          <w:tcPr/>
          <w:p>
            <w:pPr>
              <w:pStyle w:val="Compact"/>
              <w:jc w:val="left"/>
            </w:pPr>
            <w:r>
              <w:t xml:space="preserve">Owner</w:t>
            </w:r>
          </w:p>
        </w:tc>
      </w:tr>
      <w:tr>
        <w:tc>
          <w:tcPr/>
          <w:p>
            <w:pPr>
              <w:pStyle w:val="Compact"/>
              <w:jc w:val="left"/>
            </w:pPr>
            <w:r>
              <w:t xml:space="preserve">Weekly</w:t>
            </w:r>
          </w:p>
        </w:tc>
        <w:tc>
          <w:tcPr/>
          <w:p>
            <w:pPr>
              <w:pStyle w:val="Compact"/>
              <w:jc w:val="left"/>
            </w:pPr>
            <w:r>
              <w:t xml:space="preserve">Change approvals verify</w:t>
            </w:r>
            <w:r>
              <w:t xml:space="preserve"> </w:t>
            </w:r>
            <w:r>
              <w:rPr>
                <w:rStyle w:val="VerbatimChar"/>
              </w:rPr>
              <w:t xml:space="preserve">h2_trigger</w:t>
            </w:r>
            <w:r>
              <w:t xml:space="preserve"> </w:t>
            </w:r>
            <w:r>
              <w:t xml:space="preserve">populated for hybrid deployments</w:t>
            </w:r>
          </w:p>
        </w:tc>
        <w:tc>
          <w:tcPr/>
          <w:p>
            <w:pPr>
              <w:pStyle w:val="Compact"/>
              <w:jc w:val="left"/>
            </w:pPr>
            <w:r>
              <w:t xml:space="preserve">Change management</w:t>
            </w:r>
          </w:p>
        </w:tc>
      </w:tr>
      <w:tr>
        <w:tc>
          <w:tcPr/>
          <w:p>
            <w:pPr>
              <w:pStyle w:val="Compact"/>
              <w:jc w:val="left"/>
            </w:pPr>
            <w:r>
              <w:t xml:space="preserve">Monthly</w:t>
            </w:r>
          </w:p>
        </w:tc>
        <w:tc>
          <w:tcPr/>
          <w:p>
            <w:pPr>
              <w:pStyle w:val="Compact"/>
              <w:jc w:val="left"/>
            </w:pPr>
            <w:r>
              <w:t xml:space="preserve">CBOM</w:t>
            </w:r>
            <w:r>
              <w:t xml:space="preserve"> </w:t>
            </w:r>
            <w:r>
              <w:rPr>
                <w:rStyle w:val="VerbatimChar"/>
              </w:rPr>
              <w:t xml:space="preserve">hlm_phase</w:t>
            </w:r>
            <w:r>
              <w:t xml:space="preserve"> </w:t>
            </w:r>
            <w:r>
              <w:t xml:space="preserve">distribution report to programme office</w:t>
            </w:r>
          </w:p>
        </w:tc>
        <w:tc>
          <w:tcPr/>
          <w:p>
            <w:pPr>
              <w:pStyle w:val="Compact"/>
              <w:jc w:val="left"/>
            </w:pPr>
            <w:r>
              <w:t xml:space="preserve">Crypto engineering</w:t>
            </w:r>
          </w:p>
        </w:tc>
      </w:tr>
      <w:tr>
        <w:tc>
          <w:tcPr/>
          <w:p>
            <w:pPr>
              <w:pStyle w:val="Compact"/>
              <w:jc w:val="left"/>
            </w:pPr>
            <w:r>
              <w:t xml:space="preserve">Quarterly</w:t>
            </w:r>
          </w:p>
        </w:tc>
        <w:tc>
          <w:tcPr/>
          <w:p>
            <w:pPr>
              <w:pStyle w:val="Compact"/>
              <w:jc w:val="left"/>
            </w:pPr>
            <w:r>
              <w:t xml:space="preserve">Exception register review; ecosystem readiness remeasurement</w:t>
            </w:r>
          </w:p>
        </w:tc>
        <w:tc>
          <w:tcPr/>
          <w:p>
            <w:pPr>
              <w:pStyle w:val="Compact"/>
              <w:jc w:val="left"/>
            </w:pPr>
            <w:r>
              <w:t xml:space="preserve">PQC steering committee</w:t>
            </w:r>
          </w:p>
        </w:tc>
      </w:tr>
      <w:tr>
        <w:tc>
          <w:tcPr/>
          <w:p>
            <w:pPr>
              <w:pStyle w:val="Compact"/>
              <w:jc w:val="left"/>
            </w:pPr>
            <w:r>
              <w:t xml:space="preserve">Annually</w:t>
            </w:r>
          </w:p>
        </w:tc>
        <w:tc>
          <w:tcPr/>
          <w:p>
            <w:pPr>
              <w:pStyle w:val="Compact"/>
              <w:jc w:val="left"/>
            </w:pPr>
            <w:r>
              <w:t xml:space="preserve">Hybrid policy review; anchor date alignment with NIST/NSA updates</w:t>
            </w:r>
          </w:p>
        </w:tc>
        <w:tc>
          <w:tcPr/>
          <w:p>
            <w:pPr>
              <w:pStyle w:val="Compact"/>
              <w:jc w:val="left"/>
            </w:pPr>
            <w:r>
              <w:t xml:space="preserve">Policy committee</w:t>
            </w:r>
          </w:p>
        </w:tc>
      </w:tr>
      <w:tr>
        <w:tc>
          <w:tcPr/>
          <w:p>
            <w:pPr>
              <w:pStyle w:val="Compact"/>
              <w:jc w:val="left"/>
            </w:pPr>
            <w:r>
              <w:t xml:space="preserve">Per release</w:t>
            </w:r>
          </w:p>
        </w:tc>
        <w:tc>
          <w:tcPr/>
          <w:p>
            <w:pPr>
              <w:pStyle w:val="Compact"/>
              <w:jc w:val="left"/>
            </w:pPr>
            <w:r>
              <w:t xml:space="preserve">SDLC gate: no classical-only new deployments in H2 scope</w:t>
            </w:r>
          </w:p>
        </w:tc>
        <w:tc>
          <w:tcPr/>
          <w:p>
            <w:pPr>
              <w:pStyle w:val="Compact"/>
              <w:jc w:val="left"/>
            </w:pPr>
            <w:r>
              <w:t xml:space="preserve">Application security</w:t>
            </w:r>
          </w:p>
        </w:tc>
      </w:tr>
    </w:tbl>
    <w:p>
      <w:pPr>
        <w:pStyle w:val="BodyText"/>
      </w:pPr>
      <w:r>
        <w:t xml:space="preserve">Meridian added HLM phase distribution to the board dashboard introduced in Chapter 1 — replacing misleading</w:t>
      </w:r>
      <w:r>
        <w:t xml:space="preserve"> </w:t>
      </w:r>
      <w:r>
        <w:t xml:space="preserve">“</w:t>
      </w:r>
      <w:r>
        <w:t xml:space="preserve">PQC pilot complete</w:t>
      </w:r>
      <w:r>
        <w:t xml:space="preserve">”</w:t>
      </w:r>
      <w:r>
        <w:t xml:space="preserve"> </w:t>
      </w:r>
      <w:r>
        <w:t xml:space="preserve">counts with percentage of estate in H1/H2/H3 by criticality tier.</w:t>
      </w:r>
    </w:p>
    <w:p>
      <w:r>
        <w:pict>
          <v:rect style="width:0;height:1.5pt" o:hralign="center" o:hrstd="t" o:hr="t"/>
        </w:pict>
      </w:r>
    </w:p>
    <w:bookmarkEnd w:id="76"/>
    <w:bookmarkStart w:id="77" w:name="hlm-metrics-and-executive-dashboards"/>
    <w:p>
      <w:pPr>
        <w:pStyle w:val="Heading2"/>
      </w:pPr>
      <w:r>
        <w:t xml:space="preserve">5.26 HLM Metrics and Executive Dashboards</w:t>
      </w:r>
    </w:p>
    <w:p>
      <w:pPr>
        <w:pStyle w:val="FirstParagraph"/>
      </w:pPr>
      <w:r>
        <w:t xml:space="preserve">Effective dashboards measure</w:t>
      </w:r>
      <w:r>
        <w:t xml:space="preserve"> </w:t>
      </w:r>
      <w:r>
        <w:rPr>
          <w:bCs/>
          <w:b/>
        </w:rPr>
        <w:t xml:space="preserve">phase distribution and trigger adherence</w:t>
      </w:r>
      <w:r>
        <w:t xml:space="preserve"> </w:t>
      </w:r>
      <w:r>
        <w:t xml:space="preserve">— not pilot completion counts.</w:t>
      </w:r>
    </w:p>
    <w:p>
      <w:pPr>
        <w:pStyle w:val="BodyText"/>
      </w:pPr>
      <w:r>
        <w:rPr>
          <w:bCs/>
          <w:b/>
        </w:rPr>
        <w:t xml:space="preserve">Table 5.6 — HLM Programme Metrics</w:t>
      </w:r>
    </w:p>
    <w:tbl>
      <w:tblPr>
        <w:tblStyle w:val="Table"/>
        <w:tblW w:type="pct" w:w="5000"/>
        <w:tblLook w:firstRow="1" w:lastRow="0" w:firstColumn="0" w:lastColumn="0" w:noHBand="0" w:noVBand="0" w:val="0020"/>
        <w:jc w:val="start"/>
      </w:tblPr>
      <w:tblGrid>
        <w:gridCol w:w="1508"/>
        <w:gridCol w:w="2262"/>
        <w:gridCol w:w="4148"/>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 (illustrative)</w:t>
            </w:r>
          </w:p>
        </w:tc>
      </w:tr>
      <w:tr>
        <w:tc>
          <w:tcPr/>
          <w:p>
            <w:pPr>
              <w:pStyle w:val="Compact"/>
              <w:jc w:val="left"/>
            </w:pPr>
            <w:r>
              <w:rPr>
                <w:rStyle w:val="VerbatimChar"/>
              </w:rPr>
              <w:t xml:space="preserve">hlm_phase</w:t>
            </w:r>
            <w:r>
              <w:t xml:space="preserve"> </w:t>
            </w:r>
            <w:r>
              <w:t xml:space="preserve">distribution</w:t>
            </w:r>
          </w:p>
        </w:tc>
        <w:tc>
          <w:tcPr/>
          <w:p>
            <w:pPr>
              <w:pStyle w:val="Compact"/>
              <w:jc w:val="left"/>
            </w:pPr>
            <w:r>
              <w:t xml:space="preserve">% estate in H1/H2/H3 by criticality tier</w:t>
            </w:r>
          </w:p>
        </w:tc>
        <w:tc>
          <w:tcPr/>
          <w:p>
            <w:pPr>
              <w:pStyle w:val="Compact"/>
              <w:jc w:val="left"/>
            </w:pPr>
            <w:r>
              <w:t xml:space="preserve">TES 5: 100% minimum H1 by 2027</w:t>
            </w:r>
          </w:p>
        </w:tc>
      </w:tr>
      <w:tr>
        <w:tc>
          <w:tcPr/>
          <w:p>
            <w:pPr>
              <w:pStyle w:val="Compact"/>
              <w:jc w:val="left"/>
            </w:pPr>
            <w:r>
              <w:t xml:space="preserve">Trigger coverage</w:t>
            </w:r>
          </w:p>
        </w:tc>
        <w:tc>
          <w:tcPr/>
          <w:p>
            <w:pPr>
              <w:pStyle w:val="Compact"/>
              <w:jc w:val="left"/>
            </w:pPr>
            <w:r>
              <w:t xml:space="preserve">% H1 systems with documented</w:t>
            </w:r>
            <w:r>
              <w:t xml:space="preserve"> </w:t>
            </w:r>
            <w:r>
              <w:rPr>
                <w:rStyle w:val="VerbatimChar"/>
              </w:rPr>
              <w:t xml:space="preserve">h2_trigger_value</w:t>
            </w:r>
          </w:p>
        </w:tc>
        <w:tc>
          <w:tcPr/>
          <w:p>
            <w:pPr>
              <w:pStyle w:val="Compact"/>
              <w:jc w:val="left"/>
            </w:pPr>
            <w:r>
              <w:t xml:space="preserve">100%</w:t>
            </w:r>
          </w:p>
        </w:tc>
      </w:tr>
      <w:tr>
        <w:tc>
          <w:tcPr/>
          <w:p>
            <w:pPr>
              <w:pStyle w:val="Compact"/>
              <w:jc w:val="left"/>
            </w:pPr>
            <w:r>
              <w:t xml:space="preserve">Trigger breach</w:t>
            </w:r>
          </w:p>
        </w:tc>
        <w:tc>
          <w:tcPr/>
          <w:p>
            <w:pPr>
              <w:pStyle w:val="Compact"/>
              <w:jc w:val="left"/>
            </w:pPr>
            <w:r>
              <w:t xml:space="preserve">H1 systems past trigger date without H2 transition</w:t>
            </w:r>
          </w:p>
        </w:tc>
        <w:tc>
          <w:tcPr/>
          <w:p>
            <w:pPr>
              <w:pStyle w:val="Compact"/>
              <w:jc w:val="left"/>
            </w:pPr>
            <w:r>
              <w:t xml:space="preserve">0 without exception</w:t>
            </w:r>
          </w:p>
        </w:tc>
      </w:tr>
      <w:tr>
        <w:tc>
          <w:tcPr/>
          <w:p>
            <w:pPr>
              <w:pStyle w:val="Compact"/>
              <w:jc w:val="left"/>
            </w:pPr>
            <w:r>
              <w:t xml:space="preserve">Exception ageing</w:t>
            </w:r>
          </w:p>
        </w:tc>
        <w:tc>
          <w:tcPr/>
          <w:p>
            <w:pPr>
              <w:pStyle w:val="Compact"/>
              <w:jc w:val="left"/>
            </w:pPr>
            <w:r>
              <w:t xml:space="preserve">Count exceptions &gt;12 months</w:t>
            </w:r>
          </w:p>
        </w:tc>
        <w:tc>
          <w:tcPr/>
          <w:p>
            <w:pPr>
              <w:pStyle w:val="Compact"/>
              <w:jc w:val="left"/>
            </w:pPr>
            <w:r>
              <w:t xml:space="preserve">Steering committee threshold: 10</w:t>
            </w:r>
          </w:p>
        </w:tc>
      </w:tr>
      <w:tr>
        <w:tc>
          <w:tcPr/>
          <w:p>
            <w:pPr>
              <w:pStyle w:val="Compact"/>
              <w:jc w:val="left"/>
            </w:pPr>
            <w:r>
              <w:t xml:space="preserve">Classical new-deploy rate</w:t>
            </w:r>
          </w:p>
        </w:tc>
        <w:tc>
          <w:tcPr/>
          <w:p>
            <w:pPr>
              <w:pStyle w:val="Compact"/>
              <w:jc w:val="left"/>
            </w:pPr>
            <w:r>
              <w:t xml:space="preserve">New systems with classical-only PKC in H2 scope</w:t>
            </w:r>
          </w:p>
        </w:tc>
        <w:tc>
          <w:tcPr/>
          <w:p>
            <w:pPr>
              <w:pStyle w:val="Compact"/>
              <w:jc w:val="left"/>
            </w:pPr>
            <w:r>
              <w:t xml:space="preserve">0 without exception</w:t>
            </w:r>
          </w:p>
        </w:tc>
      </w:tr>
      <w:tr>
        <w:tc>
          <w:tcPr/>
          <w:p>
            <w:pPr>
              <w:pStyle w:val="Compact"/>
              <w:jc w:val="left"/>
            </w:pPr>
            <w:r>
              <w:t xml:space="preserve">Ecosystem readiness (E)</w:t>
            </w:r>
          </w:p>
        </w:tc>
        <w:tc>
          <w:tcPr/>
          <w:p>
            <w:pPr>
              <w:pStyle w:val="Compact"/>
              <w:jc w:val="left"/>
            </w:pPr>
            <w:r>
              <w:t xml:space="preserve">Average TRADE E for TES 5 systems</w:t>
            </w:r>
          </w:p>
        </w:tc>
        <w:tc>
          <w:tcPr/>
          <w:p>
            <w:pPr>
              <w:pStyle w:val="Compact"/>
              <w:jc w:val="left"/>
            </w:pPr>
            <w:r>
              <w:t xml:space="preserve">Rising quarterly</w:t>
            </w:r>
          </w:p>
        </w:tc>
      </w:tr>
    </w:tbl>
    <w:p>
      <w:pPr>
        <w:pStyle w:val="BodyText"/>
      </w:pPr>
      <w:r>
        <w:t xml:space="preserve">Meridian replaced</w:t>
      </w:r>
      <w:r>
        <w:t xml:space="preserve"> </w:t>
      </w:r>
      <w:r>
        <w:t xml:space="preserve">“</w:t>
      </w:r>
      <w:r>
        <w:t xml:space="preserve">PQC pilot complete</w:t>
      </w:r>
      <w:r>
        <w:t xml:space="preserve">”</w:t>
      </w:r>
      <w:r>
        <w:t xml:space="preserve"> </w:t>
      </w:r>
      <w:r>
        <w:t xml:space="preserve">board slides with HLM distribution by TRADE tier — eliminating the credibility loss pattern from Chapter 1 when pilots did not reach production.</w:t>
      </w:r>
    </w:p>
    <w:p>
      <w:pPr>
        <w:pStyle w:val="BodyText"/>
      </w:pPr>
      <w:r>
        <w:t xml:space="preserve">GlobalSync added tenant Tier C exposure as a subsidiary metric — API traffic percentage on classical-only clients with active risk acceptance. When Tier C exceeded 5%, customer success received programme escalation.</w:t>
      </w:r>
    </w:p>
    <w:p>
      <w:r>
        <w:pict>
          <v:rect style="width:0;height:1.5pt" o:hralign="center" o:hrstd="t" o:hr="t"/>
        </w:pict>
      </w:r>
    </w:p>
    <w:bookmarkEnd w:id="77"/>
    <w:bookmarkStart w:id="78" w:name="exception-lifecycle-management"/>
    <w:p>
      <w:pPr>
        <w:pStyle w:val="Heading2"/>
      </w:pPr>
      <w:r>
        <w:t xml:space="preserve">5.27 Exception Lifecycle Management</w:t>
      </w:r>
    </w:p>
    <w:p>
      <w:pPr>
        <w:pStyle w:val="FirstParagraph"/>
      </w:pPr>
      <w:r>
        <w:t xml:space="preserve">Exceptions are programme state — not email approvals. Meridian’s exception lifecycle:</w:t>
      </w:r>
    </w:p>
    <w:p>
      <w:pPr>
        <w:pStyle w:val="SourceCode"/>
      </w:pPr>
      <w:r>
        <w:rPr>
          <w:rStyle w:val="VerbatimChar"/>
        </w:rPr>
        <w:t xml:space="preserve">Request (engineer) → TRADE/CBOM validation → Legal/compliance (if regulated data)</w:t>
      </w:r>
      <w:r>
        <w:br/>
      </w:r>
      <w:r>
        <w:rPr>
          <w:rStyle w:val="VerbatimChar"/>
        </w:rPr>
        <w:t xml:space="preserve">    → CISO approval → CBOM annotation → Quarterly review → Sunset or renewal</w:t>
      </w:r>
      <w:r>
        <w:br/>
      </w:r>
      <w:r>
        <w:rPr>
          <w:rStyle w:val="VerbatimChar"/>
        </w:rPr>
        <w:t xml:space="preserve">         ↓ (2 failed renewals)</w:t>
      </w:r>
      <w:r>
        <w:br/>
      </w:r>
      <w:r>
        <w:rPr>
          <w:rStyle w:val="VerbatimChar"/>
        </w:rPr>
        <w:t xml:space="preserve">    Steering committee → Board risk committee (if TES 5 + &gt;18 months)</w:t>
      </w:r>
    </w:p>
    <w:p>
      <w:pPr>
        <w:pStyle w:val="FirstParagraph"/>
      </w:pPr>
      <w:r>
        <w:t xml:space="preserve">GlobalSync automated expiry notifications</w:t>
      </w:r>
      <w:r>
        <w:t xml:space="preserve"> </w:t>
      </w:r>
      <w:r>
        <w:rPr>
          <w:bCs/>
          <w:b/>
        </w:rPr>
        <w:t xml:space="preserve">60 days</w:t>
      </w:r>
      <w:r>
        <w:t xml:space="preserve"> </w:t>
      </w:r>
      <w:r>
        <w:t xml:space="preserve">before exception review date. Expired exceptions without renewal triggered change freeze on affected systems — preventing silent classical-only deployments.</w:t>
      </w:r>
    </w:p>
    <w:p>
      <w:pPr>
        <w:pStyle w:val="BodyText"/>
      </w:pPr>
      <w:r>
        <w:t xml:space="preserve">Apex segregated NSS exceptions — waiver authority elevated to programme sponsor with classified security officer concurrence. Corporate IT exceptions followed Meridian-style lifecycle at lower approval tier.</w:t>
      </w:r>
    </w:p>
    <w:p>
      <w:pPr>
        <w:pStyle w:val="BodyText"/>
      </w:pPr>
      <w:r>
        <w:rPr>
          <w:bCs/>
          <w:b/>
        </w:rPr>
        <w:t xml:space="preserve">Table 5.7 — Exception Renewal Decision Criteria</w:t>
      </w:r>
    </w:p>
    <w:tbl>
      <w:tblPr>
        <w:tblStyle w:val="Table"/>
        <w:tblW w:type="pct" w:w="5000"/>
        <w:tblLook w:firstRow="1" w:lastRow="0" w:firstColumn="0" w:lastColumn="0" w:noHBand="0" w:noVBand="0" w:val="0020"/>
        <w:jc w:val="start"/>
      </w:tblPr>
      <w:tblGrid>
        <w:gridCol w:w="2329"/>
        <w:gridCol w:w="1630"/>
        <w:gridCol w:w="3960"/>
      </w:tblGrid>
      <w:tr>
        <w:trPr>
          <w:tblHeader w:val="true"/>
        </w:trPr>
        <w:tc>
          <w:tcPr/>
          <w:p>
            <w:pPr>
              <w:pStyle w:val="Compact"/>
              <w:jc w:val="left"/>
            </w:pPr>
            <w:r>
              <w:t xml:space="preserve">Question</w:t>
            </w:r>
          </w:p>
        </w:tc>
        <w:tc>
          <w:tcPr/>
          <w:p>
            <w:pPr>
              <w:pStyle w:val="Compact"/>
              <w:jc w:val="left"/>
            </w:pPr>
            <w:r>
              <w:t xml:space="preserve">Renew</w:t>
            </w:r>
          </w:p>
        </w:tc>
        <w:tc>
          <w:tcPr/>
          <w:p>
            <w:pPr>
              <w:pStyle w:val="Compact"/>
              <w:jc w:val="left"/>
            </w:pPr>
            <w:r>
              <w:t xml:space="preserve">Escalate / deny</w:t>
            </w:r>
          </w:p>
        </w:tc>
      </w:tr>
      <w:tr>
        <w:tc>
          <w:tcPr/>
          <w:p>
            <w:pPr>
              <w:pStyle w:val="Compact"/>
              <w:jc w:val="left"/>
            </w:pPr>
            <w:r>
              <w:t xml:space="preserve">Has blocking dependency changed?</w:t>
            </w:r>
          </w:p>
        </w:tc>
        <w:tc>
          <w:tcPr/>
          <w:p>
            <w:pPr>
              <w:pStyle w:val="Compact"/>
              <w:jc w:val="left"/>
            </w:pPr>
            <w:r>
              <w:t xml:space="preserve">No — renew with updated vendor letter</w:t>
            </w:r>
          </w:p>
        </w:tc>
        <w:tc>
          <w:tcPr/>
          <w:p>
            <w:pPr>
              <w:pStyle w:val="Compact"/>
              <w:jc w:val="left"/>
            </w:pPr>
            <w:r>
              <w:t xml:space="preserve">Yes — if resolved, deny renewal</w:t>
            </w:r>
          </w:p>
        </w:tc>
      </w:tr>
      <w:tr>
        <w:tc>
          <w:tcPr/>
          <w:p>
            <w:pPr>
              <w:pStyle w:val="Compact"/>
              <w:jc w:val="left"/>
            </w:pPr>
            <w:r>
              <w:t xml:space="preserve">Has TRADE MPI decreased?</w:t>
            </w:r>
          </w:p>
        </w:tc>
        <w:tc>
          <w:tcPr/>
          <w:p>
            <w:pPr>
              <w:pStyle w:val="Compact"/>
              <w:jc w:val="left"/>
            </w:pPr>
            <w:r>
              <w:t xml:space="preserve">Possible renew with justification</w:t>
            </w:r>
          </w:p>
        </w:tc>
        <w:tc>
          <w:tcPr/>
          <w:p>
            <w:pPr>
              <w:pStyle w:val="Compact"/>
              <w:jc w:val="left"/>
            </w:pPr>
            <w:r>
              <w:t xml:space="preserve">MPI increased — expedite migration</w:t>
            </w:r>
          </w:p>
        </w:tc>
      </w:tr>
      <w:tr>
        <w:tc>
          <w:tcPr/>
          <w:p>
            <w:pPr>
              <w:pStyle w:val="Compact"/>
              <w:jc w:val="left"/>
            </w:pPr>
            <w:r>
              <w:t xml:space="preserve">Same compensating controls active?</w:t>
            </w:r>
          </w:p>
        </w:tc>
        <w:tc>
          <w:tcPr/>
          <w:p>
            <w:pPr>
              <w:pStyle w:val="Compact"/>
              <w:jc w:val="left"/>
            </w:pPr>
            <w:r>
              <w:t xml:space="preserve">Renew</w:t>
            </w:r>
          </w:p>
        </w:tc>
        <w:tc>
          <w:tcPr/>
          <w:p>
            <w:pPr>
              <w:pStyle w:val="Compact"/>
              <w:jc w:val="left"/>
            </w:pPr>
            <w:r>
              <w:t xml:space="preserve">Controls failed audit — deny</w:t>
            </w:r>
          </w:p>
        </w:tc>
      </w:tr>
      <w:tr>
        <w:tc>
          <w:tcPr/>
          <w:p>
            <w:pPr>
              <w:pStyle w:val="Compact"/>
              <w:jc w:val="left"/>
            </w:pPr>
            <w:r>
              <w:t xml:space="preserve">Exceeds max renewal cycles?</w:t>
            </w:r>
          </w:p>
        </w:tc>
        <w:tc>
          <w:tcPr/>
          <w:p>
            <w:pPr>
              <w:pStyle w:val="Compact"/>
              <w:jc w:val="left"/>
            </w:pPr>
            <w:r>
              <w:t xml:space="preserve">Deny — escalate</w:t>
            </w:r>
          </w:p>
        </w:tc>
        <w:tc>
          <w:tcPr/>
          <w:p>
            <w:pPr>
              <w:pStyle w:val="Compact"/>
              <w:jc w:val="left"/>
            </w:pPr>
            <w:r>
              <w:t xml:space="preserve">N/A</w:t>
            </w:r>
          </w:p>
        </w:tc>
      </w:tr>
    </w:tbl>
    <w:p>
      <w:r>
        <w:pict>
          <v:rect style="width:0;height:1.5pt" o:hralign="center" o:hrstd="t" o:hr="t"/>
        </w:pict>
      </w:r>
    </w:p>
    <w:bookmarkEnd w:id="78"/>
    <w:bookmarkStart w:id="79" w:name="five-year-programme-phase-model"/>
    <w:p>
      <w:pPr>
        <w:pStyle w:val="Heading2"/>
      </w:pPr>
      <w:r>
        <w:t xml:space="preserve">5.28 Five-Year Programme Phase Model</w:t>
      </w:r>
    </w:p>
    <w:p>
      <w:pPr>
        <w:pStyle w:val="FirstParagraph"/>
      </w:pPr>
      <w:r>
        <w:t xml:space="preserve">Enterprises benefit from mapping HLM phases to</w:t>
      </w:r>
      <w:r>
        <w:t xml:space="preserve"> </w:t>
      </w:r>
      <w:r>
        <w:rPr>
          <w:bCs/>
          <w:b/>
        </w:rPr>
        <w:t xml:space="preserve">multi-year programme phases</w:t>
      </w:r>
      <w:r>
        <w:t xml:space="preserve"> </w:t>
      </w:r>
      <w:r>
        <w:t xml:space="preserve">— communicating intent without false precision on every system date.</w:t>
      </w:r>
    </w:p>
    <w:p>
      <w:pPr>
        <w:pStyle w:val="BodyText"/>
      </w:pPr>
      <w:r>
        <w:rPr>
          <w:bCs/>
          <w:b/>
        </w:rPr>
        <w:t xml:space="preserve">Table 5.8 — Illustrative Five-Year Phase Model (2026–2030)</w:t>
      </w:r>
    </w:p>
    <w:tbl>
      <w:tblPr>
        <w:tblStyle w:val="Table"/>
        <w:tblW w:type="pct" w:w="5000"/>
        <w:tblLook w:firstRow="1" w:lastRow="0" w:firstColumn="0" w:lastColumn="0" w:noHBand="0" w:noVBand="0" w:val="0020"/>
        <w:jc w:val="start"/>
      </w:tblPr>
      <w:tblGrid>
        <w:gridCol w:w="913"/>
        <w:gridCol w:w="2436"/>
        <w:gridCol w:w="1675"/>
        <w:gridCol w:w="2893"/>
      </w:tblGrid>
      <w:tr>
        <w:trPr>
          <w:tblHeader w:val="true"/>
        </w:trPr>
        <w:tc>
          <w:tcPr/>
          <w:p>
            <w:pPr>
              <w:pStyle w:val="Compact"/>
              <w:jc w:val="left"/>
            </w:pPr>
            <w:r>
              <w:t xml:space="preserve">Year</w:t>
            </w:r>
          </w:p>
        </w:tc>
        <w:tc>
          <w:tcPr/>
          <w:p>
            <w:pPr>
              <w:pStyle w:val="Compact"/>
              <w:jc w:val="left"/>
            </w:pPr>
            <w:r>
              <w:t xml:space="preserve">Programme phase</w:t>
            </w:r>
          </w:p>
        </w:tc>
        <w:tc>
          <w:tcPr/>
          <w:p>
            <w:pPr>
              <w:pStyle w:val="Compact"/>
              <w:jc w:val="left"/>
            </w:pPr>
            <w:r>
              <w:t xml:space="preserve">HLM focus</w:t>
            </w:r>
          </w:p>
        </w:tc>
        <w:tc>
          <w:tcPr/>
          <w:p>
            <w:pPr>
              <w:pStyle w:val="Compact"/>
              <w:jc w:val="left"/>
            </w:pPr>
            <w:r>
              <w:t xml:space="preserve">Primary deliverables</w:t>
            </w:r>
          </w:p>
        </w:tc>
      </w:tr>
      <w:tr>
        <w:tc>
          <w:tcPr/>
          <w:p>
            <w:pPr>
              <w:pStyle w:val="Compact"/>
              <w:jc w:val="left"/>
            </w:pPr>
            <w:r>
              <w:t xml:space="preserve">2026</w:t>
            </w:r>
          </w:p>
        </w:tc>
        <w:tc>
          <w:tcPr/>
          <w:p>
            <w:pPr>
              <w:pStyle w:val="Compact"/>
              <w:jc w:val="left"/>
            </w:pPr>
            <w:r>
              <w:t xml:space="preserve">Foundation</w:t>
            </w:r>
          </w:p>
        </w:tc>
        <w:tc>
          <w:tcPr/>
          <w:p>
            <w:pPr>
              <w:pStyle w:val="Compact"/>
              <w:jc w:val="left"/>
            </w:pPr>
            <w:r>
              <w:t xml:space="preserve">Policy + selective H1 pilots</w:t>
            </w:r>
          </w:p>
        </w:tc>
        <w:tc>
          <w:tcPr/>
          <w:p>
            <w:pPr>
              <w:pStyle w:val="Compact"/>
              <w:jc w:val="left"/>
            </w:pPr>
            <w:r>
              <w:t xml:space="preserve">Algorithm matrix; hybrid policy; CBOM baseline; validation matrix</w:t>
            </w:r>
          </w:p>
        </w:tc>
      </w:tr>
      <w:tr>
        <w:tc>
          <w:tcPr/>
          <w:p>
            <w:pPr>
              <w:pStyle w:val="Compact"/>
              <w:jc w:val="left"/>
            </w:pPr>
            <w:r>
              <w:t xml:space="preserve">2027</w:t>
            </w:r>
          </w:p>
        </w:tc>
        <w:tc>
          <w:tcPr/>
          <w:p>
            <w:pPr>
              <w:pStyle w:val="Compact"/>
              <w:jc w:val="left"/>
            </w:pPr>
            <w:r>
              <w:t xml:space="preserve">Wave 1 execution</w:t>
            </w:r>
          </w:p>
        </w:tc>
        <w:tc>
          <w:tcPr/>
          <w:p>
            <w:pPr>
              <w:pStyle w:val="Compact"/>
              <w:jc w:val="left"/>
            </w:pPr>
            <w:r>
              <w:t xml:space="preserve">H1 production on TES 5 / blocking nodes</w:t>
            </w:r>
          </w:p>
        </w:tc>
        <w:tc>
          <w:tcPr/>
          <w:p>
            <w:pPr>
              <w:pStyle w:val="Compact"/>
              <w:jc w:val="left"/>
            </w:pPr>
            <w:r>
              <w:t xml:space="preserve">Payment HSM path; VPN; firmware signing pilots; vendor escalations closed</w:t>
            </w:r>
          </w:p>
        </w:tc>
      </w:tr>
      <w:tr>
        <w:tc>
          <w:tcPr/>
          <w:p>
            <w:pPr>
              <w:pStyle w:val="Compact"/>
              <w:jc w:val="left"/>
            </w:pPr>
            <w:r>
              <w:t xml:space="preserve">2028</w:t>
            </w:r>
          </w:p>
        </w:tc>
        <w:tc>
          <w:tcPr/>
          <w:p>
            <w:pPr>
              <w:pStyle w:val="Compact"/>
              <w:jc w:val="left"/>
            </w:pPr>
            <w:r>
              <w:t xml:space="preserve">Wave 2 expansion</w:t>
            </w:r>
          </w:p>
        </w:tc>
        <w:tc>
          <w:tcPr/>
          <w:p>
            <w:pPr>
              <w:pStyle w:val="Compact"/>
              <w:jc w:val="left"/>
            </w:pPr>
            <w:r>
              <w:t xml:space="preserve">H1→H2 transitions begin where triggers met</w:t>
            </w:r>
          </w:p>
        </w:tc>
        <w:tc>
          <w:tcPr/>
          <w:p>
            <w:pPr>
              <w:pStyle w:val="Compact"/>
              <w:jc w:val="left"/>
            </w:pPr>
            <w:r>
              <w:t xml:space="preserve">PKI ML-DSA profiles; partner notifications; exception register stable</w:t>
            </w:r>
          </w:p>
        </w:tc>
      </w:tr>
      <w:tr>
        <w:tc>
          <w:tcPr/>
          <w:p>
            <w:pPr>
              <w:pStyle w:val="Compact"/>
              <w:jc w:val="left"/>
            </w:pPr>
            <w:r>
              <w:t xml:space="preserve">2029</w:t>
            </w:r>
          </w:p>
        </w:tc>
        <w:tc>
          <w:tcPr/>
          <w:p>
            <w:pPr>
              <w:pStyle w:val="Compact"/>
              <w:jc w:val="left"/>
            </w:pPr>
            <w:r>
              <w:t xml:space="preserve">Consolidation</w:t>
            </w:r>
          </w:p>
        </w:tc>
        <w:tc>
          <w:tcPr/>
          <w:p>
            <w:pPr>
              <w:pStyle w:val="Compact"/>
              <w:jc w:val="left"/>
            </w:pPr>
            <w:r>
              <w:t xml:space="preserve">H2 dominant; classical deprecation enforced</w:t>
            </w:r>
          </w:p>
        </w:tc>
        <w:tc>
          <w:tcPr/>
          <w:p>
            <w:pPr>
              <w:pStyle w:val="Compact"/>
              <w:jc w:val="left"/>
            </w:pPr>
            <w:r>
              <w:t xml:space="preserve">Automated CBOM scanning; SDLC gates; reduced exception count</w:t>
            </w:r>
          </w:p>
        </w:tc>
      </w:tr>
      <w:tr>
        <w:tc>
          <w:tcPr/>
          <w:p>
            <w:pPr>
              <w:pStyle w:val="Compact"/>
              <w:jc w:val="left"/>
            </w:pPr>
            <w:r>
              <w:t xml:space="preserve">2030</w:t>
            </w:r>
          </w:p>
        </w:tc>
        <w:tc>
          <w:tcPr/>
          <w:p>
            <w:pPr>
              <w:pStyle w:val="Compact"/>
              <w:jc w:val="left"/>
            </w:pPr>
            <w:r>
              <w:t xml:space="preserve">Deprecation compliance</w:t>
            </w:r>
          </w:p>
        </w:tc>
        <w:tc>
          <w:tcPr/>
          <w:p>
            <w:pPr>
              <w:pStyle w:val="Compact"/>
              <w:jc w:val="left"/>
            </w:pPr>
            <w:r>
              <w:t xml:space="preserve">H2/H3; risk acceptance only for documented gaps</w:t>
            </w:r>
          </w:p>
        </w:tc>
        <w:tc>
          <w:tcPr/>
          <w:p>
            <w:pPr>
              <w:pStyle w:val="Compact"/>
              <w:jc w:val="left"/>
            </w:pPr>
            <w:r>
              <w:t xml:space="preserve">NIST anchor alignment; supervisory evidence package</w:t>
            </w:r>
          </w:p>
        </w:tc>
      </w:tr>
    </w:tbl>
    <w:p>
      <w:pPr>
        <w:pStyle w:val="BodyText"/>
      </w:pPr>
      <w:r>
        <w:t xml:space="preserve">Meridian’s steering committee reviewed</w:t>
      </w:r>
      <w:r>
        <w:t xml:space="preserve"> </w:t>
      </w:r>
      <w:r>
        <w:rPr>
          <w:bCs/>
          <w:b/>
        </w:rPr>
        <w:t xml:space="preserve">phase gates</w:t>
      </w:r>
      <w:r>
        <w:t xml:space="preserve"> </w:t>
      </w:r>
      <w:r>
        <w:t xml:space="preserve">annually — not every milestone date. A phase completed when exit criteria met: 2027 Wave 1 completed when payment HSM vendor module entered integration test, not when a calendar date arrived.</w:t>
      </w:r>
    </w:p>
    <w:p>
      <w:pPr>
        <w:pStyle w:val="BodyText"/>
      </w:pPr>
      <w:r>
        <w:t xml:space="preserve">GlobalSync aligned phases to</w:t>
      </w:r>
      <w:r>
        <w:t xml:space="preserve"> </w:t>
      </w:r>
      <w:r>
        <w:rPr>
          <w:bCs/>
          <w:b/>
        </w:rPr>
        <w:t xml:space="preserve">tenant cohorts</w:t>
      </w:r>
      <w:r>
        <w:t xml:space="preserve"> </w:t>
      </w:r>
      <w:r>
        <w:t xml:space="preserve">— Tier A tenants migrated per phase; Tier C tenants carried risk acceptance with explicit sunset into 2029. Phasing by tenant cohort prevented a single false</w:t>
      </w:r>
      <w:r>
        <w:t xml:space="preserve"> </w:t>
      </w:r>
      <w:r>
        <w:t xml:space="preserve">“</w:t>
      </w:r>
      <w:r>
        <w:t xml:space="preserve">company-wide complete</w:t>
      </w:r>
      <w:r>
        <w:t xml:space="preserve">”</w:t>
      </w:r>
      <w:r>
        <w:t xml:space="preserve"> </w:t>
      </w:r>
      <w:r>
        <w:t xml:space="preserve">narrative.</w:t>
      </w:r>
    </w:p>
    <w:p>
      <w:pPr>
        <w:pStyle w:val="BodyText"/>
      </w:pPr>
      <w:r>
        <w:t xml:space="preserve">Northfield aligned phases to</w:t>
      </w:r>
      <w:r>
        <w:t xml:space="preserve"> </w:t>
      </w:r>
      <w:r>
        <w:rPr>
          <w:bCs/>
          <w:b/>
        </w:rPr>
        <w:t xml:space="preserve">geographic regions</w:t>
      </w:r>
      <w:r>
        <w:t xml:space="preserve"> </w:t>
      </w:r>
      <w:r>
        <w:t xml:space="preserve">— Gulf Coast compressor sites followed LMS path on independent schedule from Midwest RTU dual-sign rollout. Single timeline slide obscured regional OT reality; regional swim lanes satisfied board and regulators.</w:t>
      </w:r>
    </w:p>
    <w:p>
      <w:r>
        <w:pict>
          <v:rect style="width:0;height:1.5pt" o:hralign="center" o:hrstd="t" o:hr="t"/>
        </w:pict>
      </w:r>
    </w:p>
    <w:bookmarkEnd w:id="79"/>
    <w:bookmarkStart w:id="80" w:name="X39ada6cf81b72dbfd98ff94259eb61bd95318ad"/>
    <w:p>
      <w:pPr>
        <w:pStyle w:val="Heading2"/>
      </w:pPr>
      <w:r>
        <w:t xml:space="preserve">5.29 Deprecation and Disallowance: Board Narrative Templates</w:t>
      </w:r>
    </w:p>
    <w:p>
      <w:pPr>
        <w:pStyle w:val="FirstParagraph"/>
      </w:pPr>
      <w:r>
        <w:t xml:space="preserve">Executives confuse deprecation and disallowance. Provide distinct narratives:</w:t>
      </w:r>
    </w:p>
    <w:p>
      <w:pPr>
        <w:pStyle w:val="BodyText"/>
      </w:pPr>
      <w:r>
        <w:rPr>
          <w:bCs/>
          <w:b/>
        </w:rPr>
        <w:t xml:space="preserve">Deprecation (post-2030 anchor):</w:t>
      </w:r>
      <w:r>
        <w:t xml:space="preserve"> </w:t>
      </w:r>
      <w:r>
        <w:rPr>
          <w:iCs/>
          <w:i/>
        </w:rPr>
        <w:t xml:space="preserve">“</w:t>
      </w:r>
      <w:r>
        <w:rPr>
          <w:iCs/>
          <w:i/>
        </w:rPr>
        <w:t xml:space="preserve">New systems use post-quantum algorithms. Legacy systems operate under governed exceptions with named remediation dates. We are not non-compliant — we are transitioning under documented governance.</w:t>
      </w:r>
      <w:r>
        <w:rPr>
          <w:iCs/>
          <w:i/>
        </w:rPr>
        <w:t xml:space="preserve">”</w:t>
      </w:r>
    </w:p>
    <w:p>
      <w:pPr>
        <w:pStyle w:val="BodyText"/>
      </w:pPr>
      <w:r>
        <w:rPr>
          <w:bCs/>
          <w:b/>
        </w:rPr>
        <w:t xml:space="preserve">Disallowance (post-2035 anchor):</w:t>
      </w:r>
      <w:r>
        <w:t xml:space="preserve"> </w:t>
      </w:r>
      <w:r>
        <w:rPr>
          <w:iCs/>
          <w:i/>
        </w:rPr>
        <w:t xml:space="preserve">“</w:t>
      </w:r>
      <w:r>
        <w:rPr>
          <w:iCs/>
          <w:i/>
        </w:rPr>
        <w:t xml:space="preserve">Quantum-vulnerable public-key cryptography is removed from approved use. Residual exceptions require board risk committee approval and regulatory counsel sign-off.</w:t>
      </w:r>
      <w:r>
        <w:rPr>
          <w:iCs/>
          <w:i/>
        </w:rPr>
        <w:t xml:space="preserve">”</w:t>
      </w:r>
    </w:p>
    <w:p>
      <w:pPr>
        <w:pStyle w:val="BodyText"/>
      </w:pPr>
      <w:r>
        <w:rPr>
          <w:bCs/>
          <w:b/>
        </w:rPr>
        <w:t xml:space="preserve">Incorrect narrative:</w:t>
      </w:r>
      <w:r>
        <w:t xml:space="preserve"> </w:t>
      </w:r>
      <w:r>
        <w:rPr>
          <w:iCs/>
          <w:i/>
        </w:rPr>
        <w:t xml:space="preserve">“</w:t>
      </w:r>
      <w:r>
        <w:rPr>
          <w:iCs/>
          <w:i/>
        </w:rPr>
        <w:t xml:space="preserve">We are fully quantum-safe by 2030.</w:t>
      </w:r>
      <w:r>
        <w:rPr>
          <w:iCs/>
          <w:i/>
        </w:rPr>
        <w:t xml:space="preserve">”</w:t>
      </w:r>
      <w:r>
        <w:t xml:space="preserve"> </w:t>
      </w:r>
      <w:r>
        <w:t xml:space="preserve">— Unless H3 achieved, this overclaims.</w:t>
      </w:r>
      <w:r>
        <w:t xml:space="preserve"> </w:t>
      </w:r>
      <w:r>
        <w:rPr>
          <w:bCs/>
          <w:b/>
        </w:rPr>
        <w:t xml:space="preserve">Incorrect narrative:</w:t>
      </w:r>
      <w:r>
        <w:t xml:space="preserve"> </w:t>
      </w:r>
      <w:r>
        <w:rPr>
          <w:iCs/>
          <w:i/>
        </w:rPr>
        <w:t xml:space="preserve">“</w:t>
      </w:r>
      <w:r>
        <w:rPr>
          <w:iCs/>
          <w:i/>
        </w:rPr>
        <w:t xml:space="preserve">We have until 2035 to start.</w:t>
      </w:r>
      <w:r>
        <w:rPr>
          <w:iCs/>
          <w:i/>
        </w:rPr>
        <w:t xml:space="preserve">”</w:t>
      </w:r>
      <w:r>
        <w:t xml:space="preserve"> </w:t>
      </w:r>
      <w:r>
        <w:t xml:space="preserve">— Programme work must be underway; anchors are endpoints, not start dates.</w:t>
      </w:r>
    </w:p>
    <w:p>
      <w:pPr>
        <w:pStyle w:val="BodyText"/>
      </w:pPr>
      <w:r>
        <w:t xml:space="preserve">Marcus Chen used these templates verbatim in board materials — reducing finance committee confusion that had previously compared PQC to Y2K single-event projects.</w:t>
      </w:r>
    </w:p>
    <w:p>
      <w:r>
        <w:pict>
          <v:rect style="width:0;height:1.5pt" o:hralign="center" o:hrstd="t" o:hr="t"/>
        </w:pict>
      </w:r>
    </w:p>
    <w:bookmarkEnd w:id="80"/>
    <w:bookmarkStart w:id="82" w:name="Xc6307b471f2119d93bf9c463830fba79cbe92bf"/>
    <w:p>
      <w:pPr>
        <w:pStyle w:val="Heading2"/>
      </w:pPr>
      <w:r>
        <w:t xml:space="preserve">5.30 Auditor and Assessor Engagement on Hybrid Policy</w:t>
      </w:r>
    </w:p>
    <w:p>
      <w:pPr>
        <w:pStyle w:val="FirstParagraph"/>
      </w:pPr>
      <w:r>
        <w:t xml:space="preserve">Internal audit and external assessors will ask hybrid policy questions before engineers finish deployment. Prepare evidence: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Assessor question</w:t>
            </w:r>
          </w:p>
        </w:tc>
        <w:tc>
          <w:tcPr/>
          <w:p>
            <w:pPr>
              <w:pStyle w:val="Compact"/>
              <w:jc w:val="left"/>
            </w:pPr>
            <w:r>
              <w:t xml:space="preserve">Evidence artefact</w:t>
            </w:r>
          </w:p>
        </w:tc>
      </w:tr>
      <w:tr>
        <w:tc>
          <w:tcPr/>
          <w:p>
            <w:pPr>
              <w:pStyle w:val="Compact"/>
              <w:jc w:val="left"/>
            </w:pPr>
            <w:r>
              <w:t xml:space="preserve">Do you have a hybrid cryptography policy?</w:t>
            </w:r>
          </w:p>
        </w:tc>
        <w:tc>
          <w:tcPr/>
          <w:p>
            <w:pPr>
              <w:pStyle w:val="Compact"/>
              <w:jc w:val="left"/>
            </w:pPr>
            <w:r>
              <w:t xml:space="preserve">Approved policy document (Chapter 5 §5.7 sample structure)</w:t>
            </w:r>
          </w:p>
        </w:tc>
      </w:tr>
      <w:tr>
        <w:tc>
          <w:tcPr/>
          <w:p>
            <w:pPr>
              <w:pStyle w:val="Compact"/>
              <w:jc w:val="left"/>
            </w:pPr>
            <w:r>
              <w:t xml:space="preserve">How do you prevent permanent hybrids?</w:t>
            </w:r>
          </w:p>
        </w:tc>
        <w:tc>
          <w:tcPr/>
          <w:p>
            <w:pPr>
              <w:pStyle w:val="Compact"/>
              <w:jc w:val="left"/>
            </w:pPr>
            <w:r>
              <w:t xml:space="preserve">H2 trigger fields in CBOM; change-management gate records</w:t>
            </w:r>
          </w:p>
        </w:tc>
      </w:tr>
      <w:tr>
        <w:tc>
          <w:tcPr/>
          <w:p>
            <w:pPr>
              <w:pStyle w:val="Compact"/>
              <w:jc w:val="left"/>
            </w:pPr>
            <w:r>
              <w:t xml:space="preserve">How many exceptions exist?</w:t>
            </w:r>
          </w:p>
        </w:tc>
        <w:tc>
          <w:tcPr/>
          <w:p>
            <w:pPr>
              <w:pStyle w:val="Compact"/>
              <w:jc w:val="left"/>
            </w:pPr>
            <w:r>
              <w:t xml:space="preserve">Risk acceptance register with ageing report</w:t>
            </w:r>
          </w:p>
        </w:tc>
      </w:tr>
      <w:tr>
        <w:tc>
          <w:tcPr/>
          <w:p>
            <w:pPr>
              <w:pStyle w:val="Compact"/>
              <w:jc w:val="left"/>
            </w:pPr>
            <w:r>
              <w:t xml:space="preserve">How do you measure progress?</w:t>
            </w:r>
          </w:p>
        </w:tc>
        <w:tc>
          <w:tcPr/>
          <w:p>
            <w:pPr>
              <w:pStyle w:val="Compact"/>
              <w:jc w:val="left"/>
            </w:pPr>
            <w:r>
              <w:t xml:space="preserve">HLM metrics dashboard (Table 5.6)</w:t>
            </w:r>
          </w:p>
        </w:tc>
      </w:tr>
      <w:tr>
        <w:tc>
          <w:tcPr/>
          <w:p>
            <w:pPr>
              <w:pStyle w:val="Compact"/>
              <w:jc w:val="left"/>
            </w:pPr>
            <w:r>
              <w:t xml:space="preserve">Are algorithms standards-based?</w:t>
            </w:r>
          </w:p>
        </w:tc>
        <w:tc>
          <w:tcPr/>
          <w:p>
            <w:pPr>
              <w:pStyle w:val="Compact"/>
              <w:jc w:val="left"/>
            </w:pPr>
            <w:r>
              <w:t xml:space="preserve">Algorithm matrix with FIPS references (Chapter 4)</w:t>
            </w:r>
          </w:p>
        </w:tc>
      </w:tr>
    </w:tbl>
    <w:p>
      <w:pPr>
        <w:pStyle w:val="BodyText"/>
      </w:pPr>
      <w:r>
        <w:t xml:space="preserve">Meridian invited internal audit to a</w:t>
      </w:r>
      <w:r>
        <w:t xml:space="preserve"> </w:t>
      </w:r>
      <w:r>
        <w:rPr>
          <w:bCs/>
          <w:b/>
        </w:rPr>
        <w:t xml:space="preserve">hybrid policy walkthrough</w:t>
      </w:r>
      <w:r>
        <w:t xml:space="preserve"> </w:t>
      </w:r>
      <w:r>
        <w:t xml:space="preserve">before first production H1 deployment — identifying missing CBOM fields auditors would request. Three CBOM schema updates followed; audit finding avoided.</w:t>
      </w:r>
    </w:p>
    <w:bookmarkStart w:id="81" w:name="cloud-provider-shared-responsibility"/>
    <w:p>
      <w:pPr>
        <w:pStyle w:val="Heading3"/>
      </w:pPr>
      <w:r>
        <w:t xml:space="preserve">Cloud provider shared responsibility</w:t>
      </w:r>
    </w:p>
    <w:p>
      <w:pPr>
        <w:pStyle w:val="FirstParagraph"/>
      </w:pPr>
      <w:r>
        <w:t xml:space="preserve">FedRAMP and enterprise cloud contracts split cryptographic responsibility between provider and customer. Timeline policy must annotate</w:t>
      </w:r>
      <w:r>
        <w:t xml:space="preserve"> </w:t>
      </w:r>
      <w:r>
        <w:rPr>
          <w:bCs/>
          <w:b/>
        </w:rPr>
        <w:t xml:space="preserve">whose clock</w:t>
      </w:r>
      <w:r>
        <w:t xml:space="preserve"> </w:t>
      </w:r>
      <w:r>
        <w:t xml:space="preserve">applies:</w:t>
      </w:r>
    </w:p>
    <w:tbl>
      <w:tblPr>
        <w:tblStyle w:val="Table"/>
        <w:tblW w:type="pct" w:w="5000"/>
        <w:tblLook w:firstRow="1" w:lastRow="0" w:firstColumn="0" w:lastColumn="0" w:noHBand="0" w:noVBand="0" w:val="0020"/>
        <w:jc w:val="start"/>
      </w:tblPr>
      <w:tblGrid>
        <w:gridCol w:w="1250"/>
        <w:gridCol w:w="3334"/>
        <w:gridCol w:w="3334"/>
      </w:tblGrid>
      <w:tr>
        <w:trPr>
          <w:tblHeader w:val="true"/>
        </w:trPr>
        <w:tc>
          <w:tcPr/>
          <w:p>
            <w:pPr>
              <w:pStyle w:val="Compact"/>
              <w:jc w:val="left"/>
            </w:pPr>
            <w:r>
              <w:t xml:space="preserve">Control</w:t>
            </w:r>
          </w:p>
        </w:tc>
        <w:tc>
          <w:tcPr/>
          <w:p>
            <w:pPr>
              <w:pStyle w:val="Compact"/>
              <w:jc w:val="left"/>
            </w:pPr>
            <w:r>
              <w:t xml:space="preserve">Provider responsibility</w:t>
            </w:r>
          </w:p>
        </w:tc>
        <w:tc>
          <w:tcPr/>
          <w:p>
            <w:pPr>
              <w:pStyle w:val="Compact"/>
              <w:jc w:val="left"/>
            </w:pPr>
            <w:r>
              <w:t xml:space="preserve">Customer responsibility</w:t>
            </w:r>
          </w:p>
        </w:tc>
      </w:tr>
      <w:tr>
        <w:tc>
          <w:tcPr/>
          <w:p>
            <w:pPr>
              <w:pStyle w:val="Compact"/>
              <w:jc w:val="left"/>
            </w:pPr>
            <w:r>
              <w:t xml:space="preserve">Platform TLS (PaaS)</w:t>
            </w:r>
          </w:p>
        </w:tc>
        <w:tc>
          <w:tcPr/>
          <w:p>
            <w:pPr>
              <w:pStyle w:val="Compact"/>
              <w:jc w:val="left"/>
            </w:pPr>
            <w:r>
              <w:t xml:space="preserve">Provider HLM on managed endpoints</w:t>
            </w:r>
          </w:p>
        </w:tc>
        <w:tc>
          <w:tcPr/>
          <w:p>
            <w:pPr>
              <w:pStyle w:val="Compact"/>
              <w:jc w:val="left"/>
            </w:pPr>
            <w:r>
              <w:t xml:space="preserve">Customer configures allowed suites</w:t>
            </w:r>
          </w:p>
        </w:tc>
      </w:tr>
      <w:tr>
        <w:tc>
          <w:tcPr/>
          <w:p>
            <w:pPr>
              <w:pStyle w:val="Compact"/>
              <w:jc w:val="left"/>
            </w:pPr>
            <w:r>
              <w:t xml:space="preserve">Customer-managed keys (CMK/KMS)</w:t>
            </w:r>
          </w:p>
        </w:tc>
        <w:tc>
          <w:tcPr/>
          <w:p>
            <w:pPr>
              <w:pStyle w:val="Compact"/>
              <w:jc w:val="left"/>
            </w:pPr>
            <w:r>
              <w:t xml:space="preserve">Provider validates modules</w:t>
            </w:r>
          </w:p>
        </w:tc>
        <w:tc>
          <w:tcPr/>
          <w:p>
            <w:pPr>
              <w:pStyle w:val="Compact"/>
              <w:jc w:val="left"/>
            </w:pPr>
            <w:r>
              <w:t xml:space="preserve">Customer selects algorithms per matrix</w:t>
            </w:r>
          </w:p>
        </w:tc>
      </w:tr>
      <w:tr>
        <w:tc>
          <w:tcPr/>
          <w:p>
            <w:pPr>
              <w:pStyle w:val="Compact"/>
              <w:jc w:val="left"/>
            </w:pPr>
            <w:r>
              <w:t xml:space="preserve">SaaS application crypto</w:t>
            </w:r>
          </w:p>
        </w:tc>
        <w:tc>
          <w:tcPr/>
          <w:p>
            <w:pPr>
              <w:pStyle w:val="Compact"/>
              <w:jc w:val="left"/>
            </w:pPr>
            <w:r>
              <w:t xml:space="preserve">Provider policy</w:t>
            </w:r>
          </w:p>
        </w:tc>
        <w:tc>
          <w:tcPr/>
          <w:p>
            <w:pPr>
              <w:pStyle w:val="Compact"/>
              <w:jc w:val="left"/>
            </w:pPr>
            <w:r>
              <w:t xml:space="preserve">Customer verifies against contractual baseline</w:t>
            </w:r>
          </w:p>
        </w:tc>
      </w:tr>
    </w:tbl>
    <w:p>
      <w:pPr>
        <w:pStyle w:val="BodyText"/>
      </w:pPr>
      <w:r>
        <w:t xml:space="preserve">GlobalSync as</w:t>
      </w:r>
      <w:r>
        <w:t xml:space="preserve"> </w:t>
      </w:r>
      <w:r>
        <w:rPr>
          <w:bCs/>
          <w:b/>
        </w:rPr>
        <w:t xml:space="preserve">provider</w:t>
      </w:r>
      <w:r>
        <w:t xml:space="preserve"> </w:t>
      </w:r>
      <w:r>
        <w:t xml:space="preserve">published customer-facing HLM status per API tier. As</w:t>
      </w:r>
      <w:r>
        <w:t xml:space="preserve"> </w:t>
      </w:r>
      <w:r>
        <w:rPr>
          <w:bCs/>
          <w:b/>
        </w:rPr>
        <w:t xml:space="preserve">consumer</w:t>
      </w:r>
      <w:r>
        <w:t xml:space="preserve"> </w:t>
      </w:r>
      <w:r>
        <w:t xml:space="preserve">of AWS and Azure KMS, Marcus Chen’s team tracked provider validation matrices separately — cloud KMS readiness gated internal microservice migration independently of external API hybrid TLS.</w:t>
      </w:r>
    </w:p>
    <w:p>
      <w:pPr>
        <w:pStyle w:val="BodyText"/>
      </w:pPr>
      <w:r>
        <w:t xml:space="preserve">PCI assessors for Meridian’s card environment asked whether hybrid TLS affected PCI scope segmentation — evidence showed segmentation unchanged; only cipher suite policy updated. Proactive FAQ for assessors reduced examination friction.</w:t>
      </w:r>
    </w:p>
    <w:p>
      <w:pPr>
        <w:pStyle w:val="BlockText"/>
      </w:pPr>
      <w:r>
        <w:rPr>
          <w:bCs/>
          <w:b/>
        </w:rPr>
        <w:t xml:space="preserve">Migration Moment</w:t>
      </w:r>
    </w:p>
    <w:p>
      <w:pPr>
        <w:pStyle w:val="BlockText"/>
      </w:pPr>
      <w:r>
        <w:rPr>
          <w:iCs/>
          <w:i/>
        </w:rPr>
        <w:t xml:space="preserve">“</w:t>
      </w:r>
      <w:r>
        <w:rPr>
          <w:iCs/>
          <w:i/>
        </w:rPr>
        <w:t xml:space="preserve">Auditors don’t understand PQC — we’ll explain after deployment.</w:t>
      </w:r>
      <w:r>
        <w:rPr>
          <w:iCs/>
          <w:i/>
        </w:rPr>
        <w:t xml:space="preserve">”</w:t>
      </w:r>
    </w:p>
    <w:p>
      <w:pPr>
        <w:pStyle w:val="BlockText"/>
      </w:pPr>
      <w:r>
        <w:t xml:space="preserve">Assessors evaluate governance artefacts, not lattice mathematics. Presenting hybrid policy, exception registers, and HLM metrics</w:t>
      </w:r>
      <w:r>
        <w:t xml:space="preserve"> </w:t>
      </w:r>
      <w:r>
        <w:rPr>
          <w:bCs/>
          <w:b/>
        </w:rPr>
        <w:t xml:space="preserve">before</w:t>
      </w:r>
      <w:r>
        <w:t xml:space="preserve"> </w:t>
      </w:r>
      <w:r>
        <w:t xml:space="preserve">examination positions the enterprise as prepared. Presenting pilots without policy produces findings — even if cryptography is directionally correct.</w:t>
      </w:r>
    </w:p>
    <w:p>
      <w:r>
        <w:pict>
          <v:rect style="width:0;height:1.5pt" o:hralign="center" o:hrstd="t" o:hr="t"/>
        </w:pict>
      </w:r>
    </w:p>
    <w:bookmarkEnd w:id="81"/>
    <w:bookmarkEnd w:id="82"/>
    <w:bookmarkStart w:id="83" w:name="Xf1a58afe615f6d9080f34ddb80516f165d12080"/>
    <w:p>
      <w:pPr>
        <w:pStyle w:val="Heading2"/>
      </w:pPr>
      <w:r>
        <w:t xml:space="preserve">5.31 Coordinating Timeline Policy with Part III Inventory</w:t>
      </w:r>
    </w:p>
    <w:p>
      <w:pPr>
        <w:pStyle w:val="FirstParagraph"/>
      </w:pPr>
      <w:r>
        <w:t xml:space="preserve">Part II timeline policy becomes credible when Part III CBOM exists. Until inventory completes, timeline commitments should be</w:t>
      </w:r>
      <w:r>
        <w:t xml:space="preserve"> </w:t>
      </w:r>
      <w:r>
        <w:rPr>
          <w:bCs/>
          <w:b/>
        </w:rPr>
        <w:t xml:space="preserve">directional</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CBOM maturity</w:t>
            </w:r>
          </w:p>
        </w:tc>
        <w:tc>
          <w:tcPr/>
          <w:p>
            <w:pPr>
              <w:pStyle w:val="Compact"/>
              <w:jc w:val="left"/>
            </w:pPr>
            <w:r>
              <w:t xml:space="preserve">Timeline policy posture</w:t>
            </w:r>
          </w:p>
        </w:tc>
      </w:tr>
      <w:tr>
        <w:tc>
          <w:tcPr/>
          <w:p>
            <w:pPr>
              <w:pStyle w:val="Compact"/>
              <w:jc w:val="left"/>
            </w:pPr>
            <w:r>
              <w:t xml:space="preserve">No CBOM</w:t>
            </w:r>
          </w:p>
        </w:tc>
        <w:tc>
          <w:tcPr/>
          <w:p>
            <w:pPr>
              <w:pStyle w:val="Compact"/>
              <w:jc w:val="left"/>
            </w:pPr>
            <w:r>
              <w:t xml:space="preserve">Publish anchor alignment intent only; no wave dates</w:t>
            </w:r>
          </w:p>
        </w:tc>
      </w:tr>
      <w:tr>
        <w:tc>
          <w:tcPr/>
          <w:p>
            <w:pPr>
              <w:pStyle w:val="Compact"/>
              <w:jc w:val="left"/>
            </w:pPr>
            <w:r>
              <w:t xml:space="preserve">Partial CBOM (&lt;80% coverage)</w:t>
            </w:r>
          </w:p>
        </w:tc>
        <w:tc>
          <w:tcPr/>
          <w:p>
            <w:pPr>
              <w:pStyle w:val="Compact"/>
              <w:jc w:val="left"/>
            </w:pPr>
            <w:r>
              <w:t xml:space="preserve">Wave sequence draft; dates as ranges</w:t>
            </w:r>
          </w:p>
        </w:tc>
      </w:tr>
      <w:tr>
        <w:tc>
          <w:tcPr/>
          <w:p>
            <w:pPr>
              <w:pStyle w:val="Compact"/>
              <w:jc w:val="left"/>
            </w:pPr>
            <w:r>
              <w:t xml:space="preserve">Baseline CBOM</w:t>
            </w:r>
          </w:p>
        </w:tc>
        <w:tc>
          <w:tcPr/>
          <w:p>
            <w:pPr>
              <w:pStyle w:val="Compact"/>
              <w:jc w:val="left"/>
            </w:pPr>
            <w:r>
              <w:t xml:space="preserve">TRADE-scored waves with quarterly date refinement</w:t>
            </w:r>
          </w:p>
        </w:tc>
      </w:tr>
      <w:tr>
        <w:tc>
          <w:tcPr/>
          <w:p>
            <w:pPr>
              <w:pStyle w:val="Compact"/>
              <w:jc w:val="left"/>
            </w:pPr>
            <w:r>
              <w:t xml:space="preserve">Maintained CBOM</w:t>
            </w:r>
          </w:p>
        </w:tc>
        <w:tc>
          <w:tcPr/>
          <w:p>
            <w:pPr>
              <w:pStyle w:val="Compact"/>
              <w:jc w:val="left"/>
            </w:pPr>
            <w:r>
              <w:t xml:space="preserve">Firm internal schedules with exception register</w:t>
            </w:r>
          </w:p>
        </w:tc>
      </w:tr>
    </w:tbl>
    <w:p>
      <w:pPr>
        <w:pStyle w:val="BodyText"/>
      </w:pPr>
      <w:r>
        <w:t xml:space="preserve">Meridian published 2030/2035 anchor alignment in 2025 with</w:t>
      </w:r>
      <w:r>
        <w:t xml:space="preserve"> </w:t>
      </w:r>
      <w:r>
        <w:rPr>
          <w:bCs/>
          <w:b/>
        </w:rPr>
        <w:t xml:space="preserve">wave dates as ranges</w:t>
      </w:r>
      <w:r>
        <w:t xml:space="preserve"> </w:t>
      </w:r>
      <w:r>
        <w:t xml:space="preserve">until Phase 1 CBOM reached 85% coverage — then narrowed to quarterly commitments. Thomas Bergström defended the approach in supervisory dialogue: honest uncertainty preferred over false precision.</w:t>
      </w:r>
    </w:p>
    <w:p>
      <w:pPr>
        <w:pStyle w:val="BodyText"/>
      </w:pPr>
      <w:r>
        <w:t xml:space="preserve">GlobalSync refused customer contractual commitments to</w:t>
      </w:r>
      <w:r>
        <w:t xml:space="preserve"> </w:t>
      </w:r>
      <w:r>
        <w:t xml:space="preserve">“</w:t>
      </w:r>
      <w:r>
        <w:t xml:space="preserve">PQC-native by 2028</w:t>
      </w:r>
      <w:r>
        <w:t xml:space="preserve">”</w:t>
      </w:r>
      <w:r>
        <w:t xml:space="preserve"> </w:t>
      </w:r>
      <w:r>
        <w:t xml:space="preserve">until CBOM and tenant dependency analysis completed — sales team frustration accepted as cost of credible commitments.</w:t>
      </w:r>
    </w:p>
    <w:p>
      <w:pPr>
        <w:pStyle w:val="BodyText"/>
      </w:pPr>
      <w:r>
        <w:t xml:space="preserve">Part III delivers CBOM methodology. This chapter’s timeline overlay consumes CBOM outputs — the handoff between parts is deliberate programme sequencing.</w:t>
      </w:r>
    </w:p>
    <w:p>
      <w:r>
        <w:pict>
          <v:rect style="width:0;height:1.5pt" o:hralign="center" o:hrstd="t" o:hr="t"/>
        </w:pict>
      </w:r>
    </w:p>
    <w:bookmarkEnd w:id="83"/>
    <w:bookmarkStart w:id="84" w:name="hybrid-policy-in-ma-and-divestiture"/>
    <w:p>
      <w:pPr>
        <w:pStyle w:val="Heading2"/>
      </w:pPr>
      <w:r>
        <w:t xml:space="preserve">5.32 Hybrid Policy in M&amp;A and Divestiture</w:t>
      </w:r>
    </w:p>
    <w:p>
      <w:pPr>
        <w:pStyle w:val="FirstParagraph"/>
      </w:pPr>
      <w:r>
        <w:t xml:space="preserve">Estate changes alter timeline overlays overnight. Chapter 2 introduced M&amp;A cryptographic due diligence; timeline policy must respond:</w:t>
      </w:r>
    </w:p>
    <w:p>
      <w:pPr>
        <w:pStyle w:val="BodyText"/>
      </w:pPr>
      <w:r>
        <w:rPr>
          <w:bCs/>
          <w:b/>
        </w:rPr>
        <w:t xml:space="preserve">Acquisition:</w:t>
      </w:r>
      <w:r>
        <w:t xml:space="preserve"> </w:t>
      </w:r>
      <w:r>
        <w:t xml:space="preserve">Inherited systems bring inherited</w:t>
      </w:r>
      <w:r>
        <w:t xml:space="preserve"> </w:t>
      </w:r>
      <w:r>
        <w:rPr>
          <w:rStyle w:val="VerbatimChar"/>
        </w:rPr>
        <w:t xml:space="preserve">hlm_phase</w:t>
      </w:r>
      <w:r>
        <w:t xml:space="preserve"> </w:t>
      </w:r>
      <w:r>
        <w:t xml:space="preserve">values or absence thereof. Acquired classical-only estate without CBOM requires</w:t>
      </w:r>
      <w:r>
        <w:t xml:space="preserve"> </w:t>
      </w:r>
      <w:r>
        <w:rPr>
          <w:bCs/>
          <w:b/>
        </w:rPr>
        <w:t xml:space="preserve">100-day assessment</w:t>
      </w:r>
      <w:r>
        <w:t xml:space="preserve"> </w:t>
      </w:r>
      <w:r>
        <w:t xml:space="preserve">before merging into parent timeline overlay. Apex acquired a subsystem integrator with no PQC programme — parent overlay tagged acquired assets</w:t>
      </w:r>
      <w:r>
        <w:t xml:space="preserve"> </w:t>
      </w:r>
      <w:r>
        <w:t xml:space="preserve">“</w:t>
      </w:r>
      <w:r>
        <w:t xml:space="preserve">assessment required</w:t>
      </w:r>
      <w:r>
        <w:t xml:space="preserve">”</w:t>
      </w:r>
      <w:r>
        <w:t xml:space="preserve"> </w:t>
      </w:r>
      <w:r>
        <w:t xml:space="preserve">rather than inheriting false H3 claims from parent marketing.</w:t>
      </w:r>
    </w:p>
    <w:p>
      <w:pPr>
        <w:pStyle w:val="BodyText"/>
      </w:pPr>
      <w:r>
        <w:rPr>
          <w:bCs/>
          <w:b/>
        </w:rPr>
        <w:t xml:space="preserve">Divestiture:</w:t>
      </w:r>
      <w:r>
        <w:t xml:space="preserve"> </w:t>
      </w:r>
      <w:r>
        <w:t xml:space="preserve">Carve-out entities need standalone hybrid policy and timeline annex if they operate independent infrastructure. GlobalSync divested a regional subsidiary — cryptography policy forked with</w:t>
      </w:r>
      <w:r>
        <w:t xml:space="preserve"> </w:t>
      </w:r>
      <w:r>
        <w:rPr>
          <w:bCs/>
          <w:b/>
        </w:rPr>
        <w:t xml:space="preserve">12-month convergence clause</w:t>
      </w:r>
      <w:r>
        <w:t xml:space="preserve"> </w:t>
      </w:r>
      <w:r>
        <w:t xml:space="preserve">back to group baseline for shared platform components.</w:t>
      </w:r>
    </w:p>
    <w:p>
      <w:pPr>
        <w:pStyle w:val="BodyText"/>
      </w:pPr>
      <w:r>
        <w:rPr>
          <w:bCs/>
          <w:b/>
        </w:rPr>
        <w:t xml:space="preserve">Merger of equals:</w:t>
      </w:r>
      <w:r>
        <w:t xml:space="preserve"> </w:t>
      </w:r>
      <w:r>
        <w:t xml:space="preserve">Dual timeline policies merge through architecture board — not through whichever CISO presented first to the board.</w:t>
      </w:r>
    </w:p>
    <w:p>
      <w:r>
        <w:pict>
          <v:rect style="width:0;height:1.5pt" o:hralign="center" o:hrstd="t" o:hr="t"/>
        </w:pict>
      </w:r>
    </w:p>
    <w:bookmarkEnd w:id="84"/>
    <w:bookmarkStart w:id="85" w:name="document-control-and-policy-versioning"/>
    <w:p>
      <w:pPr>
        <w:pStyle w:val="Heading2"/>
      </w:pPr>
      <w:r>
        <w:t xml:space="preserve">5.33 Document Control and Policy Versioning</w:t>
      </w:r>
    </w:p>
    <w:p>
      <w:pPr>
        <w:pStyle w:val="FirstParagraph"/>
      </w:pPr>
      <w:r>
        <w:t xml:space="preserve">Hybrid and timeline policies require</w:t>
      </w:r>
      <w:r>
        <w:t xml:space="preserve"> </w:t>
      </w:r>
      <w:r>
        <w:rPr>
          <w:bCs/>
          <w:b/>
        </w:rPr>
        <w:t xml:space="preserve">version control</w:t>
      </w:r>
      <w:r>
        <w:t xml:space="preserve"> </w:t>
      </w:r>
      <w:r>
        <w:t xml:space="preserve">equivalent to production code:</w:t>
      </w:r>
    </w:p>
    <w:p>
      <w:pPr>
        <w:numPr>
          <w:ilvl w:val="0"/>
          <w:numId w:val="1014"/>
        </w:numPr>
        <w:pStyle w:val="Compact"/>
      </w:pPr>
      <w:r>
        <w:t xml:space="preserve">Policy version, approval date, and approver identity on every page</w:t>
      </w:r>
    </w:p>
    <w:p>
      <w:pPr>
        <w:numPr>
          <w:ilvl w:val="0"/>
          <w:numId w:val="1014"/>
        </w:numPr>
        <w:pStyle w:val="Compact"/>
      </w:pPr>
      <w:r>
        <w:t xml:space="preserve">Change log referencing triggering event (NIST publication, examination finding, M&amp;A)</w:t>
      </w:r>
    </w:p>
    <w:p>
      <w:pPr>
        <w:numPr>
          <w:ilvl w:val="0"/>
          <w:numId w:val="1014"/>
        </w:numPr>
        <w:pStyle w:val="Compact"/>
      </w:pPr>
      <w:r>
        <w:t xml:space="preserve">Superseded version retention for audit trail — minimum seven years for regulated entities</w:t>
      </w:r>
    </w:p>
    <w:p>
      <w:pPr>
        <w:numPr>
          <w:ilvl w:val="0"/>
          <w:numId w:val="1014"/>
        </w:numPr>
        <w:pStyle w:val="Compact"/>
      </w:pPr>
      <w:r>
        <w:t xml:space="preserve">Distribution list: steering committee, internal audit, procurement, PKI, OT security, legal</w:t>
      </w:r>
    </w:p>
    <w:p>
      <w:pPr>
        <w:pStyle w:val="FirstParagraph"/>
      </w:pPr>
      <w:r>
        <w:t xml:space="preserve">Meridian stored cryptography policy in the same GRC platform as DORA ICT risk policies — examiners received single-portal access. Version 3.1 (2026) added HLM CBOM attributes after internal audit walkthrough; version history demonstrated</w:t>
      </w:r>
      <w:r>
        <w:t xml:space="preserve"> </w:t>
      </w:r>
      <w:r>
        <w:rPr>
          <w:bCs/>
          <w:b/>
        </w:rPr>
        <w:t xml:space="preserve">responsive governance</w:t>
      </w:r>
      <w:r>
        <w:t xml:space="preserve">, not ad hoc reaction.</w:t>
      </w:r>
    </w:p>
    <w:p>
      <w:pPr>
        <w:pStyle w:val="BodyText"/>
      </w:pPr>
      <w:r>
        <w:t xml:space="preserve">GlobalSync published customer-facing cryptography statements with semantic versioning — tenants subscribed to change notifications when hybrid TLS status advanced from H1 to H2 on public API tiers.</w:t>
      </w:r>
    </w:p>
    <w:p>
      <w:r>
        <w:pict>
          <v:rect style="width:0;height:1.5pt" o:hralign="center" o:hrstd="t" o:hr="t"/>
        </w:pict>
      </w:r>
    </w:p>
    <w:bookmarkEnd w:id="85"/>
    <w:bookmarkStart w:id="86" w:name="chapter-summary"/>
    <w:p>
      <w:pPr>
        <w:pStyle w:val="Heading2"/>
      </w:pPr>
      <w:r>
        <w:t xml:space="preserve">5.34 Chapter Summary</w:t>
      </w:r>
    </w:p>
    <w:p>
      <w:pPr>
        <w:numPr>
          <w:ilvl w:val="0"/>
          <w:numId w:val="1015"/>
        </w:numPr>
        <w:pStyle w:val="Compact"/>
      </w:pPr>
      <w:r>
        <w:t xml:space="preserve">NIST IR 8547 (IPD) provides deprecation (post-2030) and disallowance (post-2035) anchors for quantum-vulnerable PKC — not enterprise migration schedules.</w:t>
      </w:r>
    </w:p>
    <w:p>
      <w:pPr>
        <w:numPr>
          <w:ilvl w:val="0"/>
          <w:numId w:val="1015"/>
        </w:numPr>
        <w:pStyle w:val="Compact"/>
      </w:pPr>
      <w:r>
        <w:t xml:space="preserve">CNSA 2.0 imposes more aggressive milestones for NSS and defence industrial base workloads.</w:t>
      </w:r>
    </w:p>
    <w:p>
      <w:pPr>
        <w:numPr>
          <w:ilvl w:val="0"/>
          <w:numId w:val="1015"/>
        </w:numPr>
        <w:pStyle w:val="Compact"/>
      </w:pPr>
      <w:r>
        <w:t xml:space="preserve">Internal timelines derive from CBOM, TRADE, CDG, and ecosystem readiness — aligned to, not copied from, external anchors.</w:t>
      </w:r>
    </w:p>
    <w:p>
      <w:pPr>
        <w:numPr>
          <w:ilvl w:val="0"/>
          <w:numId w:val="1015"/>
        </w:numPr>
        <w:pStyle w:val="Compact"/>
      </w:pPr>
      <w:r>
        <w:t xml:space="preserve">The Hybrid Lifecycle Model (H1 Protective → H2 Transitional → H3 PQC-Native) governs interim hybrids with explicit exit criteria.</w:t>
      </w:r>
    </w:p>
    <w:p>
      <w:pPr>
        <w:numPr>
          <w:ilvl w:val="0"/>
          <w:numId w:val="1015"/>
        </w:numPr>
        <w:pStyle w:val="Compact"/>
      </w:pPr>
      <w:r>
        <w:t xml:space="preserve">Hybrid policy must specify approved constructions, phase assignment, classical sunset, and exception governance.</w:t>
      </w:r>
    </w:p>
    <w:p>
      <w:pPr>
        <w:numPr>
          <w:ilvl w:val="0"/>
          <w:numId w:val="1015"/>
        </w:numPr>
        <w:pStyle w:val="Compact"/>
      </w:pPr>
      <w:r>
        <w:t xml:space="preserve">Multinational enterprises use one programme with jurisdiction annotations — not parallel policies.</w:t>
      </w:r>
    </w:p>
    <w:p>
      <w:pPr>
        <w:numPr>
          <w:ilvl w:val="0"/>
          <w:numId w:val="1015"/>
        </w:numPr>
        <w:pStyle w:val="Compact"/>
      </w:pPr>
      <w:r>
        <w:t xml:space="preserve">DORA and EU frameworks require credible timeline evidence linked to risk assessment — not algorithm expertise.</w:t>
      </w:r>
    </w:p>
    <w:p>
      <w:pPr>
        <w:numPr>
          <w:ilvl w:val="0"/>
          <w:numId w:val="1015"/>
        </w:numPr>
        <w:pStyle w:val="Compact"/>
      </w:pPr>
      <w:r>
        <w:t xml:space="preserve">Five-year phase models communicate programme intent without false per-system date precision.</w:t>
      </w:r>
    </w:p>
    <w:p>
      <w:pPr>
        <w:numPr>
          <w:ilvl w:val="0"/>
          <w:numId w:val="1015"/>
        </w:numPr>
        <w:pStyle w:val="Compact"/>
      </w:pPr>
      <w:r>
        <w:t xml:space="preserve">Timeline policy credibility depends on CBOM maturity — ranges before baseline, commitments after.</w:t>
      </w:r>
    </w:p>
    <w:p>
      <w:pPr>
        <w:numPr>
          <w:ilvl w:val="0"/>
          <w:numId w:val="1015"/>
        </w:numPr>
        <w:pStyle w:val="Compact"/>
      </w:pPr>
      <w:r>
        <w:t xml:space="preserve">M&amp;A and divestiture require timeline overlay reassessment within 100 days of estate change.</w:t>
      </w:r>
    </w:p>
    <w:p>
      <w:pPr>
        <w:pStyle w:val="FirstParagraph"/>
      </w:pPr>
      <w:r>
        <w:rPr>
          <w:bCs/>
          <w:b/>
        </w:rPr>
        <w:t xml:space="preserve">Closing note:</w:t>
      </w:r>
      <w:r>
        <w:t xml:space="preserve"> </w:t>
      </w:r>
      <w:r>
        <w:t xml:space="preserve">Hybrid policy without sunset criteria is permanent complexity. Timeline anchors without CBOM backing is policy theatre. The Hybrid Lifecycle Model connects both — transitional cryptography with measurable exits, aligned to external milestones the board and regulators recognise.</w:t>
      </w:r>
    </w:p>
    <w:p>
      <w:pPr>
        <w:pStyle w:val="BodyText"/>
      </w:pPr>
      <w:r>
        <w:rPr>
          <w:bCs/>
          <w:b/>
        </w:rPr>
        <w:t xml:space="preserve">Next:</w:t>
      </w:r>
      <w:r>
        <w:t xml:space="preserve"> </w:t>
      </w:r>
      <w:r>
        <w:t xml:space="preserve">Chapter 6 addresses deployments where FIPS 204 and 205 do not cleanly fit: firmware signing, embedded systems, and stateful hash-based signatures under SP 800-208.</w:t>
      </w:r>
    </w:p>
    <w:p>
      <w:r>
        <w:pict>
          <v:rect style="width:0;height:1.5pt" o:hralign="center" o:hrstd="t" o:hr="t"/>
        </w:pict>
      </w:r>
    </w:p>
    <w:p>
      <w:pPr>
        <w:pStyle w:val="FirstParagraph"/>
      </w:pPr>
      <w:r>
        <w:rPr>
          <w:iCs/>
          <w:i/>
        </w:rPr>
        <w:t xml:space="preserve">Chapter 5 — References</w:t>
      </w:r>
    </w:p>
    <w:p>
      <w:pPr>
        <w:numPr>
          <w:ilvl w:val="0"/>
          <w:numId w:val="1016"/>
        </w:numPr>
        <w:pStyle w:val="Compact"/>
      </w:pPr>
      <w:r>
        <w:t xml:space="preserve">Campbell, R. (2025). Enterprise migration to post-quantum cryptography: Timeline analysis and strategic frameworks.</w:t>
      </w:r>
      <w:r>
        <w:t xml:space="preserve"> </w:t>
      </w:r>
      <w:r>
        <w:rPr>
          <w:iCs/>
          <w:i/>
        </w:rPr>
        <w:t xml:space="preserve">Computers</w:t>
      </w:r>
      <w:r>
        <w:t xml:space="preserve">, 15(1), 9. https://doi.org/10.3390/computers15010009</w:t>
      </w:r>
    </w:p>
    <w:p>
      <w:pPr>
        <w:numPr>
          <w:ilvl w:val="0"/>
          <w:numId w:val="1016"/>
        </w:numPr>
        <w:pStyle w:val="Compact"/>
      </w:pPr>
      <w:r>
        <w:t xml:space="preserve">Commission Delegated Regulation (EU) 2024/1532 of 19 October 2024 supplementing Regulation (EU) 2022/2554 (DORA RTS).</w:t>
      </w:r>
      <w:r>
        <w:t xml:space="preserve"> </w:t>
      </w:r>
      <w:r>
        <w:rPr>
          <w:iCs/>
          <w:i/>
        </w:rPr>
        <w:t xml:space="preserve">Official Journal of the European Union</w:t>
      </w:r>
      <w:r>
        <w:t xml:space="preserve">, L 2024/1532.</w:t>
      </w:r>
    </w:p>
    <w:p>
      <w:pPr>
        <w:numPr>
          <w:ilvl w:val="0"/>
          <w:numId w:val="1016"/>
        </w:numPr>
        <w:pStyle w:val="Compact"/>
      </w:pPr>
      <w:r>
        <w:t xml:space="preserve">European Union Agency for Cybersecurity. (2025).</w:t>
      </w:r>
      <w:r>
        <w:t xml:space="preserve"> </w:t>
      </w:r>
      <w:r>
        <w:rPr>
          <w:iCs/>
          <w:i/>
        </w:rPr>
        <w:t xml:space="preserve">NIS2 implementation guidance</w:t>
      </w:r>
      <w:r>
        <w:t xml:space="preserve">. https://www.enisa.europa.eu/</w:t>
      </w:r>
    </w:p>
    <w:p>
      <w:pPr>
        <w:numPr>
          <w:ilvl w:val="0"/>
          <w:numId w:val="1016"/>
        </w:numPr>
        <w:pStyle w:val="Compact"/>
      </w:pPr>
      <w:r>
        <w:t xml:space="preserve">National Institute of Standards and Technology. (2020). NIST SP 800-131A: Transitioning the use of cryptographic algorithms and key lengths. https://doi.org/10.6028/NIST.SP.800-131A</w:t>
      </w:r>
    </w:p>
    <w:p>
      <w:pPr>
        <w:numPr>
          <w:ilvl w:val="0"/>
          <w:numId w:val="1016"/>
        </w:numPr>
        <w:pStyle w:val="Compact"/>
      </w:pPr>
      <w:r>
        <w:t xml:space="preserve">National Institute of Standards and Technology. (2024). NIST IR 8547 (Initial Public Draft): Transition to post-quantum cryptography standards. https://doi.org/10.6028/NIST.IR.8547.ipd</w:t>
      </w:r>
    </w:p>
    <w:p>
      <w:pPr>
        <w:numPr>
          <w:ilvl w:val="0"/>
          <w:numId w:val="1016"/>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016"/>
        </w:numPr>
        <w:pStyle w:val="Compact"/>
      </w:pPr>
      <w:r>
        <w:t xml:space="preserve">National Security Memorandum 10 (2022). The White House.</w:t>
      </w:r>
    </w:p>
    <w:p>
      <w:pPr>
        <w:numPr>
          <w:ilvl w:val="0"/>
          <w:numId w:val="1016"/>
        </w:numPr>
        <w:pStyle w:val="Compact"/>
      </w:pPr>
      <w:r>
        <w:t xml:space="preserve">National Cyber Security Centre. (2024).</w:t>
      </w:r>
      <w:r>
        <w:t xml:space="preserve"> </w:t>
      </w:r>
      <w:r>
        <w:rPr>
          <w:iCs/>
          <w:i/>
        </w:rPr>
        <w:t xml:space="preserve">Quantum-safe cryptography: Migration planning guidance</w:t>
      </w:r>
      <w:r>
        <w:t xml:space="preserve">. UK Government.</w:t>
      </w:r>
    </w:p>
    <w:p>
      <w:pPr>
        <w:numPr>
          <w:ilvl w:val="0"/>
          <w:numId w:val="1016"/>
        </w:numPr>
        <w:pStyle w:val="Compact"/>
      </w:pPr>
      <w:r>
        <w:t xml:space="preserve">Australian Signals Directorate. (2024).</w:t>
      </w:r>
      <w:r>
        <w:t xml:space="preserve"> </w:t>
      </w:r>
      <w:r>
        <w:rPr>
          <w:iCs/>
          <w:i/>
        </w:rPr>
        <w:t xml:space="preserve">Post-quantum cryptography guidance</w:t>
      </w:r>
      <w:r>
        <w:t xml:space="preserve">. Australian Government.</w:t>
      </w:r>
    </w:p>
    <w:p>
      <w:r>
        <w:pict>
          <v:rect style="width:0;height:1.5pt" o:hralign="center" o:hrstd="t" o:hr="t"/>
        </w:pict>
      </w:r>
    </w:p>
    <w:p>
      <w:pPr>
        <w:pStyle w:val="FirstParagraph"/>
      </w:pPr>
      <w:r>
        <w:rPr>
          <w:iCs/>
          <w:i/>
        </w:rPr>
        <w:t xml:space="preserve">Proceed to Chapter 6: Stateful Signatures, Firmware, and Special Cases.</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2026-06-12T10:03:13Z</dcterms:created>
  <dcterms:modified xsi:type="dcterms:W3CDTF">2026-06-12T10:03:13Z</dcterms:modified>
</cp:coreProperties>
</file>

<file path=docProps/custom.xml><?xml version="1.0" encoding="utf-8"?>
<Properties xmlns="http://schemas.openxmlformats.org/officeDocument/2006/custom-properties" xmlns:vt="http://schemas.openxmlformats.org/officeDocument/2006/docPropsVTypes"/>
</file>