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8"/>
    <w:p>
      <w:pPr>
        <w:pStyle w:val="Heading1"/>
      </w:pPr>
      <w:r>
        <w:t xml:space="preserve">Chapter 8</w:t>
      </w:r>
    </w:p>
    <w:bookmarkEnd w:id="20"/>
    <w:bookmarkStart w:id="94" w:name="the-cryptographic-dependency-graph"/>
    <w:p>
      <w:pPr>
        <w:pStyle w:val="Heading1"/>
      </w:pPr>
      <w:r>
        <w:t xml:space="preserve">The Cryptographic Dependency Graph</w:t>
      </w:r>
    </w:p>
    <w:p>
      <w:r>
        <w:pict>
          <v:rect style="width:0;height:1.5pt" o:hralign="center" o:hrstd="t" o:hr="t"/>
        </w:pict>
      </w:r>
    </w:p>
    <w:p>
      <w:pPr>
        <w:pStyle w:val="FirstParagraph"/>
      </w:pPr>
      <w:r>
        <w:t xml:space="preserve">Marcus Chen’s platform team shipped hybrid TLS in staging fourteen times in 2026. Each deployment passed security review. Each failed partner integration testing. The partner API gateway accepted hybrid server certificates — but</w:t>
      </w:r>
      <w:r>
        <w:t xml:space="preserve"> </w:t>
      </w:r>
      <w:r>
        <w:rPr>
          <w:bCs/>
          <w:b/>
        </w:rPr>
        <w:t xml:space="preserve">partner client certificates</w:t>
      </w:r>
      <w:r>
        <w:t xml:space="preserve"> </w:t>
      </w:r>
      <w:r>
        <w:t xml:space="preserve">remained chained to a classical root policy that rejected ML-DSA profiles. Marcus had a CBOM listing 200 client certificates. He did not have a graph showing they shared one policy node until enterprise architecture completed CDG Phase B.</w:t>
      </w:r>
    </w:p>
    <w:p>
      <w:pPr>
        <w:pStyle w:val="BodyText"/>
      </w:pPr>
      <w:r>
        <w:t xml:space="preserve">The CDG made the failure pattern obvious: one blocking node, two hundred edges, zero production migrations until Wave 0 resolved partner trust. This chapter teaches readers to build that graph before spending engineering cycles on locally correct, globally blocked work.</w:t>
      </w:r>
    </w:p>
    <w:p>
      <w:r>
        <w:pict>
          <v:rect style="width:0;height:1.5pt" o:hralign="center" o:hrstd="t" o:hr="t"/>
        </w:pict>
      </w:r>
    </w:p>
    <w:bookmarkStart w:id="21" w:name="why-a-cbom-is-not-enough"/>
    <w:p>
      <w:pPr>
        <w:pStyle w:val="Heading2"/>
      </w:pPr>
      <w:r>
        <w:t xml:space="preserve">8.1 Why a CBOM Is Not Enough</w:t>
      </w:r>
    </w:p>
    <w:p>
      <w:pPr>
        <w:pStyle w:val="FirstParagraph"/>
      </w:pPr>
      <w:r>
        <w:t xml:space="preserve">Chapter 7 produced a</w:t>
      </w:r>
      <w:r>
        <w:t xml:space="preserve"> </w:t>
      </w:r>
      <w:r>
        <w:rPr>
          <w:bCs/>
          <w:b/>
        </w:rPr>
        <w:t xml:space="preserve">Cryptographic Bill of Materials</w:t>
      </w:r>
      <w:r>
        <w:t xml:space="preserve"> </w:t>
      </w:r>
      <w:r>
        <w:t xml:space="preserve">— an inventory of components and attributes. Inventory answers</w:t>
      </w:r>
      <w:r>
        <w:t xml:space="preserve"> </w:t>
      </w:r>
      <w:r>
        <w:rPr>
          <w:iCs/>
          <w:i/>
        </w:rPr>
        <w:t xml:space="preserve">what exists</w:t>
      </w:r>
      <w:r>
        <w:t xml:space="preserve">. It does not answer</w:t>
      </w:r>
      <w:r>
        <w:t xml:space="preserve"> </w:t>
      </w:r>
      <w:r>
        <w:rPr>
          <w:iCs/>
          <w:i/>
        </w:rPr>
        <w:t xml:space="preserve">what breaks if we change this</w:t>
      </w:r>
      <w:r>
        <w:t xml:space="preserve">.</w:t>
      </w:r>
    </w:p>
    <w:p>
      <w:pPr>
        <w:pStyle w:val="BodyText"/>
      </w:pPr>
      <w:r>
        <w:t xml:space="preserve">Meridian’s Phase 1 CBOM listed</w:t>
      </w:r>
      <w:r>
        <w:t xml:space="preserve"> </w:t>
      </w:r>
      <w:r>
        <w:rPr>
          <w:bCs/>
          <w:b/>
        </w:rPr>
        <w:t xml:space="preserve">14,200</w:t>
      </w:r>
      <w:r>
        <w:t xml:space="preserve"> </w:t>
      </w:r>
      <w:r>
        <w:t xml:space="preserve">cryptographic components. The programme office asked a simple question:</w:t>
      </w:r>
      <w:r>
        <w:t xml:space="preserve"> </w:t>
      </w:r>
      <w:r>
        <w:rPr>
          <w:iCs/>
          <w:i/>
        </w:rPr>
        <w:t xml:space="preserve">If we rotate the payment HSM’s firmware signing key to a hybrid scheme next quarter, what stops working?</w:t>
      </w:r>
      <w:r>
        <w:t xml:space="preserve"> </w:t>
      </w:r>
      <w:r>
        <w:t xml:space="preserve">The CBOM alone could not answer. The HSM appeared as one row. The dependency chain — manufacturing CA, code-signing policy, CI pipeline attestations, retail terminal trust stores, partner webhook verification — lived in engineers’ heads, wiki pages, and ticket comments.</w:t>
      </w:r>
    </w:p>
    <w:p>
      <w:pPr>
        <w:pStyle w:val="BodyText"/>
      </w:pPr>
      <w:r>
        <w:rPr>
          <w:bCs/>
          <w:b/>
        </w:rPr>
        <w:t xml:space="preserve">Cryptographic Dependency Graph (CDG)</w:t>
      </w:r>
      <w:r>
        <w:t xml:space="preserve"> </w:t>
      </w:r>
      <w:r>
        <w:t xml:space="preserve">is the structured model that connects inventory to consequence. It is the bridge between Register and Decide in ARCS: once you know</w:t>
      </w:r>
      <w:r>
        <w:t xml:space="preserve"> </w:t>
      </w:r>
      <w:r>
        <w:rPr>
          <w:iCs/>
          <w:i/>
        </w:rPr>
        <w:t xml:space="preserve">what</w:t>
      </w:r>
      <w:r>
        <w:t xml:space="preserve"> </w:t>
      </w:r>
      <w:r>
        <w:t xml:space="preserve">you have, you must know</w:t>
      </w:r>
      <w:r>
        <w:t xml:space="preserve"> </w:t>
      </w:r>
      <w:r>
        <w:rPr>
          <w:iCs/>
          <w:i/>
        </w:rPr>
        <w:t xml:space="preserve">how it connects</w:t>
      </w:r>
      <w:r>
        <w:t xml:space="preserve"> </w:t>
      </w:r>
      <w:r>
        <w:t xml:space="preserve">before you can prioritise waves.</w:t>
      </w:r>
    </w:p>
    <w:p>
      <w:pPr>
        <w:pStyle w:val="BlockText"/>
      </w:pPr>
      <w:r>
        <w:rPr>
          <w:bCs/>
          <w:b/>
        </w:rPr>
        <w:t xml:space="preserve">Architect’s Decision</w:t>
      </w:r>
      <w:r>
        <w:br/>
      </w:r>
      <w:r>
        <w:rPr>
          <w:bCs/>
          <w:b/>
        </w:rPr>
        <w:t xml:space="preserve">Build the CDG from CBOM rows, not from architecture diagrams alone.</w:t>
      </w:r>
      <w:r>
        <w:t xml:space="preserve"> </w:t>
      </w:r>
      <w:r>
        <w:t xml:space="preserve">Diagrams show intent; CDG shows operational trust. Start with high-MPI CBOM entries and expand edges until blocking behaviour is visible.</w:t>
      </w:r>
    </w:p>
    <w:p>
      <w:r>
        <w:pict>
          <v:rect style="width:0;height:1.5pt" o:hralign="center" o:hrstd="t" o:hr="t"/>
        </w:pict>
      </w:r>
    </w:p>
    <w:bookmarkEnd w:id="21"/>
    <w:bookmarkStart w:id="24" w:name="cdg-definition"/>
    <w:p>
      <w:pPr>
        <w:pStyle w:val="Heading2"/>
      </w:pPr>
      <w:r>
        <w:t xml:space="preserve">8.2 CDG Definition</w:t>
      </w:r>
    </w:p>
    <w:p>
      <w:pPr>
        <w:pStyle w:val="FirstParagraph"/>
      </w:pPr>
      <w:r>
        <w:t xml:space="preserve">A</w:t>
      </w:r>
      <w:r>
        <w:t xml:space="preserve"> </w:t>
      </w:r>
      <w:r>
        <w:rPr>
          <w:bCs/>
          <w:b/>
        </w:rPr>
        <w:t xml:space="preserve">Cryptographic Dependency Graph</w:t>
      </w:r>
      <w:r>
        <w:t xml:space="preserve"> </w:t>
      </w:r>
      <w:r>
        <w:t xml:space="preserve">is a directed graph</w:t>
      </w:r>
      <w:r>
        <w:t xml:space="preserve"> </w:t>
      </w:r>
      <w:r>
        <w:rPr>
          <w:bCs/>
          <w:b/>
        </w:rPr>
        <w:t xml:space="preserve">G = (V, E)</w:t>
      </w:r>
      <w:r>
        <w:t xml:space="preserve"> </w:t>
      </w:r>
      <w:r>
        <w:t xml:space="preserve">where:</w:t>
      </w:r>
    </w:p>
    <w:p>
      <w:pPr>
        <w:numPr>
          <w:ilvl w:val="0"/>
          <w:numId w:val="1001"/>
        </w:numPr>
        <w:pStyle w:val="Compact"/>
      </w:pPr>
      <w:r>
        <w:rPr>
          <w:bCs/>
          <w:b/>
        </w:rPr>
        <w:t xml:space="preserve">V (vertices / nodes)</w:t>
      </w:r>
      <w:r>
        <w:t xml:space="preserve"> </w:t>
      </w:r>
      <w:r>
        <w:t xml:space="preserve">represent cryptographic</w:t>
      </w:r>
      <w:r>
        <w:t xml:space="preserve"> </w:t>
      </w:r>
      <w:r>
        <w:rPr>
          <w:iCs/>
          <w:i/>
        </w:rPr>
        <w:t xml:space="preserve">roles</w:t>
      </w:r>
      <w:r>
        <w:t xml:space="preserve"> </w:t>
      </w:r>
      <w:r>
        <w:t xml:space="preserve">or</w:t>
      </w:r>
      <w:r>
        <w:t xml:space="preserve"> </w:t>
      </w:r>
      <w:r>
        <w:rPr>
          <w:iCs/>
          <w:i/>
        </w:rPr>
        <w:t xml:space="preserve">artefacts</w:t>
      </w:r>
      <w:r>
        <w:t xml:space="preserve"> </w:t>
      </w:r>
      <w:r>
        <w:t xml:space="preserve">— not always 1:1 with CBOM rows. A single CBOM component may map to multiple nodes (e.g.,</w:t>
      </w:r>
      <w:r>
        <w:t xml:space="preserve"> </w:t>
      </w:r>
      <w:r>
        <w:t xml:space="preserve">“</w:t>
      </w:r>
      <w:r>
        <w:t xml:space="preserve">TLS terminator</w:t>
      </w:r>
      <w:r>
        <w:t xml:space="preserve">”</w:t>
      </w:r>
      <w:r>
        <w:t xml:space="preserve"> </w:t>
      </w:r>
      <w:r>
        <w:t xml:space="preserve">and</w:t>
      </w:r>
      <w:r>
        <w:t xml:space="preserve"> </w:t>
      </w:r>
      <w:r>
        <w:t xml:space="preserve">“</w:t>
      </w:r>
      <w:r>
        <w:t xml:space="preserve">client cert issuer</w:t>
      </w:r>
      <w:r>
        <w:t xml:space="preserve">”</w:t>
      </w:r>
      <w:r>
        <w:t xml:space="preserve"> </w:t>
      </w:r>
      <w:r>
        <w:t xml:space="preserve">are distinct roles).</w:t>
      </w:r>
    </w:p>
    <w:p>
      <w:pPr>
        <w:numPr>
          <w:ilvl w:val="0"/>
          <w:numId w:val="1001"/>
        </w:numPr>
        <w:pStyle w:val="Compact"/>
      </w:pPr>
      <w:r>
        <w:rPr>
          <w:bCs/>
          <w:b/>
        </w:rPr>
        <w:t xml:space="preserve">E (edges)</w:t>
      </w:r>
      <w:r>
        <w:t xml:space="preserve"> </w:t>
      </w:r>
      <w:r>
        <w:t xml:space="preserve">represent</w:t>
      </w:r>
      <w:r>
        <w:t xml:space="preserve"> </w:t>
      </w:r>
      <w:r>
        <w:rPr>
          <w:iCs/>
          <w:i/>
        </w:rPr>
        <w:t xml:space="preserve">cryptographic relationships</w:t>
      </w:r>
      <w:r>
        <w:t xml:space="preserve"> </w:t>
      </w:r>
      <w:r>
        <w:t xml:space="preserve">with typed semantics.</w:t>
      </w:r>
    </w:p>
    <w:bookmarkStart w:id="22" w:name="node-types"/>
    <w:p>
      <w:pPr>
        <w:pStyle w:val="Heading3"/>
      </w:pPr>
      <w:r>
        <w:t xml:space="preserve">8.2.1 Node types</w:t>
      </w:r>
    </w:p>
    <w:tbl>
      <w:tblPr>
        <w:tblStyle w:val="Table"/>
        <w:tblW w:type="pct" w:w="5000"/>
        <w:tblLook w:firstRow="1" w:lastRow="0" w:firstColumn="0" w:lastColumn="0" w:noHBand="0" w:noVBand="0" w:val="0020"/>
        <w:jc w:val="start"/>
      </w:tblPr>
      <w:tblGrid>
        <w:gridCol w:w="2640"/>
        <w:gridCol w:w="3120"/>
        <w:gridCol w:w="2160"/>
      </w:tblGrid>
      <w:tr>
        <w:trPr>
          <w:tblHeader w:val="true"/>
        </w:trPr>
        <w:tc>
          <w:tcPr/>
          <w:p>
            <w:pPr>
              <w:pStyle w:val="Compact"/>
              <w:jc w:val="left"/>
            </w:pPr>
            <w:r>
              <w:t xml:space="preserve">Node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bCs/>
                <w:b/>
              </w:rPr>
              <w:t xml:space="preserve">Key</w:t>
            </w:r>
          </w:p>
        </w:tc>
        <w:tc>
          <w:tcPr/>
          <w:p>
            <w:pPr>
              <w:pStyle w:val="Compact"/>
              <w:jc w:val="left"/>
            </w:pPr>
            <w:r>
              <w:t xml:space="preserve">Symmetric or asymmetric key material</w:t>
            </w:r>
          </w:p>
        </w:tc>
        <w:tc>
          <w:tcPr/>
          <w:p>
            <w:pPr>
              <w:pStyle w:val="Compact"/>
              <w:jc w:val="left"/>
            </w:pPr>
            <w:r>
              <w:t xml:space="preserve">AES-256 data key; RSA-2048 signing key</w:t>
            </w:r>
          </w:p>
        </w:tc>
      </w:tr>
      <w:tr>
        <w:tc>
          <w:tcPr/>
          <w:p>
            <w:pPr>
              <w:pStyle w:val="Compact"/>
              <w:jc w:val="left"/>
            </w:pPr>
            <w:r>
              <w:rPr>
                <w:bCs/>
                <w:b/>
              </w:rPr>
              <w:t xml:space="preserve">Certificate</w:t>
            </w:r>
          </w:p>
        </w:tc>
        <w:tc>
          <w:tcPr/>
          <w:p>
            <w:pPr>
              <w:pStyle w:val="Compact"/>
              <w:jc w:val="left"/>
            </w:pPr>
            <w:r>
              <w:t xml:space="preserve">X.509 or CMS cert binding identity to key</w:t>
            </w:r>
          </w:p>
        </w:tc>
        <w:tc>
          <w:tcPr/>
          <w:p>
            <w:pPr>
              <w:pStyle w:val="Compact"/>
              <w:jc w:val="left"/>
            </w:pPr>
            <w:r>
              <w:t xml:space="preserve">Partner mTLS client cert</w:t>
            </w:r>
          </w:p>
        </w:tc>
      </w:tr>
      <w:tr>
        <w:tc>
          <w:tcPr/>
          <w:p>
            <w:pPr>
              <w:pStyle w:val="Compact"/>
              <w:jc w:val="left"/>
            </w:pPr>
            <w:r>
              <w:rPr>
                <w:bCs/>
                <w:b/>
              </w:rPr>
              <w:t xml:space="preserve">Algorithm</w:t>
            </w:r>
          </w:p>
        </w:tc>
        <w:tc>
          <w:tcPr/>
          <w:p>
            <w:pPr>
              <w:pStyle w:val="Compact"/>
              <w:jc w:val="left"/>
            </w:pPr>
            <w:r>
              <w:t xml:space="preserve">Named primitive + parameters</w:t>
            </w:r>
          </w:p>
        </w:tc>
        <w:tc>
          <w:tcPr/>
          <w:p>
            <w:pPr>
              <w:pStyle w:val="Compact"/>
              <w:jc w:val="left"/>
            </w:pPr>
            <w:r>
              <w:t xml:space="preserve">ECDSA P-256; ML-KEM-768</w:t>
            </w:r>
          </w:p>
        </w:tc>
      </w:tr>
      <w:tr>
        <w:tc>
          <w:tcPr/>
          <w:p>
            <w:pPr>
              <w:pStyle w:val="Compact"/>
              <w:jc w:val="left"/>
            </w:pPr>
            <w:r>
              <w:rPr>
                <w:bCs/>
                <w:b/>
              </w:rPr>
              <w:t xml:space="preserve">Protocol</w:t>
            </w:r>
          </w:p>
        </w:tc>
        <w:tc>
          <w:tcPr/>
          <w:p>
            <w:pPr>
              <w:pStyle w:val="Compact"/>
              <w:jc w:val="left"/>
            </w:pPr>
            <w:r>
              <w:t xml:space="preserve">Negotiated crypto in a channel</w:t>
            </w:r>
          </w:p>
        </w:tc>
        <w:tc>
          <w:tcPr/>
          <w:p>
            <w:pPr>
              <w:pStyle w:val="Compact"/>
              <w:jc w:val="left"/>
            </w:pPr>
            <w:r>
              <w:t xml:space="preserve">TLS 1.2; SSH; IPsec IKEv2</w:t>
            </w:r>
          </w:p>
        </w:tc>
      </w:tr>
      <w:tr>
        <w:tc>
          <w:tcPr/>
          <w:p>
            <w:pPr>
              <w:pStyle w:val="Compact"/>
              <w:jc w:val="left"/>
            </w:pPr>
            <w:r>
              <w:rPr>
                <w:bCs/>
                <w:b/>
              </w:rPr>
              <w:t xml:space="preserve">Trust anchor</w:t>
            </w:r>
          </w:p>
        </w:tc>
        <w:tc>
          <w:tcPr/>
          <w:p>
            <w:pPr>
              <w:pStyle w:val="Compact"/>
              <w:jc w:val="left"/>
            </w:pPr>
            <w:r>
              <w:t xml:space="preserve">Root or policy root accepted without further chain</w:t>
            </w:r>
          </w:p>
        </w:tc>
        <w:tc>
          <w:tcPr/>
          <w:p>
            <w:pPr>
              <w:pStyle w:val="Compact"/>
              <w:jc w:val="left"/>
            </w:pPr>
            <w:r>
              <w:t xml:space="preserve">Public Web PKI root; private manufacturing CA</w:t>
            </w:r>
          </w:p>
        </w:tc>
      </w:tr>
      <w:tr>
        <w:tc>
          <w:tcPr/>
          <w:p>
            <w:pPr>
              <w:pStyle w:val="Compact"/>
              <w:jc w:val="left"/>
            </w:pPr>
            <w:r>
              <w:rPr>
                <w:bCs/>
                <w:b/>
              </w:rPr>
              <w:t xml:space="preserve">HSM / KMS</w:t>
            </w:r>
          </w:p>
        </w:tc>
        <w:tc>
          <w:tcPr/>
          <w:p>
            <w:pPr>
              <w:pStyle w:val="Compact"/>
              <w:jc w:val="left"/>
            </w:pPr>
            <w:r>
              <w:t xml:space="preserve">Hardware or cloud key custody</w:t>
            </w:r>
          </w:p>
        </w:tc>
        <w:tc>
          <w:tcPr/>
          <w:p>
            <w:pPr>
              <w:pStyle w:val="Compact"/>
              <w:jc w:val="left"/>
            </w:pPr>
            <w:r>
              <w:t xml:space="preserve">Payment HSM; Cloud KMS CMK</w:t>
            </w:r>
          </w:p>
        </w:tc>
      </w:tr>
      <w:tr>
        <w:tc>
          <w:tcPr/>
          <w:p>
            <w:pPr>
              <w:pStyle w:val="Compact"/>
              <w:jc w:val="left"/>
            </w:pPr>
            <w:r>
              <w:rPr>
                <w:bCs/>
                <w:b/>
              </w:rPr>
              <w:t xml:space="preserve">Firmware / image</w:t>
            </w:r>
          </w:p>
        </w:tc>
        <w:tc>
          <w:tcPr/>
          <w:p>
            <w:pPr>
              <w:pStyle w:val="Compact"/>
              <w:jc w:val="left"/>
            </w:pPr>
            <w:r>
              <w:t xml:space="preserve">Signed artefact verified at boot or load</w:t>
            </w:r>
          </w:p>
        </w:tc>
        <w:tc>
          <w:tcPr/>
          <w:p>
            <w:pPr>
              <w:pStyle w:val="Compact"/>
              <w:jc w:val="left"/>
            </w:pPr>
            <w:r>
              <w:t xml:space="preserve">POS terminal firmware</w:t>
            </w:r>
          </w:p>
        </w:tc>
      </w:tr>
      <w:tr>
        <w:tc>
          <w:tcPr/>
          <w:p>
            <w:pPr>
              <w:pStyle w:val="Compact"/>
              <w:jc w:val="left"/>
            </w:pPr>
            <w:r>
              <w:rPr>
                <w:bCs/>
                <w:b/>
              </w:rPr>
              <w:t xml:space="preserve">Policy</w:t>
            </w:r>
          </w:p>
        </w:tc>
        <w:tc>
          <w:tcPr/>
          <w:p>
            <w:pPr>
              <w:pStyle w:val="Compact"/>
              <w:jc w:val="left"/>
            </w:pPr>
            <w:r>
              <w:t xml:space="preserve">Rule governing allowed algorithms or lifetimes</w:t>
            </w:r>
          </w:p>
        </w:tc>
        <w:tc>
          <w:tcPr/>
          <w:p>
            <w:pPr>
              <w:pStyle w:val="Compact"/>
              <w:jc w:val="left"/>
            </w:pPr>
            <w:r>
              <w:t xml:space="preserve">“</w:t>
            </w:r>
            <w:r>
              <w:t xml:space="preserve">TLS 1.2+ only</w:t>
            </w:r>
            <w:r>
              <w:t xml:space="preserve">”</w:t>
            </w:r>
            <w:r>
              <w:t xml:space="preserve">; FIPS mode</w:t>
            </w:r>
          </w:p>
        </w:tc>
      </w:tr>
    </w:tbl>
    <w:p>
      <w:pPr>
        <w:pStyle w:val="BodyText"/>
      </w:pPr>
      <w:r>
        <w:t xml:space="preserve">Nodes carry</w:t>
      </w:r>
      <w:r>
        <w:t xml:space="preserve"> </w:t>
      </w:r>
      <w:r>
        <w:rPr>
          <w:bCs/>
          <w:b/>
        </w:rPr>
        <w:t xml:space="preserve">attributes</w:t>
      </w:r>
      <w:r>
        <w:t xml:space="preserve"> </w:t>
      </w:r>
      <w:r>
        <w:t xml:space="preserve">inherited from CBOM where applicable:</w:t>
      </w:r>
      <w:r>
        <w:t xml:space="preserve"> </w:t>
      </w:r>
      <w:r>
        <w:rPr>
          <w:rStyle w:val="VerbatimChar"/>
        </w:rPr>
        <w:t xml:space="preserve">algorithm_family</w:t>
      </w:r>
      <w:r>
        <w:t xml:space="preserve">,</w:t>
      </w:r>
      <w:r>
        <w:t xml:space="preserve"> </w:t>
      </w:r>
      <w:r>
        <w:rPr>
          <w:rStyle w:val="VerbatimChar"/>
        </w:rPr>
        <w:t xml:space="preserve">key_size</w:t>
      </w:r>
      <w:r>
        <w:t xml:space="preserve">,</w:t>
      </w:r>
      <w:r>
        <w:t xml:space="preserve"> </w:t>
      </w:r>
      <w:r>
        <w:rPr>
          <w:rStyle w:val="VerbatimChar"/>
        </w:rPr>
        <w:t xml:space="preserve">hlm_phase</w:t>
      </w:r>
      <w:r>
        <w:t xml:space="preserve">,</w:t>
      </w:r>
      <w:r>
        <w:t xml:space="preserve"> </w:t>
      </w:r>
      <w:r>
        <w:rPr>
          <w:rStyle w:val="VerbatimChar"/>
        </w:rPr>
        <w:t xml:space="preserve">owner_team</w:t>
      </w:r>
      <w:r>
        <w:t xml:space="preserve">,</w:t>
      </w:r>
      <w:r>
        <w:t xml:space="preserve"> </w:t>
      </w:r>
      <w:r>
        <w:rPr>
          <w:rStyle w:val="VerbatimChar"/>
        </w:rPr>
        <w:t xml:space="preserve">environment</w:t>
      </w:r>
      <w:r>
        <w:t xml:space="preserve">,</w:t>
      </w:r>
      <w:r>
        <w:t xml:space="preserve"> </w:t>
      </w:r>
      <w:r>
        <w:rPr>
          <w:rStyle w:val="VerbatimChar"/>
        </w:rPr>
        <w:t xml:space="preserve">trade_mpi</w:t>
      </w:r>
      <w:r>
        <w:t xml:space="preserve"> </w:t>
      </w:r>
      <w:r>
        <w:t xml:space="preserve">(once scored in Chapter 9).</w:t>
      </w:r>
    </w:p>
    <w:bookmarkEnd w:id="22"/>
    <w:bookmarkStart w:id="23" w:name="edge-types"/>
    <w:p>
      <w:pPr>
        <w:pStyle w:val="Heading3"/>
      </w:pPr>
      <w:r>
        <w:t xml:space="preserve">8.2.2 Edge types</w:t>
      </w:r>
    </w:p>
    <w:tbl>
      <w:tblPr>
        <w:tblStyle w:val="Table"/>
        <w:tblW w:type="pct" w:w="5000"/>
        <w:tblLook w:firstRow="1" w:lastRow="0" w:firstColumn="0" w:lastColumn="0" w:noHBand="0" w:noVBand="0" w:val="0020"/>
        <w:jc w:val="start"/>
      </w:tblPr>
      <w:tblGrid>
        <w:gridCol w:w="2810"/>
        <w:gridCol w:w="2810"/>
        <w:gridCol w:w="2299"/>
      </w:tblGrid>
      <w:tr>
        <w:trPr>
          <w:tblHeader w:val="true"/>
        </w:trPr>
        <w:tc>
          <w:tcPr/>
          <w:p>
            <w:pPr>
              <w:pStyle w:val="Compact"/>
              <w:jc w:val="left"/>
            </w:pPr>
            <w:r>
              <w:t xml:space="preserve">Edge type</w:t>
            </w:r>
          </w:p>
        </w:tc>
        <w:tc>
          <w:tcPr/>
          <w:p>
            <w:pPr>
              <w:pStyle w:val="Compact"/>
              <w:jc w:val="left"/>
            </w:pPr>
            <w:r>
              <w:t xml:space="preserve">Semantics</w:t>
            </w:r>
          </w:p>
        </w:tc>
        <w:tc>
          <w:tcPr/>
          <w:p>
            <w:pPr>
              <w:pStyle w:val="Compact"/>
              <w:jc w:val="left"/>
            </w:pPr>
            <w:r>
              <w:t xml:space="preserve">Example</w:t>
            </w:r>
          </w:p>
        </w:tc>
      </w:tr>
      <w:tr>
        <w:tc>
          <w:tcPr/>
          <w:p>
            <w:pPr>
              <w:pStyle w:val="Compact"/>
              <w:jc w:val="left"/>
            </w:pPr>
            <w:r>
              <w:rPr>
                <w:bCs/>
                <w:b/>
              </w:rPr>
              <w:t xml:space="preserve">implements</w:t>
            </w:r>
          </w:p>
        </w:tc>
        <w:tc>
          <w:tcPr/>
          <w:p>
            <w:pPr>
              <w:pStyle w:val="Compact"/>
              <w:jc w:val="left"/>
            </w:pPr>
            <w:r>
              <w:t xml:space="preserve">Node realises algorithm or protocol</w:t>
            </w:r>
          </w:p>
        </w:tc>
        <w:tc>
          <w:tcPr/>
          <w:p>
            <w:pPr>
              <w:pStyle w:val="Compact"/>
              <w:jc w:val="left"/>
            </w:pPr>
            <w:r>
              <w:t xml:space="preserve">Key</w:t>
            </w:r>
            <w:r>
              <w:t xml:space="preserve"> </w:t>
            </w:r>
            <w:r>
              <w:rPr>
                <w:iCs/>
                <w:i/>
              </w:rPr>
              <w:t xml:space="preserve">implements</w:t>
            </w:r>
            <w:r>
              <w:t xml:space="preserve"> </w:t>
            </w:r>
            <w:r>
              <w:t xml:space="preserve">ECDSA P-256</w:t>
            </w:r>
          </w:p>
        </w:tc>
      </w:tr>
      <w:tr>
        <w:tc>
          <w:tcPr/>
          <w:p>
            <w:pPr>
              <w:pStyle w:val="Compact"/>
              <w:jc w:val="left"/>
            </w:pPr>
            <w:r>
              <w:rPr>
                <w:bCs/>
                <w:b/>
              </w:rPr>
              <w:t xml:space="preserve">trusts</w:t>
            </w:r>
          </w:p>
        </w:tc>
        <w:tc>
          <w:tcPr/>
          <w:p>
            <w:pPr>
              <w:pStyle w:val="Compact"/>
              <w:jc w:val="left"/>
            </w:pPr>
            <w:r>
              <w:t xml:space="preserve">Node accepts another as authoritative</w:t>
            </w:r>
          </w:p>
        </w:tc>
        <w:tc>
          <w:tcPr/>
          <w:p>
            <w:pPr>
              <w:pStyle w:val="Compact"/>
              <w:jc w:val="left"/>
            </w:pPr>
            <w:r>
              <w:t xml:space="preserve">App</w:t>
            </w:r>
            <w:r>
              <w:t xml:space="preserve"> </w:t>
            </w:r>
            <w:r>
              <w:rPr>
                <w:iCs/>
                <w:i/>
              </w:rPr>
              <w:t xml:space="preserve">trusts</w:t>
            </w:r>
            <w:r>
              <w:t xml:space="preserve"> </w:t>
            </w:r>
            <w:r>
              <w:t xml:space="preserve">trust anchor</w:t>
            </w:r>
          </w:p>
        </w:tc>
      </w:tr>
      <w:tr>
        <w:tc>
          <w:tcPr/>
          <w:p>
            <w:pPr>
              <w:pStyle w:val="Compact"/>
              <w:jc w:val="left"/>
            </w:pPr>
            <w:r>
              <w:rPr>
                <w:bCs/>
                <w:b/>
              </w:rPr>
              <w:t xml:space="preserve">terminates</w:t>
            </w:r>
          </w:p>
        </w:tc>
        <w:tc>
          <w:tcPr/>
          <w:p>
            <w:pPr>
              <w:pStyle w:val="Compact"/>
              <w:jc w:val="left"/>
            </w:pPr>
            <w:r>
              <w:t xml:space="preserve">Protocol endpoint uses keys/certs</w:t>
            </w:r>
          </w:p>
        </w:tc>
        <w:tc>
          <w:tcPr/>
          <w:p>
            <w:pPr>
              <w:pStyle w:val="Compact"/>
              <w:jc w:val="left"/>
            </w:pPr>
            <w:r>
              <w:t xml:space="preserve">Load balancer</w:t>
            </w:r>
            <w:r>
              <w:t xml:space="preserve"> </w:t>
            </w:r>
            <w:r>
              <w:rPr>
                <w:iCs/>
                <w:i/>
              </w:rPr>
              <w:t xml:space="preserve">terminates</w:t>
            </w:r>
            <w:r>
              <w:t xml:space="preserve"> </w:t>
            </w:r>
            <w:r>
              <w:t xml:space="preserve">TLS with cert chain</w:t>
            </w:r>
          </w:p>
        </w:tc>
      </w:tr>
      <w:tr>
        <w:tc>
          <w:tcPr/>
          <w:p>
            <w:pPr>
              <w:pStyle w:val="Compact"/>
              <w:jc w:val="left"/>
            </w:pPr>
            <w:r>
              <w:rPr>
                <w:bCs/>
                <w:b/>
              </w:rPr>
              <w:t xml:space="preserve">signs</w:t>
            </w:r>
          </w:p>
        </w:tc>
        <w:tc>
          <w:tcPr/>
          <w:p>
            <w:pPr>
              <w:pStyle w:val="Compact"/>
              <w:jc w:val="left"/>
            </w:pPr>
            <w:r>
              <w:t xml:space="preserve">Parent cryptographically attests child</w:t>
            </w:r>
          </w:p>
        </w:tc>
        <w:tc>
          <w:tcPr/>
          <w:p>
            <w:pPr>
              <w:pStyle w:val="Compact"/>
              <w:jc w:val="left"/>
            </w:pPr>
            <w:r>
              <w:t xml:space="preserve">Manufacturing CA</w:t>
            </w:r>
            <w:r>
              <w:t xml:space="preserve"> </w:t>
            </w:r>
            <w:r>
              <w:rPr>
                <w:iCs/>
                <w:i/>
              </w:rPr>
              <w:t xml:space="preserve">signs</w:t>
            </w:r>
            <w:r>
              <w:t xml:space="preserve"> </w:t>
            </w:r>
            <w:r>
              <w:t xml:space="preserve">firmware image</w:t>
            </w:r>
          </w:p>
        </w:tc>
      </w:tr>
      <w:tr>
        <w:tc>
          <w:tcPr/>
          <w:p>
            <w:pPr>
              <w:pStyle w:val="Compact"/>
              <w:jc w:val="left"/>
            </w:pPr>
            <w:r>
              <w:rPr>
                <w:bCs/>
                <w:b/>
              </w:rPr>
              <w:t xml:space="preserve">inherits</w:t>
            </w:r>
          </w:p>
        </w:tc>
        <w:tc>
          <w:tcPr/>
          <w:p>
            <w:pPr>
              <w:pStyle w:val="Compact"/>
              <w:jc w:val="left"/>
            </w:pPr>
            <w:r>
              <w:t xml:space="preserve">Child derives policy or trust from parent</w:t>
            </w:r>
          </w:p>
        </w:tc>
        <w:tc>
          <w:tcPr/>
          <w:p>
            <w:pPr>
              <w:pStyle w:val="Compact"/>
              <w:jc w:val="left"/>
            </w:pPr>
            <w:r>
              <w:t xml:space="preserve">Subordinate CA</w:t>
            </w:r>
            <w:r>
              <w:t xml:space="preserve"> </w:t>
            </w:r>
            <w:r>
              <w:rPr>
                <w:iCs/>
                <w:i/>
              </w:rPr>
              <w:t xml:space="preserve">inherits</w:t>
            </w:r>
            <w:r>
              <w:t xml:space="preserve"> </w:t>
            </w:r>
            <w:r>
              <w:t xml:space="preserve">path length from root</w:t>
            </w:r>
          </w:p>
        </w:tc>
      </w:tr>
      <w:tr>
        <w:tc>
          <w:tcPr/>
          <w:p>
            <w:pPr>
              <w:pStyle w:val="Compact"/>
              <w:jc w:val="left"/>
            </w:pPr>
            <w:r>
              <w:rPr>
                <w:bCs/>
                <w:b/>
              </w:rPr>
              <w:t xml:space="preserve">verifies</w:t>
            </w:r>
          </w:p>
        </w:tc>
        <w:tc>
          <w:tcPr/>
          <w:p>
            <w:pPr>
              <w:pStyle w:val="Compact"/>
              <w:jc w:val="left"/>
            </w:pPr>
            <w:r>
              <w:t xml:space="preserve">Consumer checks signature or MAC</w:t>
            </w:r>
          </w:p>
        </w:tc>
        <w:tc>
          <w:tcPr/>
          <w:p>
            <w:pPr>
              <w:pStyle w:val="Compact"/>
              <w:jc w:val="left"/>
            </w:pPr>
            <w:r>
              <w:t xml:space="preserve">Bootloader</w:t>
            </w:r>
            <w:r>
              <w:t xml:space="preserve"> </w:t>
            </w:r>
            <w:r>
              <w:rPr>
                <w:iCs/>
                <w:i/>
              </w:rPr>
              <w:t xml:space="preserve">verifies</w:t>
            </w:r>
            <w:r>
              <w:t xml:space="preserve"> </w:t>
            </w:r>
            <w:r>
              <w:t xml:space="preserve">firmware signature</w:t>
            </w:r>
          </w:p>
        </w:tc>
      </w:tr>
      <w:tr>
        <w:tc>
          <w:tcPr/>
          <w:p>
            <w:pPr>
              <w:pStyle w:val="Compact"/>
              <w:jc w:val="left"/>
            </w:pPr>
            <w:r>
              <w:rPr>
                <w:bCs/>
                <w:b/>
              </w:rPr>
              <w:t xml:space="preserve">wraps</w:t>
            </w:r>
          </w:p>
        </w:tc>
        <w:tc>
          <w:tcPr/>
          <w:p>
            <w:pPr>
              <w:pStyle w:val="Compact"/>
              <w:jc w:val="left"/>
            </w:pPr>
            <w:r>
              <w:t xml:space="preserve">Key encrypts another key</w:t>
            </w:r>
          </w:p>
        </w:tc>
        <w:tc>
          <w:tcPr/>
          <w:p>
            <w:pPr>
              <w:pStyle w:val="Compact"/>
              <w:jc w:val="left"/>
            </w:pPr>
            <w:r>
              <w:t xml:space="preserve">KMS</w:t>
            </w:r>
            <w:r>
              <w:t xml:space="preserve"> </w:t>
            </w:r>
            <w:r>
              <w:rPr>
                <w:iCs/>
                <w:i/>
              </w:rPr>
              <w:t xml:space="preserve">wraps</w:t>
            </w:r>
            <w:r>
              <w:t xml:space="preserve"> </w:t>
            </w:r>
            <w:r>
              <w:t xml:space="preserve">data encryption key</w:t>
            </w:r>
          </w:p>
        </w:tc>
      </w:tr>
    </w:tbl>
    <w:p>
      <w:pPr>
        <w:pStyle w:val="BodyText"/>
      </w:pPr>
      <w:r>
        <w:t xml:space="preserve">Edges may be</w:t>
      </w:r>
      <w:r>
        <w:t xml:space="preserve"> </w:t>
      </w:r>
      <w:r>
        <w:rPr>
          <w:bCs/>
          <w:b/>
        </w:rPr>
        <w:t xml:space="preserve">annotated</w:t>
      </w:r>
      <w:r>
        <w:t xml:space="preserve"> </w:t>
      </w:r>
      <w:r>
        <w:t xml:space="preserve">with: validity period, cipher suite set, criticality (</w:t>
      </w:r>
      <w:r>
        <w:rPr>
          <w:rStyle w:val="VerbatimChar"/>
        </w:rPr>
        <w:t xml:space="preserve">blocking</w:t>
      </w:r>
      <w:r>
        <w:t xml:space="preserve"> </w:t>
      </w:r>
      <w:r>
        <w:t xml:space="preserve">|</w:t>
      </w:r>
      <w:r>
        <w:t xml:space="preserve"> </w:t>
      </w:r>
      <w:r>
        <w:rPr>
          <w:rStyle w:val="VerbatimChar"/>
        </w:rPr>
        <w:t xml:space="preserve">degradable</w:t>
      </w:r>
      <w:r>
        <w:t xml:space="preserve"> </w:t>
      </w:r>
      <w:r>
        <w:t xml:space="preserve">|</w:t>
      </w:r>
      <w:r>
        <w:t xml:space="preserve"> </w:t>
      </w:r>
      <w:r>
        <w:rPr>
          <w:rStyle w:val="VerbatimChar"/>
        </w:rPr>
        <w:t xml:space="preserve">advisory</w:t>
      </w:r>
      <w:r>
        <w:t xml:space="preserve">), and evidence pointer (scan ID, config path).</w:t>
      </w:r>
    </w:p>
    <w:p>
      <w:pPr>
        <w:pStyle w:val="BlockText"/>
      </w:pPr>
      <w:r>
        <w:rPr>
          <w:bCs/>
          <w:b/>
        </w:rPr>
        <w:t xml:space="preserve">Dependency Alert</w:t>
      </w:r>
      <w:r>
        <w:br/>
      </w:r>
      <w:r>
        <w:rPr>
          <w:bCs/>
          <w:b/>
        </w:rPr>
        <w:t xml:space="preserve">Transitive trust is the hidden risk.</w:t>
      </w:r>
      <w:r>
        <w:t xml:space="preserve"> </w:t>
      </w:r>
      <w:r>
        <w:t xml:space="preserve">Application A trusts anchor X. Partner B presents cert chained to X. Neither A nor B appears in a flat inventory link — but changing X breaks both. CDG makes transitivity explicit.</w:t>
      </w:r>
    </w:p>
    <w:p>
      <w:r>
        <w:pict>
          <v:rect style="width:0;height:1.5pt" o:hralign="center" o:hrstd="t" o:hr="t"/>
        </w:pict>
      </w:r>
    </w:p>
    <w:bookmarkEnd w:id="23"/>
    <w:bookmarkEnd w:id="24"/>
    <w:bookmarkStart w:id="28" w:name="blocking-nodes"/>
    <w:p>
      <w:pPr>
        <w:pStyle w:val="Heading2"/>
      </w:pPr>
      <w:r>
        <w:t xml:space="preserve">8.3 Blocking Nodes</w:t>
      </w:r>
    </w:p>
    <w:p>
      <w:pPr>
        <w:pStyle w:val="FirstParagraph"/>
      </w:pPr>
      <w:r>
        <w:t xml:space="preserve">A</w:t>
      </w:r>
      <w:r>
        <w:t xml:space="preserve"> </w:t>
      </w:r>
      <w:r>
        <w:rPr>
          <w:bCs/>
          <w:b/>
        </w:rPr>
        <w:t xml:space="preserve">blocking node</w:t>
      </w:r>
      <w:r>
        <w:t xml:space="preserve"> </w:t>
      </w:r>
      <w:r>
        <w:t xml:space="preserve">is a vertex whose migration or rotation</w:t>
      </w:r>
      <w:r>
        <w:t xml:space="preserve"> </w:t>
      </w:r>
      <w:r>
        <w:rPr>
          <w:iCs/>
          <w:i/>
        </w:rPr>
        <w:t xml:space="preserve">must complete</w:t>
      </w:r>
      <w:r>
        <w:t xml:space="preserve"> </w:t>
      </w:r>
      <w:r>
        <w:t xml:space="preserve">(or be explicitly dual-run) before dependent workloads can adopt post-quantum algorithms. Blocking is not merely</w:t>
      </w:r>
      <w:r>
        <w:t xml:space="preserve"> </w:t>
      </w:r>
      <w:r>
        <w:t xml:space="preserve">“</w:t>
      </w:r>
      <w:r>
        <w:t xml:space="preserve">high MPI</w:t>
      </w:r>
      <w:r>
        <w:t xml:space="preserve">”</w:t>
      </w:r>
      <w:r>
        <w:t xml:space="preserve"> </w:t>
      </w:r>
      <w:r>
        <w:t xml:space="preserve">— it is</w:t>
      </w:r>
      <w:r>
        <w:t xml:space="preserve"> </w:t>
      </w:r>
      <w:r>
        <w:rPr>
          <w:bCs/>
          <w:b/>
        </w:rPr>
        <w:t xml:space="preserve">structural</w:t>
      </w:r>
      <w:r>
        <w:t xml:space="preserve">: many edges fan in.</w:t>
      </w:r>
    </w:p>
    <w:bookmarkStart w:id="25" w:name="detection-heuristics"/>
    <w:p>
      <w:pPr>
        <w:pStyle w:val="Heading3"/>
      </w:pPr>
      <w:r>
        <w:t xml:space="preserve">8.3.1 Detection heuristics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Signal</w:t>
            </w:r>
          </w:p>
        </w:tc>
        <w:tc>
          <w:tcPr/>
          <w:p>
            <w:pPr>
              <w:pStyle w:val="Compact"/>
              <w:jc w:val="left"/>
            </w:pPr>
            <w:r>
              <w:t xml:space="preserve">Interpretation</w:t>
            </w:r>
          </w:p>
        </w:tc>
      </w:tr>
      <w:tr>
        <w:tc>
          <w:tcPr/>
          <w:p>
            <w:pPr>
              <w:pStyle w:val="Compact"/>
              <w:jc w:val="left"/>
            </w:pPr>
            <w:r>
              <w:t xml:space="preserve">In-degree ≥ N (e.g., 50) on</w:t>
            </w:r>
            <w:r>
              <w:t xml:space="preserve"> </w:t>
            </w:r>
            <w:r>
              <w:rPr>
                <w:rStyle w:val="VerbatimChar"/>
              </w:rPr>
              <w:t xml:space="preserve">trusts</w:t>
            </w:r>
            <w:r>
              <w:t xml:space="preserve"> </w:t>
            </w:r>
            <w:r>
              <w:t xml:space="preserve">or</w:t>
            </w:r>
            <w:r>
              <w:t xml:space="preserve"> </w:t>
            </w:r>
            <w:r>
              <w:rPr>
                <w:rStyle w:val="VerbatimChar"/>
              </w:rPr>
              <w:t xml:space="preserve">signs</w:t>
            </w:r>
            <w:r>
              <w:t xml:space="preserve"> </w:t>
            </w:r>
            <w:r>
              <w:t xml:space="preserve">edges</w:t>
            </w:r>
          </w:p>
        </w:tc>
        <w:tc>
          <w:tcPr/>
          <w:p>
            <w:pPr>
              <w:pStyle w:val="Compact"/>
              <w:jc w:val="left"/>
            </w:pPr>
            <w:r>
              <w:t xml:space="preserve">Hub anchor or signing authority</w:t>
            </w:r>
          </w:p>
        </w:tc>
      </w:tr>
      <w:tr>
        <w:tc>
          <w:tcPr/>
          <w:p>
            <w:pPr>
              <w:pStyle w:val="Compact"/>
              <w:jc w:val="left"/>
            </w:pPr>
            <w:r>
              <w:t xml:space="preserve">Single HSM node with</w:t>
            </w:r>
            <w:r>
              <w:t xml:space="preserve"> </w:t>
            </w:r>
            <w:r>
              <w:rPr>
                <w:rStyle w:val="VerbatimChar"/>
              </w:rPr>
              <w:t xml:space="preserve">signs</w:t>
            </w:r>
            <w:r>
              <w:t xml:space="preserve"> </w:t>
            </w:r>
            <w:r>
              <w:t xml:space="preserve">to &gt;10 firmware families</w:t>
            </w:r>
          </w:p>
        </w:tc>
        <w:tc>
          <w:tcPr/>
          <w:p>
            <w:pPr>
              <w:pStyle w:val="Compact"/>
              <w:jc w:val="left"/>
            </w:pPr>
            <w:r>
              <w:t xml:space="preserve">Firmware programme blocker</w:t>
            </w:r>
          </w:p>
        </w:tc>
      </w:tr>
      <w:tr>
        <w:tc>
          <w:tcPr/>
          <w:p>
            <w:pPr>
              <w:pStyle w:val="Compact"/>
              <w:jc w:val="left"/>
            </w:pPr>
            <w:r>
              <w:t xml:space="preserve">Partner API gateway with uniform client cert policy</w:t>
            </w:r>
          </w:p>
        </w:tc>
        <w:tc>
          <w:tcPr/>
          <w:p>
            <w:pPr>
              <w:pStyle w:val="Compact"/>
              <w:jc w:val="left"/>
            </w:pPr>
            <w:r>
              <w:t xml:space="preserve">Ecosystem blocker (GlobalSync pattern)</w:t>
            </w:r>
          </w:p>
        </w:tc>
      </w:tr>
      <w:tr>
        <w:tc>
          <w:tcPr/>
          <w:p>
            <w:pPr>
              <w:pStyle w:val="Compact"/>
              <w:jc w:val="left"/>
            </w:pPr>
            <w:r>
              <w:t xml:space="preserve">Enterprise root CA with 200+ issued server certs</w:t>
            </w:r>
          </w:p>
        </w:tc>
        <w:tc>
          <w:tcPr/>
          <w:p>
            <w:pPr>
              <w:pStyle w:val="Compact"/>
              <w:jc w:val="left"/>
            </w:pPr>
            <w:r>
              <w:t xml:space="preserve">PKI explosion node</w:t>
            </w:r>
          </w:p>
        </w:tc>
      </w:tr>
      <w:tr>
        <w:tc>
          <w:tcPr/>
          <w:p>
            <w:pPr>
              <w:pStyle w:val="Compact"/>
              <w:jc w:val="left"/>
            </w:pPr>
            <w:r>
              <w:t xml:space="preserve">OT protocol gateway translating legacy ciphers</w:t>
            </w:r>
          </w:p>
        </w:tc>
        <w:tc>
          <w:tcPr/>
          <w:p>
            <w:pPr>
              <w:pStyle w:val="Compact"/>
              <w:jc w:val="left"/>
            </w:pPr>
            <w:r>
              <w:t xml:space="preserve">Plant-floor blocker</w:t>
            </w:r>
          </w:p>
        </w:tc>
      </w:tr>
    </w:tbl>
    <w:bookmarkEnd w:id="25"/>
    <w:bookmarkStart w:id="26" w:name="blocking-vs-bottleneck"/>
    <w:p>
      <w:pPr>
        <w:pStyle w:val="Heading3"/>
      </w:pPr>
      <w:r>
        <w:t xml:space="preserve">8.3.2 Blocking vs bottleneck</w:t>
      </w:r>
    </w:p>
    <w:tbl>
      <w:tblPr>
        <w:tblStyle w:val="Table"/>
        <w:tblW w:type="pct" w:w="5000"/>
        <w:tblLook w:firstRow="1" w:lastRow="0" w:firstColumn="0" w:lastColumn="0" w:noHBand="0" w:noVBand="0" w:val="0020"/>
        <w:jc w:val="start"/>
      </w:tblPr>
      <w:tblGrid>
        <w:gridCol w:w="1782"/>
        <w:gridCol w:w="2376"/>
        <w:gridCol w:w="3762"/>
      </w:tblGrid>
      <w:tr>
        <w:trPr>
          <w:tblHeader w:val="true"/>
        </w:trPr>
        <w:tc>
          <w:tcPr/>
          <w:p>
            <w:pPr>
              <w:pStyle w:val="Compact"/>
              <w:jc w:val="left"/>
            </w:pPr>
            <w:r>
              <w:t xml:space="preserve">Concept</w:t>
            </w:r>
          </w:p>
        </w:tc>
        <w:tc>
          <w:tcPr/>
          <w:p>
            <w:pPr>
              <w:pStyle w:val="Compact"/>
              <w:jc w:val="left"/>
            </w:pPr>
            <w:r>
              <w:t xml:space="preserve">Definition</w:t>
            </w:r>
          </w:p>
        </w:tc>
        <w:tc>
          <w:tcPr/>
          <w:p>
            <w:pPr>
              <w:pStyle w:val="Compact"/>
              <w:jc w:val="left"/>
            </w:pPr>
            <w:r>
              <w:t xml:space="preserve">Migration response</w:t>
            </w:r>
          </w:p>
        </w:tc>
      </w:tr>
      <w:tr>
        <w:tc>
          <w:tcPr/>
          <w:p>
            <w:pPr>
              <w:pStyle w:val="Compact"/>
              <w:jc w:val="left"/>
            </w:pPr>
            <w:r>
              <w:rPr>
                <w:bCs/>
                <w:b/>
              </w:rPr>
              <w:t xml:space="preserve">Blocking node</w:t>
            </w:r>
          </w:p>
        </w:tc>
        <w:tc>
          <w:tcPr/>
          <w:p>
            <w:pPr>
              <w:pStyle w:val="Compact"/>
              <w:jc w:val="left"/>
            </w:pPr>
            <w:r>
              <w:t xml:space="preserve">No dependent may complete PQ transition until resolved</w:t>
            </w:r>
          </w:p>
        </w:tc>
        <w:tc>
          <w:tcPr/>
          <w:p>
            <w:pPr>
              <w:pStyle w:val="Compact"/>
              <w:jc w:val="left"/>
            </w:pPr>
            <w:r>
              <w:t xml:space="preserve">Plan early wave or parallel trust</w:t>
            </w:r>
          </w:p>
        </w:tc>
      </w:tr>
      <w:tr>
        <w:tc>
          <w:tcPr/>
          <w:p>
            <w:pPr>
              <w:pStyle w:val="Compact"/>
              <w:jc w:val="left"/>
            </w:pPr>
            <w:r>
              <w:rPr>
                <w:bCs/>
                <w:b/>
              </w:rPr>
              <w:t xml:space="preserve">Bottleneck</w:t>
            </w:r>
          </w:p>
        </w:tc>
        <w:tc>
          <w:tcPr/>
          <w:p>
            <w:pPr>
              <w:pStyle w:val="Compact"/>
              <w:jc w:val="left"/>
            </w:pPr>
            <w:r>
              <w:t xml:space="preserve">Slows programme but alternatives exist</w:t>
            </w:r>
          </w:p>
        </w:tc>
        <w:tc>
          <w:tcPr/>
          <w:p>
            <w:pPr>
              <w:pStyle w:val="Compact"/>
              <w:jc w:val="left"/>
            </w:pPr>
            <w:r>
              <w:t xml:space="preserve">Optimise scheduling; may defer</w:t>
            </w:r>
          </w:p>
        </w:tc>
      </w:tr>
      <w:tr>
        <w:tc>
          <w:tcPr/>
          <w:p>
            <w:pPr>
              <w:pStyle w:val="Compact"/>
              <w:jc w:val="left"/>
            </w:pPr>
            <w:r>
              <w:rPr>
                <w:bCs/>
                <w:b/>
              </w:rPr>
              <w:t xml:space="preserve">Leaf node</w:t>
            </w:r>
          </w:p>
        </w:tc>
        <w:tc>
          <w:tcPr/>
          <w:p>
            <w:pPr>
              <w:pStyle w:val="Compact"/>
              <w:jc w:val="left"/>
            </w:pPr>
            <w:r>
              <w:t xml:space="preserve">No dependents</w:t>
            </w:r>
          </w:p>
        </w:tc>
        <w:tc>
          <w:tcPr/>
          <w:p>
            <w:pPr>
              <w:pStyle w:val="Compact"/>
              <w:jc w:val="left"/>
            </w:pPr>
            <w:r>
              <w:t xml:space="preserve">Migrate when convenient subject to TRADE</w:t>
            </w:r>
          </w:p>
        </w:tc>
      </w:tr>
    </w:tbl>
    <w:p>
      <w:pPr>
        <w:pStyle w:val="BodyText"/>
      </w:pPr>
      <w:r>
        <w:t xml:space="preserve">Chapter 9’s wave planner consumes blocking flags:</w:t>
      </w:r>
      <w:r>
        <w:t xml:space="preserve"> </w:t>
      </w:r>
      <w:r>
        <w:rPr>
          <w:bCs/>
          <w:b/>
        </w:rPr>
        <w:t xml:space="preserve">Wave 0</w:t>
      </w:r>
      <w:r>
        <w:t xml:space="preserve"> </w:t>
      </w:r>
      <w:r>
        <w:t xml:space="preserve">often addresses blocking nodes with long lead times (HSM firmware, root CA, partner standards).</w:t>
      </w:r>
    </w:p>
    <w:bookmarkEnd w:id="26"/>
    <w:bookmarkStart w:id="27" w:name="blocking-node-register-template"/>
    <w:p>
      <w:pPr>
        <w:pStyle w:val="Heading3"/>
      </w:pPr>
      <w:r>
        <w:t xml:space="preserve">Blocking node register template</w:t>
      </w:r>
    </w:p>
    <w:p>
      <w:pPr>
        <w:pStyle w:val="FirstParagraph"/>
      </w:pPr>
      <w:r>
        <w:t xml:space="preserve">Programme office maintains</w:t>
      </w:r>
      <w:r>
        <w:t xml:space="preserve"> </w:t>
      </w:r>
      <w:r>
        <w:rPr>
          <w:bCs/>
          <w:b/>
        </w:rPr>
        <w:t xml:space="preserve">blocking node register</w:t>
      </w:r>
      <w:r>
        <w:t xml:space="preserve"> </w:t>
      </w:r>
      <w:r>
        <w:t xml:space="preserve">— living document feeding wave planning: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Example</w:t>
            </w:r>
          </w:p>
        </w:tc>
      </w:tr>
      <w:tr>
        <w:tc>
          <w:tcPr/>
          <w:p>
            <w:pPr>
              <w:pStyle w:val="Compact"/>
              <w:jc w:val="left"/>
            </w:pPr>
            <w:r>
              <w:rPr>
                <w:rStyle w:val="VerbatimChar"/>
              </w:rPr>
              <w:t xml:space="preserve">node_id</w:t>
            </w:r>
          </w:p>
        </w:tc>
        <w:tc>
          <w:tcPr/>
          <w:p>
            <w:pPr>
              <w:pStyle w:val="Compact"/>
              <w:jc w:val="left"/>
            </w:pPr>
            <w:r>
              <w:rPr>
                <w:rStyle w:val="VerbatimChar"/>
              </w:rPr>
              <w:t xml:space="preserve">partner-mtls-policy-v3</w:t>
            </w:r>
          </w:p>
        </w:tc>
      </w:tr>
      <w:tr>
        <w:tc>
          <w:tcPr/>
          <w:p>
            <w:pPr>
              <w:pStyle w:val="Compact"/>
              <w:jc w:val="left"/>
            </w:pPr>
            <w:r>
              <w:rPr>
                <w:rStyle w:val="VerbatimChar"/>
              </w:rPr>
              <w:t xml:space="preserve">label</w:t>
            </w:r>
          </w:p>
        </w:tc>
        <w:tc>
          <w:tcPr/>
          <w:p>
            <w:pPr>
              <w:pStyle w:val="Compact"/>
              <w:jc w:val="left"/>
            </w:pPr>
            <w:r>
              <w:t xml:space="preserve">Partner mutual TLS issuance policy</w:t>
            </w:r>
          </w:p>
        </w:tc>
      </w:tr>
      <w:tr>
        <w:tc>
          <w:tcPr/>
          <w:p>
            <w:pPr>
              <w:pStyle w:val="Compact"/>
              <w:jc w:val="left"/>
            </w:pPr>
            <w:r>
              <w:rPr>
                <w:rStyle w:val="VerbatimChar"/>
              </w:rPr>
              <w:t xml:space="preserve">fan_in</w:t>
            </w:r>
          </w:p>
        </w:tc>
        <w:tc>
          <w:tcPr/>
          <w:p>
            <w:pPr>
              <w:pStyle w:val="Compact"/>
              <w:jc w:val="left"/>
            </w:pPr>
            <w:r>
              <w:t xml:space="preserve">203</w:t>
            </w:r>
          </w:p>
        </w:tc>
      </w:tr>
      <w:tr>
        <w:tc>
          <w:tcPr/>
          <w:p>
            <w:pPr>
              <w:pStyle w:val="Compact"/>
              <w:jc w:val="left"/>
            </w:pPr>
            <w:r>
              <w:rPr>
                <w:rStyle w:val="VerbatimChar"/>
              </w:rPr>
              <w:t xml:space="preserve">owner</w:t>
            </w:r>
          </w:p>
        </w:tc>
        <w:tc>
          <w:tcPr/>
          <w:p>
            <w:pPr>
              <w:pStyle w:val="Compact"/>
              <w:jc w:val="left"/>
            </w:pPr>
            <w:r>
              <w:t xml:space="preserve">Platform security</w:t>
            </w:r>
          </w:p>
        </w:tc>
      </w:tr>
      <w:tr>
        <w:tc>
          <w:tcPr/>
          <w:p>
            <w:pPr>
              <w:pStyle w:val="Compact"/>
              <w:jc w:val="left"/>
            </w:pPr>
            <w:r>
              <w:rPr>
                <w:rStyle w:val="VerbatimChar"/>
              </w:rPr>
              <w:t xml:space="preserve">lead_time_months</w:t>
            </w:r>
          </w:p>
        </w:tc>
        <w:tc>
          <w:tcPr/>
          <w:p>
            <w:pPr>
              <w:pStyle w:val="Compact"/>
              <w:jc w:val="left"/>
            </w:pPr>
            <w:r>
              <w:t xml:space="preserve">14</w:t>
            </w:r>
          </w:p>
        </w:tc>
      </w:tr>
      <w:tr>
        <w:tc>
          <w:tcPr/>
          <w:p>
            <w:pPr>
              <w:pStyle w:val="Compact"/>
              <w:jc w:val="left"/>
            </w:pPr>
            <w:r>
              <w:rPr>
                <w:rStyle w:val="VerbatimChar"/>
              </w:rPr>
              <w:t xml:space="preserve">wave</w:t>
            </w:r>
          </w:p>
        </w:tc>
        <w:tc>
          <w:tcPr/>
          <w:p>
            <w:pPr>
              <w:pStyle w:val="Compact"/>
              <w:jc w:val="left"/>
            </w:pPr>
            <w:r>
              <w:t xml:space="preserve">W0</w:t>
            </w:r>
          </w:p>
        </w:tc>
      </w:tr>
      <w:tr>
        <w:tc>
          <w:tcPr/>
          <w:p>
            <w:pPr>
              <w:pStyle w:val="Compact"/>
              <w:jc w:val="left"/>
            </w:pPr>
            <w:r>
              <w:rPr>
                <w:rStyle w:val="VerbatimChar"/>
              </w:rPr>
              <w:t xml:space="preserve">exit_criterion</w:t>
            </w:r>
          </w:p>
        </w:tc>
        <w:tc>
          <w:tcPr/>
          <w:p>
            <w:pPr>
              <w:pStyle w:val="Compact"/>
              <w:jc w:val="left"/>
            </w:pPr>
            <w:r>
              <w:t xml:space="preserve">85% partner acceptance</w:t>
            </w:r>
          </w:p>
        </w:tc>
      </w:tr>
      <w:tr>
        <w:tc>
          <w:tcPr/>
          <w:p>
            <w:pPr>
              <w:pStyle w:val="Compact"/>
              <w:jc w:val="left"/>
            </w:pPr>
            <w:r>
              <w:rPr>
                <w:rStyle w:val="VerbatimChar"/>
              </w:rPr>
              <w:t xml:space="preserve">budget_range</w:t>
            </w:r>
          </w:p>
        </w:tc>
        <w:tc>
          <w:tcPr/>
          <w:p>
            <w:pPr>
              <w:pStyle w:val="Compact"/>
              <w:jc w:val="left"/>
            </w:pPr>
            <w:r>
              <w:t xml:space="preserve">€X–Y (</w:t>
            </w:r>
            <w:r>
              <w:rPr>
                <w:iCs/>
                <w:i/>
              </w:rPr>
              <w:t xml:space="preserve">planning example</w:t>
            </w:r>
            <w:r>
              <w:t xml:space="preserve">)</w:t>
            </w:r>
          </w:p>
        </w:tc>
      </w:tr>
      <w:tr>
        <w:tc>
          <w:tcPr/>
          <w:p>
            <w:pPr>
              <w:pStyle w:val="Compact"/>
              <w:jc w:val="left"/>
            </w:pPr>
            <w:r>
              <w:rPr>
                <w:rStyle w:val="VerbatimChar"/>
              </w:rPr>
              <w:t xml:space="preserve">cdg_snapshot_ref</w:t>
            </w:r>
          </w:p>
        </w:tc>
        <w:tc>
          <w:tcPr/>
          <w:p>
            <w:pPr>
              <w:pStyle w:val="Compact"/>
              <w:jc w:val="left"/>
            </w:pPr>
            <w:r>
              <w:rPr>
                <w:rStyle w:val="VerbatimChar"/>
              </w:rPr>
              <w:t xml:space="preserve">cdg-2026-Q4</w:t>
            </w:r>
          </w:p>
        </w:tc>
      </w:tr>
    </w:tbl>
    <w:p>
      <w:pPr>
        <w:pStyle w:val="BodyText"/>
      </w:pPr>
      <w:r>
        <w:t xml:space="preserve">Meridian updated register monthly — steering committee reviewed register, not raw graph. GlobalSync published register to engineering wiki — transparency reduced duplicate migration proposals.</w:t>
      </w:r>
    </w:p>
    <w:p>
      <w:r>
        <w:pict>
          <v:rect style="width:0;height:1.5pt" o:hralign="center" o:hrstd="t" o:hr="t"/>
        </w:pict>
      </w:r>
    </w:p>
    <w:bookmarkEnd w:id="27"/>
    <w:bookmarkEnd w:id="28"/>
    <w:bookmarkStart w:id="30" w:name="globalsync-partner-api-as-blocking-node"/>
    <w:p>
      <w:pPr>
        <w:pStyle w:val="Heading2"/>
      </w:pPr>
      <w:r>
        <w:t xml:space="preserve">8.4 GlobalSync: Partner API as Blocking Node</w:t>
      </w:r>
    </w:p>
    <w:p>
      <w:pPr>
        <w:pStyle w:val="FirstParagraph"/>
      </w:pPr>
      <w:r>
        <w:t xml:space="preserve">GlobalSync operates a</w:t>
      </w:r>
      <w:r>
        <w:t xml:space="preserve"> </w:t>
      </w:r>
      <w:r>
        <w:rPr>
          <w:bCs/>
          <w:b/>
        </w:rPr>
        <w:t xml:space="preserve">partner integration hub</w:t>
      </w:r>
      <w:r>
        <w:t xml:space="preserve">: 200+ microservices consume outbound API calls authenticated via</w:t>
      </w:r>
      <w:r>
        <w:t xml:space="preserve"> </w:t>
      </w:r>
      <w:r>
        <w:rPr>
          <w:bCs/>
          <w:b/>
        </w:rPr>
        <w:t xml:space="preserve">mutual TLS</w:t>
      </w:r>
      <w:r>
        <w:t xml:space="preserve"> </w:t>
      </w:r>
      <w:r>
        <w:t xml:space="preserve">with certificates issued under a single</w:t>
      </w:r>
      <w:r>
        <w:t xml:space="preserve"> </w:t>
      </w:r>
      <w:r>
        <w:rPr>
          <w:bCs/>
          <w:b/>
        </w:rPr>
        <w:t xml:space="preserve">partner root policy</w:t>
      </w:r>
      <w:r>
        <w:t xml:space="preserve">. The CBOM listed each microservice’s client cert as an independent row — 200 rows, 200</w:t>
      </w:r>
      <w:r>
        <w:t xml:space="preserve"> </w:t>
      </w:r>
      <w:r>
        <w:t xml:space="preserve">“</w:t>
      </w:r>
      <w:r>
        <w:t xml:space="preserve">owners,</w:t>
      </w:r>
      <w:r>
        <w:t xml:space="preserve">”</w:t>
      </w:r>
      <w:r>
        <w:t xml:space="preserve"> </w:t>
      </w:r>
      <w:r>
        <w:t xml:space="preserve">false sense of distributed control.</w:t>
      </w:r>
    </w:p>
    <w:p>
      <w:pPr>
        <w:pStyle w:val="BodyText"/>
      </w:pPr>
      <w:r>
        <w:t xml:space="preserve">CDG reconstruction revealed one</w:t>
      </w:r>
      <w:r>
        <w:t xml:space="preserve"> </w:t>
      </w:r>
      <w:r>
        <w:rPr>
          <w:bCs/>
          <w:b/>
        </w:rPr>
        <w:t xml:space="preserve">blocking node</w:t>
      </w:r>
      <w:r>
        <w:t xml:space="preserve">:</w:t>
      </w:r>
      <w:r>
        <w:t xml:space="preserve"> </w:t>
      </w:r>
      <w:r>
        <w:rPr>
          <w:rStyle w:val="VerbatimChar"/>
        </w:rPr>
        <w:t xml:space="preserve">partner-mtls-policy-v3</w:t>
      </w:r>
      <w:r>
        <w:t xml:space="preserve"> </w:t>
      </w:r>
      <w:r>
        <w:t xml:space="preserve">(trust anchor + issuance template). Every microservice node held a</w:t>
      </w:r>
      <w:r>
        <w:t xml:space="preserve"> </w:t>
      </w:r>
      <w:r>
        <w:rPr>
          <w:rStyle w:val="VerbatimChar"/>
        </w:rPr>
        <w:t xml:space="preserve">trusts</w:t>
      </w:r>
      <w:r>
        <w:t xml:space="preserve"> </w:t>
      </w:r>
      <w:r>
        <w:t xml:space="preserve">edge to that policy node. Rotating to hybrid TLS or changing allowed signature algorithms without updating the policy node would cause</w:t>
      </w:r>
      <w:r>
        <w:t xml:space="preserve"> </w:t>
      </w:r>
      <w:r>
        <w:rPr>
          <w:bCs/>
          <w:b/>
        </w:rPr>
        <w:t xml:space="preserve">simultaneous partner outage</w:t>
      </w:r>
      <w:r>
        <w:t xml:space="preserve">.</w:t>
      </w:r>
    </w:p>
    <w:p>
      <w:pPr>
        <w:pStyle w:val="SourceCode"/>
      </w:pPr>
      <w:r>
        <w:rPr>
          <w:rStyle w:val="VerbatimChar"/>
        </w:rPr>
        <w:t xml:space="preserve">                    [partner-root-CA]</w:t>
      </w:r>
      <w:r>
        <w:br/>
      </w:r>
      <w:r>
        <w:rPr>
          <w:rStyle w:val="VerbatimChar"/>
        </w:rPr>
        <w:t xml:space="preserve">                           | signs</w:t>
      </w:r>
      <w:r>
        <w:br/>
      </w:r>
      <w:r>
        <w:rPr>
          <w:rStyle w:val="VerbatimChar"/>
        </w:rPr>
        <w:t xml:space="preserve">                    [partner-issuing-CA]</w:t>
      </w:r>
      <w:r>
        <w:br/>
      </w:r>
      <w:r>
        <w:rPr>
          <w:rStyle w:val="VerbatimChar"/>
        </w:rPr>
        <w:t xml:space="preserve">                           | signs</w:t>
      </w:r>
      <w:r>
        <w:br/>
      </w:r>
      <w:r>
        <w:rPr>
          <w:rStyle w:val="VerbatimChar"/>
        </w:rPr>
        <w:t xml:space="preserve">              +------------+------------+</w:t>
      </w:r>
      <w:r>
        <w:br/>
      </w:r>
      <w:r>
        <w:rPr>
          <w:rStyle w:val="VerbatimChar"/>
        </w:rPr>
        <w:t xml:space="preserve">              |            |            |</w:t>
      </w:r>
      <w:r>
        <w:br/>
      </w:r>
      <w:r>
        <w:rPr>
          <w:rStyle w:val="VerbatimChar"/>
        </w:rPr>
        <w:t xml:space="preserve">        [svc-A cert] [svc-B cert] ... [svc-N cert]</w:t>
      </w:r>
      <w:r>
        <w:br/>
      </w:r>
      <w:r>
        <w:rPr>
          <w:rStyle w:val="VerbatimChar"/>
        </w:rPr>
        <w:t xml:space="preserve">              |            |            |</w:t>
      </w:r>
      <w:r>
        <w:br/>
      </w:r>
      <w:r>
        <w:rPr>
          <w:rStyle w:val="VerbatimChar"/>
        </w:rPr>
        <w:t xml:space="preserve">         trusts       trusts       trusts</w:t>
      </w:r>
      <w:r>
        <w:br/>
      </w:r>
      <w:r>
        <w:rPr>
          <w:rStyle w:val="VerbatimChar"/>
        </w:rPr>
        <w:t xml:space="preserve">              +------------+------------+</w:t>
      </w:r>
      <w:r>
        <w:br/>
      </w:r>
      <w:r>
        <w:rPr>
          <w:rStyle w:val="VerbatimChar"/>
        </w:rPr>
        <w:t xml:space="preserve">                           |</w:t>
      </w:r>
      <w:r>
        <w:br/>
      </w:r>
      <w:r>
        <w:rPr>
          <w:rStyle w:val="VerbatimChar"/>
        </w:rPr>
        <w:t xml:space="preserve">                  [partner-mtls-policy-v3]  &lt;-- BLOCKING NODE</w:t>
      </w:r>
      <w:r>
        <w:br/>
      </w:r>
      <w:r>
        <w:rPr>
          <w:rStyle w:val="VerbatimChar"/>
        </w:rPr>
        <w:t xml:space="preserve">                           ^</w:t>
      </w:r>
      <w:r>
        <w:br/>
      </w:r>
      <w:r>
        <w:rPr>
          <w:rStyle w:val="VerbatimChar"/>
        </w:rPr>
        <w:t xml:space="preserve">                           | terminates</w:t>
      </w:r>
      <w:r>
        <w:br/>
      </w:r>
      <w:r>
        <w:rPr>
          <w:rStyle w:val="VerbatimChar"/>
        </w:rPr>
        <w:t xml:space="preserve">                    [Partner API Gateway]</w:t>
      </w:r>
    </w:p>
    <w:p>
      <w:pPr>
        <w:pStyle w:val="FirstParagraph"/>
      </w:pPr>
      <w:r>
        <w:rPr>
          <w:bCs/>
          <w:b/>
        </w:rPr>
        <w:t xml:space="preserve">Programme actions:</w:t>
      </w:r>
    </w:p>
    <w:p>
      <w:pPr>
        <w:numPr>
          <w:ilvl w:val="0"/>
          <w:numId w:val="1002"/>
        </w:numPr>
        <w:pStyle w:val="Compact"/>
      </w:pPr>
      <w:r>
        <w:rPr>
          <w:bCs/>
          <w:b/>
        </w:rPr>
        <w:t xml:space="preserve">Elevate</w:t>
      </w:r>
      <w:r>
        <w:t xml:space="preserve"> </w:t>
      </w:r>
      <w:r>
        <w:t xml:space="preserve">policy node to Wave 0 with executive sponsor (already identified in Chapter 6 H2 trigger).</w:t>
      </w:r>
    </w:p>
    <w:p>
      <w:pPr>
        <w:numPr>
          <w:ilvl w:val="0"/>
          <w:numId w:val="1002"/>
        </w:numPr>
        <w:pStyle w:val="Compact"/>
      </w:pPr>
      <w:r>
        <w:rPr>
          <w:bCs/>
          <w:b/>
        </w:rPr>
        <w:t xml:space="preserve">Negotiate</w:t>
      </w:r>
      <w:r>
        <w:t xml:space="preserve"> </w:t>
      </w:r>
      <w:r>
        <w:t xml:space="preserve">partner acceptance of hybrid chains or parallel trust stores before microservice waves.</w:t>
      </w:r>
    </w:p>
    <w:p>
      <w:pPr>
        <w:numPr>
          <w:ilvl w:val="0"/>
          <w:numId w:val="1002"/>
        </w:numPr>
        <w:pStyle w:val="Compact"/>
      </w:pPr>
      <w:r>
        <w:rPr>
          <w:bCs/>
          <w:b/>
        </w:rPr>
        <w:t xml:space="preserve">Refactor</w:t>
      </w:r>
      <w:r>
        <w:t xml:space="preserve"> </w:t>
      </w:r>
      <w:r>
        <w:t xml:space="preserve">CBOM: tag all 200 certs with</w:t>
      </w:r>
      <w:r>
        <w:t xml:space="preserve"> </w:t>
      </w:r>
      <w:r>
        <w:rPr>
          <w:rStyle w:val="VerbatimChar"/>
        </w:rPr>
        <w:t xml:space="preserve">depends_on: partner-mtls-policy-v3</w:t>
      </w:r>
      <w:r>
        <w:t xml:space="preserve"> </w:t>
      </w:r>
      <w:r>
        <w:t xml:space="preserve">to prevent spurious per-team migration projects.</w:t>
      </w:r>
    </w:p>
    <w:p>
      <w:pPr>
        <w:pStyle w:val="FirstParagraph"/>
      </w:pPr>
      <w:r>
        <w:rPr>
          <w:bCs/>
          <w:b/>
        </w:rPr>
        <w:t xml:space="preserve">Partner negotiation timeline (illustrative):</w:t>
      </w:r>
      <w:r>
        <w:t xml:space="preserve"> </w:t>
      </w:r>
      <w:r>
        <w:t xml:space="preserve">GlobalSync spent nine months on partner outreach — 400 partners contacted, 200 actively integrated, 85 accepting pilot hybrid profiles by month nine. CDG node attribute</w:t>
      </w:r>
      <w:r>
        <w:t xml:space="preserve"> </w:t>
      </w:r>
      <w:r>
        <w:rPr>
          <w:rStyle w:val="VerbatimChar"/>
        </w:rPr>
        <w:t xml:space="preserve">partner_acceptance_pct</w:t>
      </w:r>
      <w:r>
        <w:t xml:space="preserve"> </w:t>
      </w:r>
      <w:r>
        <w:t xml:space="preserve">tracked monthly for steering committee. Marcus refused engineering pressure to deploy hybrid client certs until acceptance exceeded 85% — ecosystem dimension (Chapter 9, E) gated production.</w:t>
      </w:r>
    </w:p>
    <w:p>
      <w:pPr>
        <w:pStyle w:val="BodyText"/>
      </w:pPr>
      <w:r>
        <w:rPr>
          <w:bCs/>
          <w:b/>
        </w:rPr>
        <w:t xml:space="preserve">Microservice team impact:</w:t>
      </w:r>
      <w:r>
        <w:t xml:space="preserve"> </w:t>
      </w:r>
      <w:r>
        <w:t xml:space="preserve">Teams with completed hybrid library upgrades remained in</w:t>
      </w:r>
      <w:r>
        <w:t xml:space="preserve"> </w:t>
      </w:r>
      <w:r>
        <w:t xml:space="preserve">“</w:t>
      </w:r>
      <w:r>
        <w:t xml:space="preserve">do not migrate yet</w:t>
      </w:r>
      <w:r>
        <w:t xml:space="preserve">”</w:t>
      </w:r>
      <w:r>
        <w:t xml:space="preserve"> </w:t>
      </w:r>
      <w:r>
        <w:t xml:space="preserve">for production toggle — local readiness without ecosystem readiness is insufficient (Chapter 9 §9.7).</w:t>
      </w:r>
    </w:p>
    <w:p>
      <w:pPr>
        <w:pStyle w:val="BlockText"/>
      </w:pPr>
      <w:r>
        <w:rPr>
          <w:bCs/>
          <w:b/>
        </w:rPr>
        <w:t xml:space="preserve">Migration Moment</w:t>
      </w:r>
      <w:r>
        <w:br/>
      </w:r>
      <w:r>
        <w:t xml:space="preserve">GlobalSync’s architecture review had approved PQ-ready libraries in 14 services — but none could deploy until partner trust policy allowed ML-DSA or hybrid cert profiles. The CDG made the sequencing conflict visible in one diagram; the CBOM had hidden it in row count.</w:t>
      </w:r>
    </w:p>
    <w:bookmarkStart w:id="29" w:name="partner-programme-structure"/>
    <w:p>
      <w:pPr>
        <w:pStyle w:val="Heading3"/>
      </w:pPr>
      <w:r>
        <w:t xml:space="preserve">Partner programme structure</w:t>
      </w:r>
    </w:p>
    <w:p>
      <w:pPr>
        <w:pStyle w:val="FirstParagraph"/>
      </w:pPr>
      <w:r>
        <w:t xml:space="preserve">Marcus Chen staffed</w:t>
      </w:r>
      <w:r>
        <w:t xml:space="preserve"> </w:t>
      </w:r>
      <w:r>
        <w:rPr>
          <w:bCs/>
          <w:b/>
        </w:rPr>
        <w:t xml:space="preserve">partner programme</w:t>
      </w:r>
      <w:r>
        <w:t xml:space="preserve"> </w:t>
      </w:r>
      <w:r>
        <w:t xml:space="preserve">as Wave 0 workstream — not a side project:</w:t>
      </w:r>
    </w:p>
    <w:tbl>
      <w:tblPr>
        <w:tblStyle w:val="Table"/>
        <w:tblW w:type="pct" w:w="5000"/>
        <w:tblLook w:firstRow="1" w:lastRow="0" w:firstColumn="0" w:lastColumn="0" w:noHBand="0" w:noVBand="0" w:val="0020"/>
        <w:jc w:val="start"/>
      </w:tblPr>
      <w:tblGrid>
        <w:gridCol w:w="2160"/>
        <w:gridCol w:w="5760"/>
      </w:tblGrid>
      <w:tr>
        <w:trPr>
          <w:tblHeader w:val="true"/>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Partner programme director</w:t>
            </w:r>
          </w:p>
        </w:tc>
        <w:tc>
          <w:tcPr/>
          <w:p>
            <w:pPr>
              <w:pStyle w:val="Compact"/>
              <w:jc w:val="left"/>
            </w:pPr>
            <w:r>
              <w:t xml:space="preserve">Negotiation strategy, acceptance metrics</w:t>
            </w:r>
          </w:p>
        </w:tc>
      </w:tr>
      <w:tr>
        <w:tc>
          <w:tcPr/>
          <w:p>
            <w:pPr>
              <w:pStyle w:val="Compact"/>
              <w:jc w:val="left"/>
            </w:pPr>
            <w:r>
              <w:t xml:space="preserve">Technical liaison</w:t>
            </w:r>
          </w:p>
        </w:tc>
        <w:tc>
          <w:tcPr/>
          <w:p>
            <w:pPr>
              <w:pStyle w:val="Compact"/>
              <w:jc w:val="left"/>
            </w:pPr>
            <w:r>
              <w:t xml:space="preserve">Hybrid profile documentation, test endpoints</w:t>
            </w:r>
          </w:p>
        </w:tc>
      </w:tr>
      <w:tr>
        <w:tc>
          <w:tcPr/>
          <w:p>
            <w:pPr>
              <w:pStyle w:val="Compact"/>
              <w:jc w:val="left"/>
            </w:pPr>
            <w:r>
              <w:t xml:space="preserve">Legal</w:t>
            </w:r>
          </w:p>
        </w:tc>
        <w:tc>
          <w:tcPr/>
          <w:p>
            <w:pPr>
              <w:pStyle w:val="Compact"/>
              <w:jc w:val="left"/>
            </w:pPr>
            <w:r>
              <w:t xml:space="preserve">Contract amendments, liability for algorithm change</w:t>
            </w:r>
          </w:p>
        </w:tc>
      </w:tr>
      <w:tr>
        <w:tc>
          <w:tcPr/>
          <w:p>
            <w:pPr>
              <w:pStyle w:val="Compact"/>
              <w:jc w:val="left"/>
            </w:pPr>
            <w:r>
              <w:t xml:space="preserve">CDG curator</w:t>
            </w:r>
          </w:p>
        </w:tc>
        <w:tc>
          <w:tcPr/>
          <w:p>
            <w:pPr>
              <w:pStyle w:val="Compact"/>
              <w:jc w:val="left"/>
            </w:pPr>
            <w:r>
              <w:t xml:space="preserve">Update</w:t>
            </w:r>
            <w:r>
              <w:t xml:space="preserve"> </w:t>
            </w:r>
            <w:r>
              <w:rPr>
                <w:rStyle w:val="VerbatimChar"/>
              </w:rPr>
              <w:t xml:space="preserve">partner_acceptance_pct</w:t>
            </w:r>
            <w:r>
              <w:t xml:space="preserve">, trust edges</w:t>
            </w:r>
          </w:p>
        </w:tc>
      </w:tr>
    </w:tbl>
    <w:p>
      <w:pPr>
        <w:pStyle w:val="BodyText"/>
      </w:pPr>
      <w:r>
        <w:rPr>
          <w:bCs/>
          <w:b/>
        </w:rPr>
        <w:t xml:space="preserve">Pilot topology:</w:t>
      </w:r>
      <w:r>
        <w:t xml:space="preserve"> </w:t>
      </w:r>
      <w:r>
        <w:t xml:space="preserve">Five partner tiers by integration volume — Tier 1 (top 20 partners, 80% traffic) piloted hybrid profiles first. CDG subgraph</w:t>
      </w:r>
      <w:r>
        <w:t xml:space="preserve"> </w:t>
      </w:r>
      <w:r>
        <w:rPr>
          <w:rStyle w:val="VerbatimChar"/>
        </w:rPr>
        <w:t xml:space="preserve">partner-tier-1</w:t>
      </w:r>
      <w:r>
        <w:t xml:space="preserve"> </w:t>
      </w:r>
      <w:r>
        <w:t xml:space="preserve">validated before Tier 2 invitation.</w:t>
      </w:r>
    </w:p>
    <w:p>
      <w:pPr>
        <w:pStyle w:val="BodyText"/>
      </w:pPr>
      <w:r>
        <w:rPr>
          <w:bCs/>
          <w:b/>
        </w:rPr>
        <w:t xml:space="preserve">Test harness:</w:t>
      </w:r>
      <w:r>
        <w:t xml:space="preserve"> </w:t>
      </w:r>
      <w:r>
        <w:t xml:space="preserve">Staging environment mirrored production trust policy with</w:t>
      </w:r>
      <w:r>
        <w:t xml:space="preserve"> </w:t>
      </w:r>
      <w:r>
        <w:rPr>
          <w:bCs/>
          <w:b/>
        </w:rPr>
        <w:t xml:space="preserve">parallel hybrid root</w:t>
      </w:r>
      <w:r>
        <w:t xml:space="preserve"> </w:t>
      </w:r>
      <w:r>
        <w:t xml:space="preserve">— partners validated without production risk. Successful pilot added</w:t>
      </w:r>
      <w:r>
        <w:t xml:space="preserve"> </w:t>
      </w:r>
      <w:r>
        <w:rPr>
          <w:rStyle w:val="VerbatimChar"/>
        </w:rPr>
        <w:t xml:space="preserve">trusts</w:t>
      </w:r>
      <w:r>
        <w:t xml:space="preserve"> </w:t>
      </w:r>
      <w:r>
        <w:t xml:space="preserve">edge with</w:t>
      </w:r>
      <w:r>
        <w:t xml:space="preserve"> </w:t>
      </w:r>
      <w:r>
        <w:rPr>
          <w:rStyle w:val="VerbatimChar"/>
        </w:rPr>
        <w:t xml:space="preserve">parallel_trust_until</w:t>
      </w:r>
      <w:r>
        <w:t xml:space="preserve"> </w:t>
      </w:r>
      <w:r>
        <w:t xml:space="preserve">before production policy flip.</w:t>
      </w:r>
    </w:p>
    <w:p>
      <w:pPr>
        <w:pStyle w:val="BodyText"/>
      </w:pPr>
      <w:r>
        <w:rPr>
          <w:bCs/>
          <w:b/>
        </w:rPr>
        <w:t xml:space="preserve">Failure mode avoided:</w:t>
      </w:r>
      <w:r>
        <w:t xml:space="preserve"> </w:t>
      </w:r>
      <w:r>
        <w:t xml:space="preserve">Engineering deployed hybrid in staging to one eager partner while policy node remained classical-only — CDG review caught mismatch before cutover. Policy node and consumer edges migrated in</w:t>
      </w:r>
      <w:r>
        <w:t xml:space="preserve"> </w:t>
      </w:r>
      <w:r>
        <w:rPr>
          <w:bCs/>
          <w:b/>
        </w:rPr>
        <w:t xml:space="preserve">same change window</w:t>
      </w:r>
      <w:r>
        <w:t xml:space="preserve"> </w:t>
      </w:r>
      <w:r>
        <w:t xml:space="preserve">— sequencing rule formalised in Chapter 9.</w:t>
      </w:r>
    </w:p>
    <w:p>
      <w:r>
        <w:pict>
          <v:rect style="width:0;height:1.5pt" o:hralign="center" o:hrstd="t" o:hr="t"/>
        </w:pict>
      </w:r>
    </w:p>
    <w:bookmarkEnd w:id="29"/>
    <w:bookmarkEnd w:id="30"/>
    <w:bookmarkStart w:id="31" w:name="meridian-hsm-firmware-signing-chain"/>
    <w:p>
      <w:pPr>
        <w:pStyle w:val="Heading2"/>
      </w:pPr>
      <w:r>
        <w:t xml:space="preserve">8.5 Meridian: HSM Firmware Signing Chain</w:t>
      </w:r>
    </w:p>
    <w:p>
      <w:pPr>
        <w:pStyle w:val="FirstParagraph"/>
      </w:pPr>
      <w:r>
        <w:t xml:space="preserve">Meridian’s payment HSM blocking node spans</w:t>
      </w:r>
      <w:r>
        <w:t xml:space="preserve"> </w:t>
      </w:r>
      <w:r>
        <w:rPr>
          <w:bCs/>
          <w:b/>
        </w:rPr>
        <w:t xml:space="preserve">manufacturing</w:t>
      </w:r>
      <w:r>
        <w:t xml:space="preserve">,</w:t>
      </w:r>
      <w:r>
        <w:t xml:space="preserve"> </w:t>
      </w:r>
      <w:r>
        <w:rPr>
          <w:bCs/>
          <w:b/>
        </w:rPr>
        <w:t xml:space="preserve">crypto engineering</w:t>
      </w:r>
      <w:r>
        <w:t xml:space="preserve">, and</w:t>
      </w:r>
      <w:r>
        <w:t xml:space="preserve"> </w:t>
      </w:r>
      <w:r>
        <w:rPr>
          <w:bCs/>
          <w:b/>
        </w:rPr>
        <w:t xml:space="preserve">retail operations</w:t>
      </w:r>
      <w:r>
        <w:t xml:space="preserve">:</w:t>
      </w:r>
    </w:p>
    <w:tbl>
      <w:tblPr>
        <w:tblStyle w:val="Table"/>
        <w:tblW w:type="pct" w:w="5000"/>
        <w:tblLook w:firstRow="1" w:lastRow="0" w:firstColumn="0" w:lastColumn="0" w:noHBand="0" w:noVBand="0" w:val="0020"/>
        <w:jc w:val="start"/>
      </w:tblPr>
      <w:tblGrid>
        <w:gridCol w:w="1827"/>
        <w:gridCol w:w="1827"/>
        <w:gridCol w:w="4264"/>
      </w:tblGrid>
      <w:tr>
        <w:trPr>
          <w:tblHeader w:val="true"/>
        </w:trPr>
        <w:tc>
          <w:tcPr/>
          <w:p>
            <w:pPr>
              <w:pStyle w:val="Compact"/>
              <w:jc w:val="left"/>
            </w:pPr>
            <w:r>
              <w:t xml:space="preserve">Node</w:t>
            </w:r>
          </w:p>
        </w:tc>
        <w:tc>
          <w:tcPr/>
          <w:p>
            <w:pPr>
              <w:pStyle w:val="Compact"/>
              <w:jc w:val="left"/>
            </w:pPr>
            <w:r>
              <w:t xml:space="preserve">Role</w:t>
            </w:r>
          </w:p>
        </w:tc>
        <w:tc>
          <w:tcPr/>
          <w:p>
            <w:pPr>
              <w:pStyle w:val="Compact"/>
              <w:jc w:val="left"/>
            </w:pPr>
            <w:r>
              <w:t xml:space="preserve">Edge pattern</w:t>
            </w:r>
          </w:p>
        </w:tc>
      </w:tr>
      <w:tr>
        <w:tc>
          <w:tcPr/>
          <w:p>
            <w:pPr>
              <w:pStyle w:val="Compact"/>
              <w:jc w:val="left"/>
            </w:pPr>
            <w:r>
              <w:t xml:space="preserve">Manufacturing root CA</w:t>
            </w:r>
          </w:p>
        </w:tc>
        <w:tc>
          <w:tcPr/>
          <w:p>
            <w:pPr>
              <w:pStyle w:val="Compact"/>
              <w:jc w:val="left"/>
            </w:pPr>
            <w:r>
              <w:t xml:space="preserve">Trust anchor for device identity</w:t>
            </w:r>
          </w:p>
        </w:tc>
        <w:tc>
          <w:tcPr/>
          <w:p>
            <w:pPr>
              <w:pStyle w:val="Compact"/>
              <w:jc w:val="left"/>
            </w:pPr>
            <w:r>
              <w:rPr>
                <w:rStyle w:val="VerbatimChar"/>
              </w:rPr>
              <w:t xml:space="preserve">signs</w:t>
            </w:r>
            <w:r>
              <w:t xml:space="preserve"> </w:t>
            </w:r>
            <w:r>
              <w:t xml:space="preserve">→ subordinate CA</w:t>
            </w:r>
          </w:p>
        </w:tc>
      </w:tr>
      <w:tr>
        <w:tc>
          <w:tcPr/>
          <w:p>
            <w:pPr>
              <w:pStyle w:val="Compact"/>
              <w:jc w:val="left"/>
            </w:pPr>
            <w:r>
              <w:t xml:space="preserve">Code-signing CA</w:t>
            </w:r>
          </w:p>
        </w:tc>
        <w:tc>
          <w:tcPr/>
          <w:p>
            <w:pPr>
              <w:pStyle w:val="Compact"/>
              <w:jc w:val="left"/>
            </w:pPr>
            <w:r>
              <w:t xml:space="preserve">Issues firmware signatures</w:t>
            </w:r>
          </w:p>
        </w:tc>
        <w:tc>
          <w:tcPr/>
          <w:p>
            <w:pPr>
              <w:pStyle w:val="Compact"/>
              <w:jc w:val="left"/>
            </w:pPr>
            <w:r>
              <w:rPr>
                <w:rStyle w:val="VerbatimChar"/>
              </w:rPr>
              <w:t xml:space="preserve">signs</w:t>
            </w:r>
            <w:r>
              <w:t xml:space="preserve"> </w:t>
            </w:r>
            <w:r>
              <w:t xml:space="preserve">→ firmware images</w:t>
            </w:r>
          </w:p>
        </w:tc>
      </w:tr>
      <w:tr>
        <w:tc>
          <w:tcPr/>
          <w:p>
            <w:pPr>
              <w:pStyle w:val="Compact"/>
              <w:jc w:val="left"/>
            </w:pPr>
            <w:r>
              <w:t xml:space="preserve">Payment HSM</w:t>
            </w:r>
          </w:p>
        </w:tc>
        <w:tc>
          <w:tcPr/>
          <w:p>
            <w:pPr>
              <w:pStyle w:val="Compact"/>
              <w:jc w:val="left"/>
            </w:pPr>
            <w:r>
              <w:t xml:space="preserve">Stores signing key; audits operations</w:t>
            </w:r>
          </w:p>
        </w:tc>
        <w:tc>
          <w:tcPr/>
          <w:p>
            <w:pPr>
              <w:pStyle w:val="Compact"/>
              <w:jc w:val="left"/>
            </w:pPr>
            <w:r>
              <w:rPr>
                <w:rStyle w:val="VerbatimChar"/>
              </w:rPr>
              <w:t xml:space="preserve">implements</w:t>
            </w:r>
            <w:r>
              <w:t xml:space="preserve"> </w:t>
            </w:r>
            <w:r>
              <w:t xml:space="preserve">FIPS module</w:t>
            </w:r>
          </w:p>
        </w:tc>
      </w:tr>
      <w:tr>
        <w:tc>
          <w:tcPr/>
          <w:p>
            <w:pPr>
              <w:pStyle w:val="Compact"/>
              <w:jc w:val="left"/>
            </w:pPr>
            <w:r>
              <w:t xml:space="preserve">Retail terminals</w:t>
            </w:r>
          </w:p>
        </w:tc>
        <w:tc>
          <w:tcPr/>
          <w:p>
            <w:pPr>
              <w:pStyle w:val="Compact"/>
              <w:jc w:val="left"/>
            </w:pPr>
            <w:r>
              <w:t xml:space="preserve">Verify firmware at boot</w:t>
            </w:r>
          </w:p>
        </w:tc>
        <w:tc>
          <w:tcPr/>
          <w:p>
            <w:pPr>
              <w:pStyle w:val="Compact"/>
              <w:jc w:val="left"/>
            </w:pPr>
            <w:r>
              <w:rPr>
                <w:rStyle w:val="VerbatimChar"/>
              </w:rPr>
              <w:t xml:space="preserve">verifies</w:t>
            </w:r>
            <w:r>
              <w:t xml:space="preserve"> </w:t>
            </w:r>
            <w:r>
              <w:t xml:space="preserve">← firmware;</w:t>
            </w:r>
            <w:r>
              <w:t xml:space="preserve"> </w:t>
            </w:r>
            <w:r>
              <w:rPr>
                <w:rStyle w:val="VerbatimChar"/>
              </w:rPr>
              <w:t xml:space="preserve">trusts</w:t>
            </w:r>
            <w:r>
              <w:t xml:space="preserve"> </w:t>
            </w:r>
            <w:r>
              <w:t xml:space="preserve">manufacturing root</w:t>
            </w:r>
          </w:p>
        </w:tc>
      </w:tr>
      <w:tr>
        <w:tc>
          <w:tcPr/>
          <w:p>
            <w:pPr>
              <w:pStyle w:val="Compact"/>
              <w:jc w:val="left"/>
            </w:pPr>
            <w:r>
              <w:t xml:space="preserve">Partner webhooks</w:t>
            </w:r>
          </w:p>
        </w:tc>
        <w:tc>
          <w:tcPr/>
          <w:p>
            <w:pPr>
              <w:pStyle w:val="Compact"/>
              <w:jc w:val="left"/>
            </w:pPr>
            <w:r>
              <w:t xml:space="preserve">Verify Meridian-signed payloads</w:t>
            </w:r>
          </w:p>
        </w:tc>
        <w:tc>
          <w:tcPr/>
          <w:p>
            <w:pPr>
              <w:pStyle w:val="Compact"/>
              <w:jc w:val="left"/>
            </w:pPr>
            <w:r>
              <w:rPr>
                <w:rStyle w:val="VerbatimChar"/>
              </w:rPr>
              <w:t xml:space="preserve">trusts</w:t>
            </w:r>
            <w:r>
              <w:t xml:space="preserve"> </w:t>
            </w:r>
            <w:r>
              <w:t xml:space="preserve">webhook signing cert</w:t>
            </w:r>
          </w:p>
        </w:tc>
      </w:tr>
    </w:tbl>
    <w:p>
      <w:pPr>
        <w:pStyle w:val="BodyText"/>
      </w:pPr>
      <w:r>
        <w:t xml:space="preserve">Changing the HSM’s signing algorithm without dual signatures would brick field terminals until trust stores updated — a</w:t>
      </w:r>
      <w:r>
        <w:t xml:space="preserve"> </w:t>
      </w:r>
      <w:r>
        <w:rPr>
          <w:bCs/>
          <w:b/>
        </w:rPr>
        <w:t xml:space="preserve">physical logistics</w:t>
      </w:r>
      <w:r>
        <w:t xml:space="preserve"> </w:t>
      </w:r>
      <w:r>
        <w:t xml:space="preserve">problem, not a CI/CD toggle. CDG edges to</w:t>
      </w:r>
      <w:r>
        <w:t xml:space="preserve"> </w:t>
      </w:r>
      <w:r>
        <w:rPr>
          <w:rStyle w:val="VerbatimChar"/>
        </w:rPr>
        <w:t xml:space="preserve">retail-terminal-fleet</w:t>
      </w:r>
      <w:r>
        <w:t xml:space="preserve"> </w:t>
      </w:r>
      <w:r>
        <w:t xml:space="preserve">carried attribute</w:t>
      </w:r>
      <w:r>
        <w:t xml:space="preserve"> </w:t>
      </w:r>
      <w:r>
        <w:rPr>
          <w:rStyle w:val="VerbatimChar"/>
        </w:rPr>
        <w:t xml:space="preserve">blocking: true, lead_time_months: 9</w:t>
      </w:r>
      <w:r>
        <w:t xml:space="preserve">.</w:t>
      </w:r>
    </w:p>
    <w:p>
      <w:pPr>
        <w:pStyle w:val="BodyText"/>
      </w:pPr>
      <w:r>
        <w:rPr>
          <w:bCs/>
          <w:b/>
        </w:rPr>
        <w:t xml:space="preserve">Architect’s Decision:</w:t>
      </w:r>
      <w:r>
        <w:t xml:space="preserve"> </w:t>
      </w:r>
      <w:r>
        <w:t xml:space="preserve">Meridian chose</w:t>
      </w:r>
      <w:r>
        <w:t xml:space="preserve"> </w:t>
      </w:r>
      <w:r>
        <w:rPr>
          <w:bCs/>
          <w:b/>
        </w:rPr>
        <w:t xml:space="preserve">dual-signature firmware</w:t>
      </w:r>
      <w:r>
        <w:t xml:space="preserve"> </w:t>
      </w:r>
      <w:r>
        <w:t xml:space="preserve">(legacy + hybrid) for one release cycle before retiring legacy — CDG edge annotations documented which terminal firmware versions accepted which signature types.</w:t>
      </w:r>
    </w:p>
    <w:p>
      <w:r>
        <w:pict>
          <v:rect style="width:0;height:1.5pt" o:hralign="center" o:hrstd="t" o:hr="t"/>
        </w:pict>
      </w:r>
    </w:p>
    <w:bookmarkEnd w:id="31"/>
    <w:bookmarkStart w:id="32" w:name="X2497ef8f179fbf0f3680fd06096afef0fee678e"/>
    <w:p>
      <w:pPr>
        <w:pStyle w:val="Heading2"/>
      </w:pPr>
      <w:r>
        <w:t xml:space="preserve">8.6 Northfield: OT Gateway as Protocol Translator</w:t>
      </w:r>
    </w:p>
    <w:p>
      <w:pPr>
        <w:pStyle w:val="FirstParagraph"/>
      </w:pPr>
      <w:r>
        <w:t xml:space="preserve">Northfield’s plant networks use</w:t>
      </w:r>
      <w:r>
        <w:t xml:space="preserve"> </w:t>
      </w:r>
      <w:r>
        <w:rPr>
          <w:bCs/>
          <w:b/>
        </w:rPr>
        <w:t xml:space="preserve">legacy OPC UA</w:t>
      </w:r>
      <w:r>
        <w:t xml:space="preserve"> </w:t>
      </w:r>
      <w:r>
        <w:t xml:space="preserve">and proprietary fieldbus crypto with</w:t>
      </w:r>
      <w:r>
        <w:t xml:space="preserve"> </w:t>
      </w:r>
      <w:r>
        <w:rPr>
          <w:bCs/>
          <w:b/>
        </w:rPr>
        <w:t xml:space="preserve">short key lengths</w:t>
      </w:r>
      <w:r>
        <w:t xml:space="preserve"> </w:t>
      </w:r>
      <w:r>
        <w:t xml:space="preserve">and</w:t>
      </w:r>
      <w:r>
        <w:t xml:space="preserve"> </w:t>
      </w:r>
      <w:r>
        <w:rPr>
          <w:bCs/>
          <w:b/>
        </w:rPr>
        <w:t xml:space="preserve">fixed cipher suites</w:t>
      </w:r>
      <w:r>
        <w:t xml:space="preserve"> </w:t>
      </w:r>
      <w:r>
        <w:t xml:space="preserve">on embedded gateways. The OT gateway node:</w:t>
      </w:r>
    </w:p>
    <w:p>
      <w:pPr>
        <w:numPr>
          <w:ilvl w:val="0"/>
          <w:numId w:val="1003"/>
        </w:numPr>
        <w:pStyle w:val="Compact"/>
      </w:pPr>
      <w:r>
        <w:rPr>
          <w:rStyle w:val="VerbatimChar"/>
        </w:rPr>
        <w:t xml:space="preserve">terminates</w:t>
      </w:r>
      <w:r>
        <w:t xml:space="preserve"> </w:t>
      </w:r>
      <w:r>
        <w:t xml:space="preserve">modern TLS from enterprise IT</w:t>
      </w:r>
    </w:p>
    <w:p>
      <w:pPr>
        <w:numPr>
          <w:ilvl w:val="0"/>
          <w:numId w:val="1003"/>
        </w:numPr>
        <w:pStyle w:val="Compact"/>
      </w:pPr>
      <w:r>
        <w:rPr>
          <w:rStyle w:val="VerbatimChar"/>
        </w:rPr>
        <w:t xml:space="preserve">implements</w:t>
      </w:r>
      <w:r>
        <w:t xml:space="preserve"> </w:t>
      </w:r>
      <w:r>
        <w:t xml:space="preserve">legacy field protocols toward PLCs</w:t>
      </w:r>
    </w:p>
    <w:p>
      <w:pPr>
        <w:numPr>
          <w:ilvl w:val="0"/>
          <w:numId w:val="1003"/>
        </w:numPr>
        <w:pStyle w:val="Compact"/>
      </w:pPr>
      <w:r>
        <w:rPr>
          <w:rStyle w:val="VerbatimChar"/>
        </w:rPr>
        <w:t xml:space="preserve">trusts</w:t>
      </w:r>
      <w:r>
        <w:t xml:space="preserve"> </w:t>
      </w:r>
      <w:r>
        <w:t xml:space="preserve">a single internal CA for both sides</w:t>
      </w:r>
    </w:p>
    <w:p>
      <w:pPr>
        <w:pStyle w:val="FirstParagraph"/>
      </w:pPr>
      <w:r>
        <w:t xml:space="preserve">PQ migration cannot start at the PLC. The</w:t>
      </w:r>
      <w:r>
        <w:t xml:space="preserve"> </w:t>
      </w:r>
      <w:r>
        <w:rPr>
          <w:bCs/>
          <w:b/>
        </w:rPr>
        <w:t xml:space="preserve">blocking node</w:t>
      </w:r>
      <w:r>
        <w:t xml:space="preserve"> </w:t>
      </w:r>
      <w:r>
        <w:t xml:space="preserve">is the gateway firmware and its trust bundle. CDG showed</w:t>
      </w:r>
      <w:r>
        <w:t xml:space="preserve"> </w:t>
      </w:r>
      <w:r>
        <w:rPr>
          <w:bCs/>
          <w:b/>
        </w:rPr>
        <w:t xml:space="preserve">18 production lines</w:t>
      </w:r>
      <w:r>
        <w:t xml:space="preserve"> </w:t>
      </w:r>
      <w:r>
        <w:t xml:space="preserve">fanning into one gateway model — matching the</w:t>
      </w:r>
      <w:r>
        <w:t xml:space="preserve"> </w:t>
      </w:r>
      <w:r>
        <w:t xml:space="preserve">“</w:t>
      </w:r>
      <w:r>
        <w:t xml:space="preserve">18 identical gateways</w:t>
      </w:r>
      <w:r>
        <w:t xml:space="preserve">”</w:t>
      </w:r>
      <w:r>
        <w:t xml:space="preserve"> </w:t>
      </w:r>
      <w:r>
        <w:t xml:space="preserve">inventory pattern from Chapter 7.</w:t>
      </w:r>
    </w:p>
    <w:p>
      <w:pPr>
        <w:pStyle w:val="BodyText"/>
      </w:pPr>
      <w:r>
        <w:t xml:space="preserve">Wave plan implication:</w:t>
      </w:r>
      <w:r>
        <w:t xml:space="preserve"> </w:t>
      </w:r>
      <w:r>
        <w:rPr>
          <w:bCs/>
          <w:b/>
        </w:rPr>
        <w:t xml:space="preserve">one gateway qualification</w:t>
      </w:r>
      <w:r>
        <w:t xml:space="preserve"> </w:t>
      </w:r>
      <w:r>
        <w:t xml:space="preserve">unlocks 18 lines — high leverage, but firmware vendor roadmap gates the node (TRADE dependency dimension).</w:t>
      </w:r>
    </w:p>
    <w:p>
      <w:r>
        <w:pict>
          <v:rect style="width:0;height:1.5pt" o:hralign="center" o:hrstd="t" o:hr="t"/>
        </w:pict>
      </w:r>
    </w:p>
    <w:bookmarkEnd w:id="32"/>
    <w:bookmarkStart w:id="33" w:name="X25c24316ac95c356180e1f3e93d4363e11a412e"/>
    <w:p>
      <w:pPr>
        <w:pStyle w:val="Heading2"/>
      </w:pPr>
      <w:r>
        <w:t xml:space="preserve">8.7 Apex: Classified Boundaries and NSS Isolation</w:t>
      </w:r>
    </w:p>
    <w:p>
      <w:pPr>
        <w:pStyle w:val="FirstParagraph"/>
      </w:pPr>
      <w:r>
        <w:t xml:space="preserve">Apex maintains</w:t>
      </w:r>
      <w:r>
        <w:t xml:space="preserve"> </w:t>
      </w:r>
      <w:r>
        <w:rPr>
          <w:bCs/>
          <w:b/>
        </w:rPr>
        <w:t xml:space="preserve">NSS-aligned</w:t>
      </w:r>
      <w:r>
        <w:t xml:space="preserve"> </w:t>
      </w:r>
      <w:r>
        <w:t xml:space="preserve">enclaves where CDG construction follows different rules:</w:t>
      </w:r>
    </w:p>
    <w:p>
      <w:pPr>
        <w:numPr>
          <w:ilvl w:val="0"/>
          <w:numId w:val="1004"/>
        </w:numPr>
        <w:pStyle w:val="Compact"/>
      </w:pPr>
      <w:r>
        <w:rPr>
          <w:bCs/>
          <w:b/>
        </w:rPr>
        <w:t xml:space="preserve">Air-gapped segments</w:t>
      </w:r>
      <w:r>
        <w:t xml:space="preserve"> </w:t>
      </w:r>
      <w:r>
        <w:t xml:space="preserve">do not share trust anchors with corporate CDG — separate graph component</w:t>
      </w:r>
      <w:r>
        <w:t xml:space="preserve"> </w:t>
      </w:r>
      <w:r>
        <w:rPr>
          <w:rStyle w:val="VerbatimChar"/>
        </w:rPr>
        <w:t xml:space="preserve">G_apex_nss</w:t>
      </w:r>
      <w:r>
        <w:t xml:space="preserve">.</w:t>
      </w:r>
    </w:p>
    <w:p>
      <w:pPr>
        <w:numPr>
          <w:ilvl w:val="0"/>
          <w:numId w:val="1004"/>
        </w:numPr>
        <w:pStyle w:val="Compact"/>
      </w:pPr>
      <w:r>
        <w:rPr>
          <w:bCs/>
          <w:b/>
        </w:rPr>
        <w:t xml:space="preserve">Cross-domain guards</w:t>
      </w:r>
      <w:r>
        <w:t xml:space="preserve"> </w:t>
      </w:r>
      <w:r>
        <w:t xml:space="preserve">appear as nodes with</w:t>
      </w:r>
      <w:r>
        <w:t xml:space="preserve"> </w:t>
      </w:r>
      <w:r>
        <w:rPr>
          <w:rStyle w:val="VerbatimChar"/>
        </w:rPr>
        <w:t xml:space="preserve">terminates</w:t>
      </w:r>
      <w:r>
        <w:t xml:space="preserve"> </w:t>
      </w:r>
      <w:r>
        <w:t xml:space="preserve">edges on both sides; changing algorithms requires</w:t>
      </w:r>
      <w:r>
        <w:t xml:space="preserve"> </w:t>
      </w:r>
      <w:r>
        <w:rPr>
          <w:bCs/>
          <w:b/>
        </w:rPr>
        <w:t xml:space="preserve">accreditation artefact</w:t>
      </w:r>
      <w:r>
        <w:t xml:space="preserve"> </w:t>
      </w:r>
      <w:r>
        <w:t xml:space="preserve">updates, not only config.</w:t>
      </w:r>
    </w:p>
    <w:p>
      <w:pPr>
        <w:numPr>
          <w:ilvl w:val="0"/>
          <w:numId w:val="1004"/>
        </w:numPr>
        <w:pStyle w:val="Compact"/>
      </w:pPr>
      <w:r>
        <w:rPr>
          <w:bCs/>
          <w:b/>
        </w:rPr>
        <w:t xml:space="preserve">Blocking nodes</w:t>
      </w:r>
      <w:r>
        <w:t xml:space="preserve"> </w:t>
      </w:r>
      <w:r>
        <w:t xml:space="preserve">include</w:t>
      </w:r>
      <w:r>
        <w:t xml:space="preserve"> </w:t>
      </w:r>
      <w:r>
        <w:rPr>
          <w:bCs/>
          <w:b/>
        </w:rPr>
        <w:t xml:space="preserve">STIG-validated modules</w:t>
      </w:r>
      <w:r>
        <w:t xml:space="preserve"> </w:t>
      </w:r>
      <w:r>
        <w:t xml:space="preserve">where FIPS 140-3 and NSM policy intersect.</w:t>
      </w:r>
    </w:p>
    <w:p>
      <w:pPr>
        <w:pStyle w:val="FirstParagraph"/>
      </w:pPr>
      <w:r>
        <w:t xml:space="preserve">Corporate CBOM rows must not automatically merge into NSS CDG without</w:t>
      </w:r>
      <w:r>
        <w:t xml:space="preserve"> </w:t>
      </w:r>
      <w:r>
        <w:rPr>
          <w:bCs/>
          <w:b/>
        </w:rPr>
        <w:t xml:space="preserve">classification review</w:t>
      </w:r>
      <w:r>
        <w:t xml:space="preserve">. Apex uses</w:t>
      </w:r>
      <w:r>
        <w:t xml:space="preserve"> </w:t>
      </w:r>
      <w:r>
        <w:rPr>
          <w:rStyle w:val="VerbatimChar"/>
        </w:rPr>
        <w:t xml:space="preserve">boundary_tag: nss</w:t>
      </w:r>
      <w:r>
        <w:t xml:space="preserve"> </w:t>
      </w:r>
      <w:r>
        <w:t xml:space="preserve">on nodes; automated graph merge tools are disabled for those components.</w:t>
      </w:r>
    </w:p>
    <w:p>
      <w:pPr>
        <w:pStyle w:val="BlockText"/>
      </w:pPr>
      <w:r>
        <w:rPr>
          <w:bCs/>
          <w:b/>
        </w:rPr>
        <w:t xml:space="preserve">Regulatory Lens</w:t>
      </w:r>
      <w:r>
        <w:br/>
      </w:r>
      <w:r>
        <w:t xml:space="preserve">For NSS-bound systems, CDG edges may need to reference</w:t>
      </w:r>
      <w:r>
        <w:t xml:space="preserve"> </w:t>
      </w:r>
      <w:r>
        <w:rPr>
          <w:bCs/>
          <w:b/>
        </w:rPr>
        <w:t xml:space="preserve">authorisation packages</w:t>
      </w:r>
      <w:r>
        <w:t xml:space="preserve"> </w:t>
      </w:r>
      <w:r>
        <w:t xml:space="preserve">(ATO, interim authorisation) as evidence attachments — the graph is audit evidence, not only engineering documentation.</w:t>
      </w:r>
    </w:p>
    <w:p>
      <w:r>
        <w:pict>
          <v:rect style="width:0;height:1.5pt" o:hralign="center" o:hrstd="t" o:hr="t"/>
        </w:pict>
      </w:r>
    </w:p>
    <w:bookmarkEnd w:id="33"/>
    <w:bookmarkStart w:id="34" w:name="pki-dependency-explosion"/>
    <w:p>
      <w:pPr>
        <w:pStyle w:val="Heading2"/>
      </w:pPr>
      <w:r>
        <w:t xml:space="preserve">8.8 PKI Dependency Explosion</w:t>
      </w:r>
    </w:p>
    <w:p>
      <w:pPr>
        <w:pStyle w:val="FirstParagraph"/>
      </w:pPr>
      <w:r>
        <w:t xml:space="preserve">Enterprise PKI is the most common source of</w:t>
      </w:r>
      <w:r>
        <w:t xml:space="preserve"> </w:t>
      </w:r>
      <w:r>
        <w:rPr>
          <w:bCs/>
          <w:b/>
        </w:rPr>
        <w:t xml:space="preserve">edge explosion</w:t>
      </w:r>
      <w:r>
        <w:t xml:space="preserve">. A single root CA node may have:</w:t>
      </w:r>
    </w:p>
    <w:p>
      <w:pPr>
        <w:numPr>
          <w:ilvl w:val="0"/>
          <w:numId w:val="1005"/>
        </w:numPr>
        <w:pStyle w:val="Compact"/>
      </w:pPr>
      <w:r>
        <w:t xml:space="preserve">500+</w:t>
      </w:r>
      <w:r>
        <w:t xml:space="preserve"> </w:t>
      </w:r>
      <w:r>
        <w:rPr>
          <w:rStyle w:val="VerbatimChar"/>
        </w:rPr>
        <w:t xml:space="preserve">signs</w:t>
      </w:r>
      <w:r>
        <w:t xml:space="preserve"> </w:t>
      </w:r>
      <w:r>
        <w:t xml:space="preserve">edges to server certificates</w:t>
      </w:r>
    </w:p>
    <w:p>
      <w:pPr>
        <w:numPr>
          <w:ilvl w:val="0"/>
          <w:numId w:val="1005"/>
        </w:numPr>
        <w:pStyle w:val="Compact"/>
      </w:pPr>
      <w:r>
        <w:t xml:space="preserve">50+</w:t>
      </w:r>
      <w:r>
        <w:t xml:space="preserve"> </w:t>
      </w:r>
      <w:r>
        <w:rPr>
          <w:rStyle w:val="VerbatimChar"/>
        </w:rPr>
        <w:t xml:space="preserve">inherits</w:t>
      </w:r>
      <w:r>
        <w:t xml:space="preserve"> </w:t>
      </w:r>
      <w:r>
        <w:t xml:space="preserve">edges to subordinate CAs</w:t>
      </w:r>
    </w:p>
    <w:p>
      <w:pPr>
        <w:numPr>
          <w:ilvl w:val="0"/>
          <w:numId w:val="1005"/>
        </w:numPr>
        <w:pStyle w:val="Compact"/>
      </w:pPr>
      <w:r>
        <w:t xml:space="preserve">Thousands of indirect</w:t>
      </w:r>
      <w:r>
        <w:t xml:space="preserve"> </w:t>
      </w:r>
      <w:r>
        <w:rPr>
          <w:rStyle w:val="VerbatimChar"/>
        </w:rPr>
        <w:t xml:space="preserve">trusts</w:t>
      </w:r>
      <w:r>
        <w:t xml:space="preserve"> </w:t>
      </w:r>
      <w:r>
        <w:t xml:space="preserve">edges via applications</w:t>
      </w:r>
    </w:p>
    <w:p>
      <w:pPr>
        <w:pStyle w:val="FirstParagraph"/>
      </w:pPr>
      <w:r>
        <w:rPr>
          <w:bCs/>
          <w:b/>
        </w:rPr>
        <w:t xml:space="preserve">Compression strategies</w:t>
      </w:r>
      <w:r>
        <w:t xml:space="preserve"> </w:t>
      </w:r>
      <w:r>
        <w:t xml:space="preserve">for human-readable CDG views:</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Strategy</w:t>
            </w:r>
          </w:p>
        </w:tc>
        <w:tc>
          <w:tcPr/>
          <w:p>
            <w:pPr>
              <w:pStyle w:val="Compact"/>
              <w:jc w:val="left"/>
            </w:pPr>
            <w:r>
              <w:t xml:space="preserve">When to use</w:t>
            </w:r>
          </w:p>
        </w:tc>
      </w:tr>
      <w:tr>
        <w:tc>
          <w:tcPr/>
          <w:p>
            <w:pPr>
              <w:pStyle w:val="Compact"/>
              <w:jc w:val="left"/>
            </w:pPr>
            <w:r>
              <w:rPr>
                <w:bCs/>
                <w:b/>
              </w:rPr>
              <w:t xml:space="preserve">Roll-up by template</w:t>
            </w:r>
          </w:p>
        </w:tc>
        <w:tc>
          <w:tcPr/>
          <w:p>
            <w:pPr>
              <w:pStyle w:val="Compact"/>
              <w:jc w:val="left"/>
            </w:pPr>
            <w:r>
              <w:t xml:space="preserve">Certs issued from same profile collapse to one meta-node</w:t>
            </w:r>
          </w:p>
        </w:tc>
      </w:tr>
      <w:tr>
        <w:tc>
          <w:tcPr/>
          <w:p>
            <w:pPr>
              <w:pStyle w:val="Compact"/>
              <w:jc w:val="left"/>
            </w:pPr>
            <w:r>
              <w:rPr>
                <w:bCs/>
                <w:b/>
              </w:rPr>
              <w:t xml:space="preserve">Roll-up by workload</w:t>
            </w:r>
          </w:p>
        </w:tc>
        <w:tc>
          <w:tcPr/>
          <w:p>
            <w:pPr>
              <w:pStyle w:val="Compact"/>
              <w:jc w:val="left"/>
            </w:pPr>
            <w:r>
              <w:t xml:space="preserve">All certs on</w:t>
            </w:r>
            <w:r>
              <w:t xml:space="preserve"> </w:t>
            </w:r>
            <w:r>
              <w:rPr>
                <w:rStyle w:val="VerbatimChar"/>
              </w:rPr>
              <w:t xml:space="preserve">cluster-prod-payments</w:t>
            </w:r>
            <w:r>
              <w:t xml:space="preserve"> </w:t>
            </w:r>
            <w:r>
              <w:t xml:space="preserve">as one consumer node</w:t>
            </w:r>
          </w:p>
        </w:tc>
      </w:tr>
      <w:tr>
        <w:tc>
          <w:tcPr/>
          <w:p>
            <w:pPr>
              <w:pStyle w:val="Compact"/>
              <w:jc w:val="left"/>
            </w:pPr>
            <w:r>
              <w:rPr>
                <w:bCs/>
                <w:b/>
              </w:rPr>
              <w:t xml:space="preserve">Hop-limited view</w:t>
            </w:r>
          </w:p>
        </w:tc>
        <w:tc>
          <w:tcPr/>
          <w:p>
            <w:pPr>
              <w:pStyle w:val="Compact"/>
              <w:jc w:val="left"/>
            </w:pPr>
            <w:r>
              <w:t xml:space="preserve">Show depth-1 and depth-2 only; lazy-expand on click</w:t>
            </w:r>
          </w:p>
        </w:tc>
      </w:tr>
      <w:tr>
        <w:tc>
          <w:tcPr/>
          <w:p>
            <w:pPr>
              <w:pStyle w:val="Compact"/>
              <w:jc w:val="left"/>
            </w:pPr>
            <w:r>
              <w:rPr>
                <w:bCs/>
                <w:b/>
              </w:rPr>
              <w:t xml:space="preserve">Blocking-only filter</w:t>
            </w:r>
          </w:p>
        </w:tc>
        <w:tc>
          <w:tcPr/>
          <w:p>
            <w:pPr>
              <w:pStyle w:val="Compact"/>
              <w:jc w:val="left"/>
            </w:pPr>
            <w:r>
              <w:t xml:space="preserve">Executive dashboard: nodes with</w:t>
            </w:r>
            <w:r>
              <w:t xml:space="preserve"> </w:t>
            </w:r>
            <w:r>
              <w:rPr>
                <w:rStyle w:val="VerbatimChar"/>
              </w:rPr>
              <w:t xml:space="preserve">blocking: true</w:t>
            </w:r>
          </w:p>
        </w:tc>
      </w:tr>
    </w:tbl>
    <w:p>
      <w:pPr>
        <w:pStyle w:val="BodyText"/>
      </w:pPr>
      <w:r>
        <w:t xml:space="preserve">Meridian’s uncompressed CDG export reached</w:t>
      </w:r>
      <w:r>
        <w:t xml:space="preserve"> </w:t>
      </w:r>
      <w:r>
        <w:rPr>
          <w:bCs/>
          <w:b/>
        </w:rPr>
        <w:t xml:space="preserve">1.2 million edges</w:t>
      </w:r>
      <w:r>
        <w:t xml:space="preserve"> </w:t>
      </w:r>
      <w:r>
        <w:t xml:space="preserve">after automated cert discovery — unusable for workshops. Roll-up by template reduced to</w:t>
      </w:r>
      <w:r>
        <w:t xml:space="preserve"> </w:t>
      </w:r>
      <w:r>
        <w:rPr>
          <w:bCs/>
          <w:b/>
        </w:rPr>
        <w:t xml:space="preserve">4,800</w:t>
      </w:r>
      <w:r>
        <w:t xml:space="preserve"> </w:t>
      </w:r>
      <w:r>
        <w:t xml:space="preserve">edges while preserving blocking nodes.</w:t>
      </w:r>
    </w:p>
    <w:p>
      <w:r>
        <w:pict>
          <v:rect style="width:0;height:1.5pt" o:hralign="center" o:hrstd="t" o:hr="t"/>
        </w:pict>
      </w:r>
    </w:p>
    <w:bookmarkEnd w:id="34"/>
    <w:bookmarkStart w:id="42" w:name="building-the-cdg-methodology"/>
    <w:p>
      <w:pPr>
        <w:pStyle w:val="Heading2"/>
      </w:pPr>
      <w:r>
        <w:t xml:space="preserve">8.9 Building the CDG: Methodology</w:t>
      </w:r>
    </w:p>
    <w:p>
      <w:pPr>
        <w:pStyle w:val="FirstParagraph"/>
      </w:pPr>
      <w:r>
        <w:t xml:space="preserve">CDG construction is a</w:t>
      </w:r>
      <w:r>
        <w:t xml:space="preserve"> </w:t>
      </w:r>
      <w:r>
        <w:rPr>
          <w:bCs/>
          <w:b/>
        </w:rPr>
        <w:t xml:space="preserve">programme workstream</w:t>
      </w:r>
      <w:r>
        <w:t xml:space="preserve">, not a one-off architecture diagram. Meridian allocated three parallel domain teams — payments, corporate IT, OT — each producing subgraphs merged at programme office.</w:t>
      </w:r>
    </w:p>
    <w:bookmarkStart w:id="35" w:name="roles-and-staffing"/>
    <w:p>
      <w:pPr>
        <w:pStyle w:val="Heading3"/>
      </w:pPr>
      <w:r>
        <w:t xml:space="preserve">Roles and staffing</w:t>
      </w:r>
    </w:p>
    <w:tbl>
      <w:tblPr>
        <w:tblStyle w:val="Table"/>
        <w:tblW w:type="pct" w:w="5000"/>
        <w:tblLook w:firstRow="1" w:lastRow="0" w:firstColumn="0" w:lastColumn="0" w:noHBand="0" w:noVBand="0" w:val="0020"/>
        <w:jc w:val="start"/>
      </w:tblPr>
      <w:tblGrid>
        <w:gridCol w:w="1159"/>
        <w:gridCol w:w="3090"/>
        <w:gridCol w:w="3670"/>
      </w:tblGrid>
      <w:tr>
        <w:trPr>
          <w:tblHeader w:val="true"/>
        </w:trPr>
        <w:tc>
          <w:tcPr/>
          <w:p>
            <w:pPr>
              <w:pStyle w:val="Compact"/>
              <w:jc w:val="left"/>
            </w:pPr>
            <w:r>
              <w:t xml:space="preserve">Role</w:t>
            </w:r>
          </w:p>
        </w:tc>
        <w:tc>
          <w:tcPr/>
          <w:p>
            <w:pPr>
              <w:pStyle w:val="Compact"/>
              <w:jc w:val="left"/>
            </w:pPr>
            <w:r>
              <w:t xml:space="preserve">Responsibility</w:t>
            </w:r>
          </w:p>
        </w:tc>
        <w:tc>
          <w:tcPr/>
          <w:p>
            <w:pPr>
              <w:pStyle w:val="Compact"/>
              <w:jc w:val="left"/>
            </w:pPr>
            <w:r>
              <w:t xml:space="preserve">FTE (illustrative)</w:t>
            </w:r>
          </w:p>
        </w:tc>
      </w:tr>
      <w:tr>
        <w:tc>
          <w:tcPr/>
          <w:p>
            <w:pPr>
              <w:pStyle w:val="Compact"/>
              <w:jc w:val="left"/>
            </w:pPr>
            <w:r>
              <w:t xml:space="preserve">CDG architect</w:t>
            </w:r>
          </w:p>
        </w:tc>
        <w:tc>
          <w:tcPr/>
          <w:p>
            <w:pPr>
              <w:pStyle w:val="Compact"/>
              <w:jc w:val="left"/>
            </w:pPr>
            <w:r>
              <w:t xml:space="preserve">Schema, merge rules, tool config</w:t>
            </w:r>
          </w:p>
        </w:tc>
        <w:tc>
          <w:tcPr/>
          <w:p>
            <w:pPr>
              <w:pStyle w:val="Compact"/>
              <w:jc w:val="left"/>
            </w:pPr>
            <w:r>
              <w:t xml:space="preserve">1.0</w:t>
            </w:r>
          </w:p>
        </w:tc>
      </w:tr>
      <w:tr>
        <w:tc>
          <w:tcPr/>
          <w:p>
            <w:pPr>
              <w:pStyle w:val="Compact"/>
              <w:jc w:val="left"/>
            </w:pPr>
            <w:r>
              <w:t xml:space="preserve">Domain enricher</w:t>
            </w:r>
          </w:p>
        </w:tc>
        <w:tc>
          <w:tcPr/>
          <w:p>
            <w:pPr>
              <w:pStyle w:val="Compact"/>
              <w:jc w:val="left"/>
            </w:pPr>
            <w:r>
              <w:t xml:space="preserve">Interviews, config harvest per domain</w:t>
            </w:r>
          </w:p>
        </w:tc>
        <w:tc>
          <w:tcPr/>
          <w:p>
            <w:pPr>
              <w:pStyle w:val="Compact"/>
              <w:jc w:val="left"/>
            </w:pPr>
            <w:r>
              <w:t xml:space="preserve">0.5 per domain</w:t>
            </w:r>
          </w:p>
        </w:tc>
      </w:tr>
      <w:tr>
        <w:tc>
          <w:tcPr/>
          <w:p>
            <w:pPr>
              <w:pStyle w:val="Compact"/>
              <w:jc w:val="left"/>
            </w:pPr>
            <w:r>
              <w:t xml:space="preserve">PKI specialist</w:t>
            </w:r>
          </w:p>
        </w:tc>
        <w:tc>
          <w:tcPr/>
          <w:p>
            <w:pPr>
              <w:pStyle w:val="Compact"/>
              <w:jc w:val="left"/>
            </w:pPr>
            <w:r>
              <w:t xml:space="preserve">CA/signs edge validation</w:t>
            </w:r>
          </w:p>
        </w:tc>
        <w:tc>
          <w:tcPr/>
          <w:p>
            <w:pPr>
              <w:pStyle w:val="Compact"/>
              <w:jc w:val="left"/>
            </w:pPr>
            <w:r>
              <w:t xml:space="preserve">0.25</w:t>
            </w:r>
          </w:p>
        </w:tc>
      </w:tr>
      <w:tr>
        <w:tc>
          <w:tcPr/>
          <w:p>
            <w:pPr>
              <w:pStyle w:val="Compact"/>
              <w:jc w:val="left"/>
            </w:pPr>
            <w:r>
              <w:t xml:space="preserve">OT liaison</w:t>
            </w:r>
          </w:p>
        </w:tc>
        <w:tc>
          <w:tcPr/>
          <w:p>
            <w:pPr>
              <w:pStyle w:val="Compact"/>
              <w:jc w:val="left"/>
            </w:pPr>
            <w:r>
              <w:t xml:space="preserve">Site surveys, vendor workshops</w:t>
            </w:r>
          </w:p>
        </w:tc>
        <w:tc>
          <w:tcPr/>
          <w:p>
            <w:pPr>
              <w:pStyle w:val="Compact"/>
              <w:jc w:val="left"/>
            </w:pPr>
            <w:r>
              <w:t xml:space="preserve">0.5 (Northfield)</w:t>
            </w:r>
          </w:p>
        </w:tc>
      </w:tr>
      <w:tr>
        <w:tc>
          <w:tcPr/>
          <w:p>
            <w:pPr>
              <w:pStyle w:val="Compact"/>
              <w:jc w:val="left"/>
            </w:pPr>
            <w:r>
              <w:t xml:space="preserve">Programme integrator</w:t>
            </w:r>
          </w:p>
        </w:tc>
        <w:tc>
          <w:tcPr/>
          <w:p>
            <w:pPr>
              <w:pStyle w:val="Compact"/>
              <w:jc w:val="left"/>
            </w:pPr>
            <w:r>
              <w:t xml:space="preserve">TRADE/wave feed, dashboard</w:t>
            </w:r>
          </w:p>
        </w:tc>
        <w:tc>
          <w:tcPr/>
          <w:p>
            <w:pPr>
              <w:pStyle w:val="Compact"/>
              <w:jc w:val="left"/>
            </w:pPr>
            <w:r>
              <w:t xml:space="preserve">0.25</w:t>
            </w:r>
          </w:p>
        </w:tc>
      </w:tr>
    </w:tbl>
    <w:bookmarkEnd w:id="35"/>
    <w:bookmarkStart w:id="36" w:name="phase-a-seed-from-cbom"/>
    <w:p>
      <w:pPr>
        <w:pStyle w:val="Heading3"/>
      </w:pPr>
      <w:r>
        <w:t xml:space="preserve">Phase A — Seed from CBOM</w:t>
      </w:r>
    </w:p>
    <w:p>
      <w:pPr>
        <w:numPr>
          <w:ilvl w:val="0"/>
          <w:numId w:val="1006"/>
        </w:numPr>
        <w:pStyle w:val="Compact"/>
      </w:pPr>
      <w:r>
        <w:t xml:space="preserve">Import all CBOM components with</w:t>
      </w:r>
      <w:r>
        <w:t xml:space="preserve"> </w:t>
      </w:r>
      <w:r>
        <w:rPr>
          <w:rStyle w:val="VerbatimChar"/>
        </w:rPr>
        <w:t xml:space="preserve">crypto_relevant: true</w:t>
      </w:r>
      <w:r>
        <w:t xml:space="preserve">.</w:t>
      </w:r>
    </w:p>
    <w:p>
      <w:pPr>
        <w:numPr>
          <w:ilvl w:val="0"/>
          <w:numId w:val="1006"/>
        </w:numPr>
        <w:pStyle w:val="Compact"/>
      </w:pPr>
      <w:r>
        <w:t xml:space="preserve">Create nodes for keys, certs, HSMs, trust stores referenced in attributes.</w:t>
      </w:r>
    </w:p>
    <w:p>
      <w:pPr>
        <w:numPr>
          <w:ilvl w:val="0"/>
          <w:numId w:val="1006"/>
        </w:numPr>
        <w:pStyle w:val="Compact"/>
      </w:pPr>
      <w:r>
        <w:t xml:space="preserve">Infer initial edges from:</w:t>
      </w:r>
      <w:r>
        <w:t xml:space="preserve"> </w:t>
      </w:r>
      <w:r>
        <w:rPr>
          <w:rStyle w:val="VerbatimChar"/>
        </w:rPr>
        <w:t xml:space="preserve">issuer</w:t>
      </w:r>
      <w:r>
        <w:t xml:space="preserve">,</w:t>
      </w:r>
      <w:r>
        <w:t xml:space="preserve"> </w:t>
      </w:r>
      <w:r>
        <w:rPr>
          <w:rStyle w:val="VerbatimChar"/>
        </w:rPr>
        <w:t xml:space="preserve">subject</w:t>
      </w:r>
      <w:r>
        <w:t xml:space="preserve">,</w:t>
      </w:r>
      <w:r>
        <w:t xml:space="preserve"> </w:t>
      </w:r>
      <w:r>
        <w:rPr>
          <w:rStyle w:val="VerbatimChar"/>
        </w:rPr>
        <w:t xml:space="preserve">parent_component_id</w:t>
      </w:r>
      <w:r>
        <w:t xml:space="preserve">,</w:t>
      </w:r>
      <w:r>
        <w:t xml:space="preserve"> </w:t>
      </w:r>
      <w:r>
        <w:rPr>
          <w:rStyle w:val="VerbatimChar"/>
        </w:rPr>
        <w:t xml:space="preserve">trust_store_ref</w:t>
      </w:r>
      <w:r>
        <w:t xml:space="preserve">.</w:t>
      </w:r>
    </w:p>
    <w:bookmarkEnd w:id="36"/>
    <w:bookmarkStart w:id="37" w:name="phase-b-enrich-via-interviews-and-config"/>
    <w:p>
      <w:pPr>
        <w:pStyle w:val="Heading3"/>
      </w:pPr>
      <w:r>
        <w:t xml:space="preserve">Phase B — Enrich via interviews and config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Edge types discovered</w:t>
            </w:r>
          </w:p>
        </w:tc>
      </w:tr>
      <w:tr>
        <w:tc>
          <w:tcPr/>
          <w:p>
            <w:pPr>
              <w:pStyle w:val="Compact"/>
              <w:jc w:val="left"/>
            </w:pPr>
            <w:r>
              <w:t xml:space="preserve">TLS config dumps</w:t>
            </w:r>
          </w:p>
        </w:tc>
        <w:tc>
          <w:tcPr/>
          <w:p>
            <w:pPr>
              <w:pStyle w:val="Compact"/>
              <w:jc w:val="left"/>
            </w:pPr>
            <w:r>
              <w:rPr>
                <w:rStyle w:val="VerbatimChar"/>
              </w:rPr>
              <w:t xml:space="preserve">terminates</w:t>
            </w:r>
            <w:r>
              <w:t xml:space="preserve">, cipher suite</w:t>
            </w:r>
            <w:r>
              <w:t xml:space="preserve"> </w:t>
            </w:r>
            <w:r>
              <w:rPr>
                <w:rStyle w:val="VerbatimChar"/>
              </w:rPr>
              <w:t xml:space="preserve">implements</w:t>
            </w:r>
          </w:p>
        </w:tc>
      </w:tr>
      <w:tr>
        <w:tc>
          <w:tcPr/>
          <w:p>
            <w:pPr>
              <w:pStyle w:val="Compact"/>
              <w:jc w:val="left"/>
            </w:pPr>
            <w:r>
              <w:t xml:space="preserve">Code signing pipelines</w:t>
            </w:r>
          </w:p>
        </w:tc>
        <w:tc>
          <w:tcPr/>
          <w:p>
            <w:pPr>
              <w:pStyle w:val="Compact"/>
              <w:jc w:val="left"/>
            </w:pPr>
            <w:r>
              <w:rPr>
                <w:rStyle w:val="VerbatimChar"/>
              </w:rPr>
              <w:t xml:space="preserve">signs</w:t>
            </w:r>
            <w:r>
              <w:t xml:space="preserve">,</w:t>
            </w:r>
            <w:r>
              <w:t xml:space="preserve"> </w:t>
            </w:r>
            <w:r>
              <w:rPr>
                <w:rStyle w:val="VerbatimChar"/>
              </w:rPr>
              <w:t xml:space="preserve">verifies</w:t>
            </w:r>
          </w:p>
        </w:tc>
      </w:tr>
      <w:tr>
        <w:tc>
          <w:tcPr/>
          <w:p>
            <w:pPr>
              <w:pStyle w:val="Compact"/>
              <w:jc w:val="left"/>
            </w:pPr>
            <w:r>
              <w:t xml:space="preserve">IaC (cert-manager, ACM ARNs)</w:t>
            </w:r>
          </w:p>
        </w:tc>
        <w:tc>
          <w:tcPr/>
          <w:p>
            <w:pPr>
              <w:pStyle w:val="Compact"/>
              <w:jc w:val="left"/>
            </w:pPr>
            <w:r>
              <w:rPr>
                <w:rStyle w:val="VerbatimChar"/>
              </w:rPr>
              <w:t xml:space="preserve">trusts</w:t>
            </w:r>
            <w:r>
              <w:t xml:space="preserve">,</w:t>
            </w:r>
            <w:r>
              <w:t xml:space="preserve"> </w:t>
            </w:r>
            <w:r>
              <w:rPr>
                <w:rStyle w:val="VerbatimChar"/>
              </w:rPr>
              <w:t xml:space="preserve">inherits</w:t>
            </w:r>
          </w:p>
        </w:tc>
      </w:tr>
      <w:tr>
        <w:tc>
          <w:tcPr/>
          <w:p>
            <w:pPr>
              <w:pStyle w:val="Compact"/>
              <w:jc w:val="left"/>
            </w:pPr>
            <w:r>
              <w:t xml:space="preserve">Partner integration docs</w:t>
            </w:r>
          </w:p>
        </w:tc>
        <w:tc>
          <w:tcPr/>
          <w:p>
            <w:pPr>
              <w:pStyle w:val="Compact"/>
              <w:jc w:val="left"/>
            </w:pPr>
            <w:r>
              <w:rPr>
                <w:rStyle w:val="VerbatimChar"/>
              </w:rPr>
              <w:t xml:space="preserve">trusts</w:t>
            </w:r>
            <w:r>
              <w:t xml:space="preserve"> </w:t>
            </w:r>
            <w:r>
              <w:t xml:space="preserve">to partner anchors</w:t>
            </w:r>
          </w:p>
        </w:tc>
      </w:tr>
    </w:tbl>
    <w:bookmarkEnd w:id="37"/>
    <w:bookmarkStart w:id="38" w:name="phase-c-validate"/>
    <w:p>
      <w:pPr>
        <w:pStyle w:val="Heading3"/>
      </w:pPr>
      <w:r>
        <w:t xml:space="preserve">Phase C — Validate</w:t>
      </w:r>
    </w:p>
    <w:p>
      <w:pPr>
        <w:numPr>
          <w:ilvl w:val="0"/>
          <w:numId w:val="1007"/>
        </w:numPr>
        <w:pStyle w:val="Compact"/>
      </w:pPr>
      <w:r>
        <w:rPr>
          <w:bCs/>
          <w:b/>
        </w:rPr>
        <w:t xml:space="preserve">Blast-radius exercise:</w:t>
      </w:r>
      <w:r>
        <w:t xml:space="preserve"> </w:t>
      </w:r>
      <w:r>
        <w:t xml:space="preserve">For each candidate blocking node, list dependents via reverse BFS.</w:t>
      </w:r>
    </w:p>
    <w:p>
      <w:pPr>
        <w:numPr>
          <w:ilvl w:val="0"/>
          <w:numId w:val="1007"/>
        </w:numPr>
        <w:pStyle w:val="Compact"/>
      </w:pPr>
      <w:r>
        <w:rPr>
          <w:bCs/>
          <w:b/>
        </w:rPr>
        <w:t xml:space="preserve">Orphan detection:</w:t>
      </w:r>
      <w:r>
        <w:t xml:space="preserve"> </w:t>
      </w:r>
      <w:r>
        <w:t xml:space="preserve">Nodes with no edges — likely inventory gap.</w:t>
      </w:r>
    </w:p>
    <w:p>
      <w:pPr>
        <w:numPr>
          <w:ilvl w:val="0"/>
          <w:numId w:val="1007"/>
        </w:numPr>
        <w:pStyle w:val="Compact"/>
      </w:pPr>
      <w:r>
        <w:rPr>
          <w:bCs/>
          <w:b/>
        </w:rPr>
        <w:t xml:space="preserve">Cycle detection:</w:t>
      </w:r>
      <w:r>
        <w:t xml:space="preserve"> </w:t>
      </w:r>
      <w:r>
        <w:rPr>
          <w:rStyle w:val="VerbatimChar"/>
        </w:rPr>
        <w:t xml:space="preserve">trusts</w:t>
      </w:r>
      <w:r>
        <w:t xml:space="preserve"> </w:t>
      </w:r>
      <w:r>
        <w:t xml:space="preserve">cycles may indicate mis-modelled bi-directional trust.</w:t>
      </w:r>
    </w:p>
    <w:bookmarkEnd w:id="38"/>
    <w:bookmarkStart w:id="39" w:name="phase-d-publish-views"/>
    <w:p>
      <w:pPr>
        <w:pStyle w:val="Heading3"/>
      </w:pPr>
      <w:r>
        <w:t xml:space="preserve">Phase D — Publish views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Audience</w:t>
            </w:r>
          </w:p>
        </w:tc>
        <w:tc>
          <w:tcPr/>
          <w:p>
            <w:pPr>
              <w:pStyle w:val="Compact"/>
              <w:jc w:val="left"/>
            </w:pPr>
            <w:r>
              <w:t xml:space="preserve">View</w:t>
            </w:r>
          </w:p>
        </w:tc>
      </w:tr>
      <w:tr>
        <w:tc>
          <w:tcPr/>
          <w:p>
            <w:pPr>
              <w:pStyle w:val="Compact"/>
              <w:jc w:val="left"/>
            </w:pPr>
            <w:r>
              <w:t xml:space="preserve">Executive</w:t>
            </w:r>
          </w:p>
        </w:tc>
        <w:tc>
          <w:tcPr/>
          <w:p>
            <w:pPr>
              <w:pStyle w:val="Compact"/>
              <w:jc w:val="left"/>
            </w:pPr>
            <w:r>
              <w:t xml:space="preserve">Top 10 blocking nodes + MPI</w:t>
            </w:r>
          </w:p>
        </w:tc>
      </w:tr>
      <w:tr>
        <w:tc>
          <w:tcPr/>
          <w:p>
            <w:pPr>
              <w:pStyle w:val="Compact"/>
              <w:jc w:val="left"/>
            </w:pPr>
            <w:r>
              <w:t xml:space="preserve">Domain architect</w:t>
            </w:r>
          </w:p>
        </w:tc>
        <w:tc>
          <w:tcPr/>
          <w:p>
            <w:pPr>
              <w:pStyle w:val="Compact"/>
              <w:jc w:val="left"/>
            </w:pPr>
            <w:r>
              <w:t xml:space="preserve">Full subgraph per application</w:t>
            </w:r>
          </w:p>
        </w:tc>
      </w:tr>
      <w:tr>
        <w:tc>
          <w:tcPr/>
          <w:p>
            <w:pPr>
              <w:pStyle w:val="Compact"/>
              <w:jc w:val="left"/>
            </w:pPr>
            <w:r>
              <w:t xml:space="preserve">Auditor</w:t>
            </w:r>
          </w:p>
        </w:tc>
        <w:tc>
          <w:tcPr/>
          <w:p>
            <w:pPr>
              <w:pStyle w:val="Compact"/>
              <w:jc w:val="left"/>
            </w:pPr>
            <w:r>
              <w:t xml:space="preserve">Evidence links on edges</w:t>
            </w:r>
          </w:p>
        </w:tc>
      </w:tr>
      <w:tr>
        <w:tc>
          <w:tcPr/>
          <w:p>
            <w:pPr>
              <w:pStyle w:val="Compact"/>
              <w:jc w:val="left"/>
            </w:pPr>
            <w:r>
              <w:t xml:space="preserve">Wave planner</w:t>
            </w:r>
          </w:p>
        </w:tc>
        <w:tc>
          <w:tcPr/>
          <w:p>
            <w:pPr>
              <w:pStyle w:val="Compact"/>
              <w:jc w:val="left"/>
            </w:pPr>
            <w:r>
              <w:t xml:space="preserve">Blocking flags + lead times (feeds Chapter 9)</w:t>
            </w:r>
          </w:p>
        </w:tc>
      </w:tr>
    </w:tbl>
    <w:bookmarkEnd w:id="39"/>
    <w:bookmarkStart w:id="40" w:name="phase-b-enrichment-domain-priorities"/>
    <w:p>
      <w:pPr>
        <w:pStyle w:val="Heading3"/>
      </w:pPr>
      <w:r>
        <w:t xml:space="preserve">Phase B enrichment — domain priorities</w:t>
      </w:r>
    </w:p>
    <w:p>
      <w:pPr>
        <w:pStyle w:val="FirstParagraph"/>
      </w:pPr>
      <w:r>
        <w:t xml:space="preserve">Meridian sequenced enrichment</w:t>
      </w:r>
      <w:r>
        <w:t xml:space="preserve"> </w:t>
      </w:r>
      <w:r>
        <w:rPr>
          <w:bCs/>
          <w:b/>
        </w:rPr>
        <w:t xml:space="preserve">payments → corporate IT → third-party → OT</w:t>
      </w:r>
      <w:r>
        <w:t xml:space="preserve"> </w:t>
      </w:r>
      <w:r>
        <w:t xml:space="preserve">— payments had highest regulatory exposure and surfaced blocking HSM node by month four. Corporate IT ran parallel automated edge inference from PKI logs while payments interviews proceeded — avoiding idle waiting.</w:t>
      </w:r>
    </w:p>
    <w:p>
      <w:pPr>
        <w:pStyle w:val="BodyText"/>
      </w:pPr>
      <w:r>
        <w:rPr>
          <w:bCs/>
          <w:b/>
        </w:rPr>
        <w:t xml:space="preserve">Automated edge inference rules (illustrative):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If CBOM shows</w:t>
            </w:r>
          </w:p>
        </w:tc>
        <w:tc>
          <w:tcPr/>
          <w:p>
            <w:pPr>
              <w:pStyle w:val="Compact"/>
              <w:jc w:val="left"/>
            </w:pPr>
            <w:r>
              <w:t xml:space="preserve">Infer edge</w:t>
            </w:r>
          </w:p>
        </w:tc>
      </w:tr>
      <w:tr>
        <w:tc>
          <w:tcPr/>
          <w:p>
            <w:pPr>
              <w:pStyle w:val="Compact"/>
              <w:jc w:val="left"/>
            </w:pPr>
            <w:r>
              <w:rPr>
                <w:rStyle w:val="VerbatimChar"/>
              </w:rPr>
              <w:t xml:space="preserve">issuer</w:t>
            </w:r>
            <w:r>
              <w:t xml:space="preserve"> </w:t>
            </w:r>
            <w:r>
              <w:t xml:space="preserve">field on cert</w:t>
            </w:r>
          </w:p>
        </w:tc>
        <w:tc>
          <w:tcPr/>
          <w:p>
            <w:pPr>
              <w:pStyle w:val="Compact"/>
              <w:jc w:val="left"/>
            </w:pPr>
            <w:r>
              <w:rPr>
                <w:rStyle w:val="VerbatimChar"/>
              </w:rPr>
              <w:t xml:space="preserve">signs</w:t>
            </w:r>
            <w:r>
              <w:t xml:space="preserve"> </w:t>
            </w:r>
            <w:r>
              <w:t xml:space="preserve">from issuer to cert</w:t>
            </w:r>
          </w:p>
        </w:tc>
      </w:tr>
      <w:tr>
        <w:tc>
          <w:tcPr/>
          <w:p>
            <w:pPr>
              <w:pStyle w:val="Compact"/>
              <w:jc w:val="left"/>
            </w:pPr>
            <w:r>
              <w:rPr>
                <w:rStyle w:val="VerbatimChar"/>
              </w:rPr>
              <w:t xml:space="preserve">trust_store_ref</w:t>
            </w:r>
            <w:r>
              <w:t xml:space="preserve"> </w:t>
            </w:r>
            <w:r>
              <w:t xml:space="preserve">on app</w:t>
            </w:r>
          </w:p>
        </w:tc>
        <w:tc>
          <w:tcPr/>
          <w:p>
            <w:pPr>
              <w:pStyle w:val="Compact"/>
              <w:jc w:val="left"/>
            </w:pPr>
            <w:r>
              <w:rPr>
                <w:rStyle w:val="VerbatimChar"/>
              </w:rPr>
              <w:t xml:space="preserve">trusts</w:t>
            </w:r>
            <w:r>
              <w:t xml:space="preserve"> </w:t>
            </w:r>
            <w:r>
              <w:t xml:space="preserve">from app to store</w:t>
            </w:r>
          </w:p>
        </w:tc>
      </w:tr>
      <w:tr>
        <w:tc>
          <w:tcPr/>
          <w:p>
            <w:pPr>
              <w:pStyle w:val="Compact"/>
              <w:jc w:val="left"/>
            </w:pPr>
            <w:r>
              <w:rPr>
                <w:rStyle w:val="VerbatimChar"/>
              </w:rPr>
              <w:t xml:space="preserve">kms_key_id</w:t>
            </w:r>
            <w:r>
              <w:t xml:space="preserve"> </w:t>
            </w:r>
            <w:r>
              <w:t xml:space="preserve">on service</w:t>
            </w:r>
          </w:p>
        </w:tc>
        <w:tc>
          <w:tcPr/>
          <w:p>
            <w:pPr>
              <w:pStyle w:val="Compact"/>
              <w:jc w:val="left"/>
            </w:pPr>
            <w:r>
              <w:rPr>
                <w:rStyle w:val="VerbatimChar"/>
              </w:rPr>
              <w:t xml:space="preserve">wraps</w:t>
            </w:r>
            <w:r>
              <w:t xml:space="preserve"> </w:t>
            </w:r>
            <w:r>
              <w:t xml:space="preserve">from KMS to data key</w:t>
            </w:r>
          </w:p>
        </w:tc>
      </w:tr>
      <w:tr>
        <w:tc>
          <w:tcPr/>
          <w:p>
            <w:pPr>
              <w:pStyle w:val="Compact"/>
              <w:jc w:val="left"/>
            </w:pPr>
            <w:r>
              <w:t xml:space="preserve">Shared</w:t>
            </w:r>
            <w:r>
              <w:t xml:space="preserve"> </w:t>
            </w:r>
            <w:r>
              <w:rPr>
                <w:rStyle w:val="VerbatimChar"/>
              </w:rPr>
              <w:t xml:space="preserve">hsm_partition</w:t>
            </w:r>
          </w:p>
        </w:tc>
        <w:tc>
          <w:tcPr/>
          <w:p>
            <w:pPr>
              <w:pStyle w:val="Compact"/>
              <w:jc w:val="left"/>
            </w:pPr>
            <w:r>
              <w:rPr>
                <w:rStyle w:val="VerbatimChar"/>
              </w:rPr>
              <w:t xml:space="preserve">implements</w:t>
            </w:r>
            <w:r>
              <w:t xml:space="preserve"> </w:t>
            </w:r>
            <w:r>
              <w:t xml:space="preserve">from HSM to keys</w:t>
            </w:r>
          </w:p>
        </w:tc>
      </w:tr>
    </w:tbl>
    <w:p>
      <w:pPr>
        <w:pStyle w:val="BodyText"/>
      </w:pPr>
      <w:r>
        <w:t xml:space="preserve">Inferred edges carry</w:t>
      </w:r>
      <w:r>
        <w:t xml:space="preserve"> </w:t>
      </w:r>
      <w:r>
        <w:rPr>
          <w:rStyle w:val="VerbatimChar"/>
        </w:rPr>
        <w:t xml:space="preserve">confidence=inferred</w:t>
      </w:r>
      <w:r>
        <w:t xml:space="preserve"> </w:t>
      </w:r>
      <w:r>
        <w:t xml:space="preserve">until validated in Phase C — same discipline as CBOM confidence tiers.</w:t>
      </w:r>
    </w:p>
    <w:bookmarkEnd w:id="40"/>
    <w:bookmarkStart w:id="41" w:name="phase-c-validation-blast-radius-sampling"/>
    <w:p>
      <w:pPr>
        <w:pStyle w:val="Heading3"/>
      </w:pPr>
      <w:r>
        <w:t xml:space="preserve">Phase C validation — blast-radius sampling</w:t>
      </w:r>
    </w:p>
    <w:p>
      <w:pPr>
        <w:pStyle w:val="FirstParagraph"/>
      </w:pPr>
      <w:r>
        <w:t xml:space="preserve">Not every edge warrants interview validation. Sample</w:t>
      </w:r>
      <w:r>
        <w:t xml:space="preserve"> </w:t>
      </w:r>
      <w:r>
        <w:rPr>
          <w:bCs/>
          <w:b/>
        </w:rPr>
        <w:t xml:space="preserve">blocking candidates</w:t>
      </w:r>
      <w:r>
        <w:t xml:space="preserve"> </w:t>
      </w:r>
      <w:r>
        <w:t xml:space="preserve">and</w:t>
      </w:r>
      <w:r>
        <w:t xml:space="preserve"> </w:t>
      </w:r>
      <w:r>
        <w:rPr>
          <w:bCs/>
          <w:b/>
        </w:rPr>
        <w:t xml:space="preserve">high fan-in nodes</w:t>
      </w:r>
      <w:r>
        <w:t xml:space="preserve"> </w:t>
      </w:r>
      <w:r>
        <w:t xml:space="preserve">first — 100% validation of 800,000 edges is infeasible. Meridian validated all nodes with fan-in &gt; 20; sampled 10% of fan-in 5–20; accepted automated inference for fan-in &lt; 5 unless OT or NSS scope.</w:t>
      </w:r>
    </w:p>
    <w:p>
      <w:r>
        <w:pict>
          <v:rect style="width:0;height:1.5pt" o:hralign="center" o:hrstd="t" o:hr="t"/>
        </w:pict>
      </w:r>
    </w:p>
    <w:bookmarkEnd w:id="41"/>
    <w:bookmarkEnd w:id="42"/>
    <w:bookmarkStart w:id="43" w:name="X6c42166683cd680900da9f69f95522f1a6d5de0"/>
    <w:p>
      <w:pPr>
        <w:pStyle w:val="Heading2"/>
      </w:pPr>
      <w:r>
        <w:t xml:space="preserve">8.10 Northfield: VPN Concentrators and WAN Trust</w:t>
      </w:r>
    </w:p>
    <w:p>
      <w:pPr>
        <w:pStyle w:val="FirstParagraph"/>
      </w:pPr>
      <w:r>
        <w:t xml:space="preserve">Northfield’s enterprise WAN connects compressor stations, regional control centres, and cloud analytics through</w:t>
      </w:r>
      <w:r>
        <w:t xml:space="preserve"> </w:t>
      </w:r>
      <w:r>
        <w:rPr>
          <w:bCs/>
          <w:b/>
        </w:rPr>
        <w:t xml:space="preserve">IPsec VPN concentrators</w:t>
      </w:r>
      <w:r>
        <w:t xml:space="preserve"> </w:t>
      </w:r>
      <w:r>
        <w:t xml:space="preserve">terminating on shared internal PKI. CDG analysis showed:</w:t>
      </w:r>
    </w:p>
    <w:p>
      <w:pPr>
        <w:numPr>
          <w:ilvl w:val="0"/>
          <w:numId w:val="1008"/>
        </w:numPr>
        <w:pStyle w:val="Compact"/>
      </w:pPr>
      <w:r>
        <w:t xml:space="preserve">One</w:t>
      </w:r>
      <w:r>
        <w:t xml:space="preserve"> </w:t>
      </w:r>
      <w:r>
        <w:rPr>
          <w:bCs/>
          <w:b/>
        </w:rPr>
        <w:t xml:space="preserve">internal root CA</w:t>
      </w:r>
      <w:r>
        <w:t xml:space="preserve"> </w:t>
      </w:r>
      <w:r>
        <w:t xml:space="preserve">node with</w:t>
      </w:r>
      <w:r>
        <w:t xml:space="preserve"> </w:t>
      </w:r>
      <w:r>
        <w:rPr>
          <w:rStyle w:val="VerbatimChar"/>
        </w:rPr>
        <w:t xml:space="preserve">signs</w:t>
      </w:r>
      <w:r>
        <w:t xml:space="preserve"> </w:t>
      </w:r>
      <w:r>
        <w:t xml:space="preserve">edges to 14 concentrator certificates</w:t>
      </w:r>
    </w:p>
    <w:p>
      <w:pPr>
        <w:numPr>
          <w:ilvl w:val="0"/>
          <w:numId w:val="1008"/>
        </w:numPr>
        <w:pStyle w:val="Compact"/>
      </w:pPr>
      <w:r>
        <w:t xml:space="preserve">Each concentrator</w:t>
      </w:r>
      <w:r>
        <w:t xml:space="preserve"> </w:t>
      </w:r>
      <w:r>
        <w:rPr>
          <w:rStyle w:val="VerbatimChar"/>
        </w:rPr>
        <w:t xml:space="preserve">terminates</w:t>
      </w:r>
      <w:r>
        <w:t xml:space="preserve"> </w:t>
      </w:r>
      <w:r>
        <w:t xml:space="preserve">IPsec toward 40–120 field devices per site</w:t>
      </w:r>
    </w:p>
    <w:p>
      <w:pPr>
        <w:numPr>
          <w:ilvl w:val="0"/>
          <w:numId w:val="1008"/>
        </w:numPr>
        <w:pStyle w:val="Compact"/>
      </w:pPr>
      <w:r>
        <w:t xml:space="preserve">Field devices</w:t>
      </w:r>
      <w:r>
        <w:t xml:space="preserve"> </w:t>
      </w:r>
      <w:r>
        <w:rPr>
          <w:rStyle w:val="VerbatimChar"/>
        </w:rPr>
        <w:t xml:space="preserve">trust</w:t>
      </w:r>
      <w:r>
        <w:t xml:space="preserve"> </w:t>
      </w:r>
      <w:r>
        <w:t xml:space="preserve">the same root via burned-in trust stores on gateway firmware</w:t>
      </w:r>
    </w:p>
    <w:p>
      <w:pPr>
        <w:pStyle w:val="FirstParagraph"/>
      </w:pPr>
      <w:r>
        <w:t xml:space="preserve">The VPN concentrator is not the highest MPI asset in TRADE scoring — individual historian archives score higher on Threat. But concentrator migration is</w:t>
      </w:r>
      <w:r>
        <w:t xml:space="preserve"> </w:t>
      </w:r>
      <w:r>
        <w:rPr>
          <w:bCs/>
          <w:b/>
        </w:rPr>
        <w:t xml:space="preserve">Wave 0 structural</w:t>
      </w:r>
      <w:r>
        <w:t xml:space="preserve">: until concentrators accept hybrid IKE or PQC-only profiles validated against field gateway firmware, WAN encryption migrations stall.</w:t>
      </w:r>
    </w:p>
    <w:p>
      <w:pPr>
        <w:pStyle w:val="BodyText"/>
      </w:pPr>
      <w:r>
        <w:t xml:space="preserve">James Whitfield’s programme mapped</w:t>
      </w:r>
      <w:r>
        <w:t xml:space="preserve"> </w:t>
      </w:r>
      <w:r>
        <w:rPr>
          <w:bCs/>
          <w:b/>
        </w:rPr>
        <w:t xml:space="preserve">firmware vendor roadmaps</w:t>
      </w:r>
      <w:r>
        <w:t xml:space="preserve"> </w:t>
      </w:r>
      <w:r>
        <w:t xml:space="preserve">to concentrator nodes — edge attribute</w:t>
      </w:r>
      <w:r>
        <w:t xml:space="preserve"> </w:t>
      </w:r>
      <w:r>
        <w:rPr>
          <w:rStyle w:val="VerbatimChar"/>
        </w:rPr>
        <w:t xml:space="preserve">vendor_pq_ga_date</w:t>
      </w:r>
      <w:r>
        <w:t xml:space="preserve"> </w:t>
      </w:r>
      <w:r>
        <w:t xml:space="preserve">— feeding Chapter 9’s</w:t>
      </w:r>
      <w:r>
        <w:t xml:space="preserve"> </w:t>
      </w:r>
      <w:r>
        <w:t xml:space="preserve">“</w:t>
      </w:r>
      <w:r>
        <w:t xml:space="preserve">do not migrate yet</w:t>
      </w:r>
      <w:r>
        <w:t xml:space="preserve">”</w:t>
      </w:r>
      <w:r>
        <w:t xml:space="preserve"> </w:t>
      </w:r>
      <w:r>
        <w:t xml:space="preserve">conditions. Northfield rejected a proposal to migrate cloud analytics TLS first while WAN remained classical-only; CDG showed cloud data transited the concentrator trust domain.</w:t>
      </w:r>
    </w:p>
    <w:p>
      <w:pPr>
        <w:pStyle w:val="BlockText"/>
      </w:pPr>
      <w:r>
        <w:rPr>
          <w:bCs/>
          <w:b/>
        </w:rPr>
        <w:t xml:space="preserve">Architect’s Decision</w:t>
      </w:r>
    </w:p>
    <w:p>
      <w:pPr>
        <w:pStyle w:val="BlockText"/>
      </w:pPr>
      <w:r>
        <w:rPr>
          <w:bCs/>
          <w:b/>
        </w:rPr>
        <w:t xml:space="preserve">Do not let threat-priority waves override CDG blocking without explicit risk acceptance.</w:t>
      </w:r>
      <w:r>
        <w:t xml:space="preserve"> </w:t>
      </w:r>
      <w:r>
        <w:t xml:space="preserve">High-TES archives matter — but if WAN trust cannot deliver keys to re-encrypted archives, migration order inverts. CDG and TRADE interact; neither alone sequences the programme.</w:t>
      </w:r>
    </w:p>
    <w:p>
      <w:r>
        <w:pict>
          <v:rect style="width:0;height:1.5pt" o:hralign="center" o:hrstd="t" o:hr="t"/>
        </w:pict>
      </w:r>
    </w:p>
    <w:bookmarkEnd w:id="43"/>
    <w:bookmarkStart w:id="44" w:name="X590dccd627fbdfb3b7885d041222cdf0a6767e4"/>
    <w:p>
      <w:pPr>
        <w:pStyle w:val="Heading2"/>
      </w:pPr>
      <w:r>
        <w:t xml:space="preserve">8.11 Meridian: Enterprise PKI Roll-Up Worked Example</w:t>
      </w:r>
    </w:p>
    <w:p>
      <w:pPr>
        <w:pStyle w:val="FirstParagraph"/>
      </w:pPr>
      <w:r>
        <w:t xml:space="preserve">Meridian’s uncompressed PKI CDG contained</w:t>
      </w:r>
      <w:r>
        <w:t xml:space="preserve"> </w:t>
      </w:r>
      <w:r>
        <w:rPr>
          <w:bCs/>
          <w:b/>
        </w:rPr>
        <w:t xml:space="preserve">847,000</w:t>
      </w:r>
      <w:r>
        <w:t xml:space="preserve"> </w:t>
      </w:r>
      <w:r>
        <w:rPr>
          <w:rStyle w:val="VerbatimChar"/>
        </w:rPr>
        <w:t xml:space="preserve">signs</w:t>
      </w:r>
      <w:r>
        <w:t xml:space="preserve"> </w:t>
      </w:r>
      <w:r>
        <w:t xml:space="preserve">edges from automated certificate discovery. Executive workshops were unusable. Roll-up methodology:</w:t>
      </w:r>
    </w:p>
    <w:p>
      <w:pPr>
        <w:pStyle w:val="BodyText"/>
      </w:pPr>
      <w:r>
        <w:rPr>
          <w:bCs/>
          <w:b/>
        </w:rPr>
        <w:t xml:space="preserve">Step 1 — Template classification:</w:t>
      </w:r>
      <w:r>
        <w:t xml:space="preserve"> </w:t>
      </w:r>
      <w:r>
        <w:t xml:space="preserve">Group server certs by issuance template (</w:t>
      </w:r>
      <w:r>
        <w:rPr>
          <w:rStyle w:val="VerbatimChar"/>
        </w:rPr>
        <w:t xml:space="preserve">web-tls-prod</w:t>
      </w:r>
      <w:r>
        <w:t xml:space="preserve">,</w:t>
      </w:r>
      <w:r>
        <w:t xml:space="preserve"> </w:t>
      </w:r>
      <w:r>
        <w:rPr>
          <w:rStyle w:val="VerbatimChar"/>
        </w:rPr>
        <w:t xml:space="preserve">api-mtls-internal</w:t>
      </w:r>
      <w:r>
        <w:t xml:space="preserve">,</w:t>
      </w:r>
      <w:r>
        <w:t xml:space="preserve"> </w:t>
      </w:r>
      <w:r>
        <w:rPr>
          <w:rStyle w:val="VerbatimChar"/>
        </w:rPr>
        <w:t xml:space="preserve">partner-b2b</w:t>
      </w:r>
      <w:r>
        <w:t xml:space="preserve">).</w:t>
      </w:r>
    </w:p>
    <w:p>
      <w:pPr>
        <w:pStyle w:val="BodyText"/>
      </w:pPr>
      <w:r>
        <w:rPr>
          <w:bCs/>
          <w:b/>
        </w:rPr>
        <w:t xml:space="preserve">Step 2 — Consumer clustering:</w:t>
      </w:r>
      <w:r>
        <w:t xml:space="preserve"> </w:t>
      </w:r>
      <w:r>
        <w:t xml:space="preserve">Map certs to consuming workload (Kubernetes ingress class, API gateway pool).</w:t>
      </w:r>
    </w:p>
    <w:p>
      <w:pPr>
        <w:pStyle w:val="BodyText"/>
      </w:pPr>
      <w:r>
        <w:rPr>
          <w:bCs/>
          <w:b/>
        </w:rPr>
        <w:t xml:space="preserve">Step 3 — Meta-node creation:</w:t>
      </w:r>
      <w:r>
        <w:t xml:space="preserve"> </w:t>
      </w:r>
      <w:r>
        <w:t xml:space="preserve">Replace 200 certs on</w:t>
      </w:r>
      <w:r>
        <w:t xml:space="preserve"> </w:t>
      </w:r>
      <w:r>
        <w:rPr>
          <w:rStyle w:val="VerbatimChar"/>
        </w:rPr>
        <w:t xml:space="preserve">payments-ingress</w:t>
      </w:r>
      <w:r>
        <w:t xml:space="preserve"> </w:t>
      </w:r>
      <w:r>
        <w:t xml:space="preserve">with single consumer node</w:t>
      </w:r>
      <w:r>
        <w:t xml:space="preserve"> </w:t>
      </w:r>
      <w:r>
        <w:rPr>
          <w:rStyle w:val="VerbatimChar"/>
        </w:rPr>
        <w:t xml:space="preserve">payments-ingress-tls</w:t>
      </w:r>
      <w:r>
        <w:t xml:space="preserve"> </w:t>
      </w:r>
      <w:r>
        <w:t xml:space="preserve">linked to issuing CA.</w:t>
      </w:r>
    </w:p>
    <w:p>
      <w:pPr>
        <w:pStyle w:val="BodyText"/>
      </w:pPr>
      <w:r>
        <w:rPr>
          <w:bCs/>
          <w:b/>
        </w:rPr>
        <w:t xml:space="preserve">Step 4 — Blocking preservation:</w:t>
      </w:r>
      <w:r>
        <w:t xml:space="preserve"> </w:t>
      </w:r>
      <w:r>
        <w:t xml:space="preserve">Never roll up manufacturing root CA, payment HSM signing key, or partner policy nodes — always expand.</w:t>
      </w:r>
    </w:p>
    <w:p>
      <w:pPr>
        <w:pStyle w:val="BodyText"/>
      </w:pPr>
      <w:r>
        <w:t xml:space="preserve">Result:</w:t>
      </w:r>
      <w:r>
        <w:t xml:space="preserve"> </w:t>
      </w:r>
      <w:r>
        <w:rPr>
          <w:bCs/>
          <w:b/>
        </w:rPr>
        <w:t xml:space="preserve">4,800</w:t>
      </w:r>
      <w:r>
        <w:t xml:space="preserve"> </w:t>
      </w:r>
      <w:r>
        <w:t xml:space="preserve">edges in executive view; full graph retained for engineering queries. Blocking node</w:t>
      </w:r>
      <w:r>
        <w:t xml:space="preserve"> </w:t>
      </w:r>
      <w:r>
        <w:rPr>
          <w:rStyle w:val="VerbatimChar"/>
        </w:rPr>
        <w:t xml:space="preserve">payment-hsm-firmware-signer</w:t>
      </w:r>
      <w:r>
        <w:t xml:space="preserve"> </w:t>
      </w:r>
      <w:r>
        <w:t xml:space="preserve">showed in-degree 0 on</w:t>
      </w:r>
      <w:r>
        <w:t xml:space="preserve"> </w:t>
      </w:r>
      <w:r>
        <w:rPr>
          <w:rStyle w:val="VerbatimChar"/>
        </w:rPr>
        <w:t xml:space="preserve">signs</w:t>
      </w:r>
      <w:r>
        <w:t xml:space="preserve"> </w:t>
      </w:r>
      <w:r>
        <w:t xml:space="preserve">but out-degree 2,400 on</w:t>
      </w:r>
      <w:r>
        <w:t xml:space="preserve"> </w:t>
      </w:r>
      <w:r>
        <w:rPr>
          <w:rStyle w:val="VerbatimChar"/>
        </w:rPr>
        <w:t xml:space="preserve">verifies</w:t>
      </w:r>
      <w:r>
        <w:t xml:space="preserve"> </w:t>
      </w:r>
      <w:r>
        <w:t xml:space="preserve">through firmware image nodes — revealing retail terminal dependency.</w:t>
      </w:r>
    </w:p>
    <w:p>
      <w:pPr>
        <w:pStyle w:val="BodyText"/>
      </w:pPr>
      <w:r>
        <w:rPr>
          <w:bCs/>
          <w:b/>
        </w:rPr>
        <w:t xml:space="preserve">Table 8.1 — PKI CDG Roll-Up Rules</w:t>
      </w:r>
    </w:p>
    <w:tbl>
      <w:tblPr>
        <w:tblStyle w:val="Table"/>
        <w:tblW w:type="pct" w:w="5000"/>
        <w:tblLook w:firstRow="1" w:lastRow="0" w:firstColumn="0" w:lastColumn="0" w:noHBand="0" w:noVBand="0" w:val="0020"/>
        <w:jc w:val="start"/>
      </w:tblPr>
      <w:tblGrid>
        <w:gridCol w:w="2178"/>
        <w:gridCol w:w="3564"/>
        <w:gridCol w:w="2178"/>
      </w:tblGrid>
      <w:tr>
        <w:trPr>
          <w:tblHeader w:val="true"/>
        </w:trPr>
        <w:tc>
          <w:tcPr/>
          <w:p>
            <w:pPr>
              <w:pStyle w:val="Compact"/>
              <w:jc w:val="left"/>
            </w:pPr>
            <w:r>
              <w:t xml:space="preserve">Node type</w:t>
            </w:r>
          </w:p>
        </w:tc>
        <w:tc>
          <w:tcPr/>
          <w:p>
            <w:pPr>
              <w:pStyle w:val="Compact"/>
              <w:jc w:val="left"/>
            </w:pPr>
            <w:r>
              <w:t xml:space="preserve">Roll-up allowed?</w:t>
            </w:r>
          </w:p>
        </w:tc>
        <w:tc>
          <w:tcPr/>
          <w:p>
            <w:pPr>
              <w:pStyle w:val="Compact"/>
              <w:jc w:val="left"/>
            </w:pPr>
            <w:r>
              <w:t xml:space="preserve">Rationale</w:t>
            </w:r>
          </w:p>
        </w:tc>
      </w:tr>
      <w:tr>
        <w:tc>
          <w:tcPr/>
          <w:p>
            <w:pPr>
              <w:pStyle w:val="Compact"/>
              <w:jc w:val="left"/>
            </w:pPr>
            <w:r>
              <w:t xml:space="preserve">End-entity server cert</w:t>
            </w:r>
          </w:p>
        </w:tc>
        <w:tc>
          <w:tcPr/>
          <w:p>
            <w:pPr>
              <w:pStyle w:val="Compact"/>
              <w:jc w:val="left"/>
            </w:pPr>
            <w:r>
              <w:t xml:space="preserve">Yes, by template + consumer</w:t>
            </w:r>
          </w:p>
        </w:tc>
        <w:tc>
          <w:tcPr/>
          <w:p>
            <w:pPr>
              <w:pStyle w:val="Compact"/>
              <w:jc w:val="left"/>
            </w:pPr>
            <w:r>
              <w:t xml:space="preserve">Reduces noise</w:t>
            </w:r>
          </w:p>
        </w:tc>
      </w:tr>
      <w:tr>
        <w:tc>
          <w:tcPr/>
          <w:p>
            <w:pPr>
              <w:pStyle w:val="Compact"/>
              <w:jc w:val="left"/>
            </w:pPr>
            <w:r>
              <w:t xml:space="preserve">Partner client cert</w:t>
            </w:r>
          </w:p>
        </w:tc>
        <w:tc>
          <w:tcPr/>
          <w:p>
            <w:pPr>
              <w:pStyle w:val="Compact"/>
              <w:jc w:val="left"/>
            </w:pPr>
            <w:r>
              <w:t xml:space="preserve">Partial — keep partner dimension</w:t>
            </w:r>
          </w:p>
        </w:tc>
        <w:tc>
          <w:tcPr/>
          <w:p>
            <w:pPr>
              <w:pStyle w:val="Compact"/>
              <w:jc w:val="left"/>
            </w:pPr>
            <w:r>
              <w:t xml:space="preserve">Partner negotiation granularity</w:t>
            </w:r>
          </w:p>
        </w:tc>
      </w:tr>
      <w:tr>
        <w:tc>
          <w:tcPr/>
          <w:p>
            <w:pPr>
              <w:pStyle w:val="Compact"/>
              <w:jc w:val="left"/>
            </w:pPr>
            <w:r>
              <w:t xml:space="preserve">Subordinate CA</w:t>
            </w:r>
          </w:p>
        </w:tc>
        <w:tc>
          <w:tcPr/>
          <w:p>
            <w:pPr>
              <w:pStyle w:val="Compact"/>
              <w:jc w:val="left"/>
            </w:pPr>
            <w:r>
              <w:t xml:space="preserve">No</w:t>
            </w:r>
          </w:p>
        </w:tc>
        <w:tc>
          <w:tcPr/>
          <w:p>
            <w:pPr>
              <w:pStyle w:val="Compact"/>
              <w:jc w:val="left"/>
            </w:pPr>
            <w:r>
              <w:t xml:space="preserve">Path length and policy inheritance</w:t>
            </w:r>
          </w:p>
        </w:tc>
      </w:tr>
      <w:tr>
        <w:tc>
          <w:tcPr/>
          <w:p>
            <w:pPr>
              <w:pStyle w:val="Compact"/>
              <w:jc w:val="left"/>
            </w:pPr>
            <w:r>
              <w:t xml:space="preserve">Root / policy CA</w:t>
            </w:r>
          </w:p>
        </w:tc>
        <w:tc>
          <w:tcPr/>
          <w:p>
            <w:pPr>
              <w:pStyle w:val="Compact"/>
              <w:jc w:val="left"/>
            </w:pPr>
            <w:r>
              <w:t xml:space="preserve">No</w:t>
            </w:r>
          </w:p>
        </w:tc>
        <w:tc>
          <w:tcPr/>
          <w:p>
            <w:pPr>
              <w:pStyle w:val="Compact"/>
              <w:jc w:val="left"/>
            </w:pPr>
            <w:r>
              <w:t xml:space="preserve">Blocking hub</w:t>
            </w:r>
          </w:p>
        </w:tc>
      </w:tr>
      <w:tr>
        <w:tc>
          <w:tcPr/>
          <w:p>
            <w:pPr>
              <w:pStyle w:val="Compact"/>
              <w:jc w:val="left"/>
            </w:pPr>
            <w:r>
              <w:t xml:space="preserve">HSM signing key</w:t>
            </w:r>
          </w:p>
        </w:tc>
        <w:tc>
          <w:tcPr/>
          <w:p>
            <w:pPr>
              <w:pStyle w:val="Compact"/>
              <w:jc w:val="left"/>
            </w:pPr>
            <w:r>
              <w:t xml:space="preserve">No</w:t>
            </w:r>
          </w:p>
        </w:tc>
        <w:tc>
          <w:tcPr/>
          <w:p>
            <w:pPr>
              <w:pStyle w:val="Compact"/>
              <w:jc w:val="left"/>
            </w:pPr>
            <w:r>
              <w:t xml:space="preserve">Ceremony and audit sensitivity</w:t>
            </w:r>
          </w:p>
        </w:tc>
      </w:tr>
      <w:tr>
        <w:tc>
          <w:tcPr/>
          <w:p>
            <w:pPr>
              <w:pStyle w:val="Compact"/>
              <w:jc w:val="left"/>
            </w:pPr>
            <w:r>
              <w:t xml:space="preserve">Firmware image</w:t>
            </w:r>
          </w:p>
        </w:tc>
        <w:tc>
          <w:tcPr/>
          <w:p>
            <w:pPr>
              <w:pStyle w:val="Compact"/>
              <w:jc w:val="left"/>
            </w:pPr>
            <w:r>
              <w:t xml:space="preserve">No</w:t>
            </w:r>
          </w:p>
        </w:tc>
        <w:tc>
          <w:tcPr/>
          <w:p>
            <w:pPr>
              <w:pStyle w:val="Compact"/>
              <w:jc w:val="left"/>
            </w:pPr>
            <w:r>
              <w:t xml:space="preserve">OT and terminal blast radius</w:t>
            </w:r>
          </w:p>
        </w:tc>
      </w:tr>
    </w:tbl>
    <w:p>
      <w:r>
        <w:pict>
          <v:rect style="width:0;height:1.5pt" o:hralign="center" o:hrstd="t" o:hr="t"/>
        </w:pict>
      </w:r>
    </w:p>
    <w:bookmarkEnd w:id="44"/>
    <w:bookmarkStart w:id="45" w:name="edge-validation-and-evidence-attachments"/>
    <w:p>
      <w:pPr>
        <w:pStyle w:val="Heading2"/>
      </w:pPr>
      <w:r>
        <w:t xml:space="preserve">8.12 Edge Validation and Evidence Attachments</w:t>
      </w:r>
    </w:p>
    <w:p>
      <w:pPr>
        <w:pStyle w:val="FirstParagraph"/>
      </w:pPr>
      <w:r>
        <w:t xml:space="preserve">CDG edges are claims requiring evidence — especially for audit and regulatory dialogue.</w:t>
      </w:r>
    </w:p>
    <w:tbl>
      <w:tblPr>
        <w:tblStyle w:val="Table"/>
        <w:tblW w:type="pct" w:w="5000"/>
        <w:tblLook w:firstRow="1" w:lastRow="0" w:firstColumn="0" w:lastColumn="0" w:noHBand="0" w:noVBand="0" w:val="0020"/>
        <w:jc w:val="start"/>
      </w:tblPr>
      <w:tblGrid>
        <w:gridCol w:w="1815"/>
        <w:gridCol w:w="2970"/>
        <w:gridCol w:w="3135"/>
      </w:tblGrid>
      <w:tr>
        <w:trPr>
          <w:tblHeader w:val="true"/>
        </w:trPr>
        <w:tc>
          <w:tcPr/>
          <w:p>
            <w:pPr>
              <w:pStyle w:val="Compact"/>
              <w:jc w:val="left"/>
            </w:pPr>
            <w:r>
              <w:t xml:space="preserve">Edge type</w:t>
            </w:r>
          </w:p>
        </w:tc>
        <w:tc>
          <w:tcPr/>
          <w:p>
            <w:pPr>
              <w:pStyle w:val="Compact"/>
              <w:jc w:val="left"/>
            </w:pPr>
            <w:r>
              <w:t xml:space="preserve">Minimum evidence</w:t>
            </w:r>
          </w:p>
        </w:tc>
        <w:tc>
          <w:tcPr/>
          <w:p>
            <w:pPr>
              <w:pStyle w:val="Compact"/>
              <w:jc w:val="left"/>
            </w:pPr>
            <w:r>
              <w:t xml:space="preserve">Validation method</w:t>
            </w:r>
          </w:p>
        </w:tc>
      </w:tr>
      <w:tr>
        <w:tc>
          <w:tcPr/>
          <w:p>
            <w:pPr>
              <w:pStyle w:val="Compact"/>
              <w:jc w:val="left"/>
            </w:pPr>
            <w:r>
              <w:rPr>
                <w:rStyle w:val="VerbatimChar"/>
              </w:rPr>
              <w:t xml:space="preserve">terminates</w:t>
            </w:r>
          </w:p>
        </w:tc>
        <w:tc>
          <w:tcPr/>
          <w:p>
            <w:pPr>
              <w:pStyle w:val="Compact"/>
              <w:jc w:val="left"/>
            </w:pPr>
            <w:r>
              <w:t xml:space="preserve">TLS config export or live scan</w:t>
            </w:r>
          </w:p>
        </w:tc>
        <w:tc>
          <w:tcPr/>
          <w:p>
            <w:pPr>
              <w:pStyle w:val="Compact"/>
              <w:jc w:val="left"/>
            </w:pPr>
            <w:r>
              <w:t xml:space="preserve">Automated + annual sample</w:t>
            </w:r>
          </w:p>
        </w:tc>
      </w:tr>
      <w:tr>
        <w:tc>
          <w:tcPr/>
          <w:p>
            <w:pPr>
              <w:pStyle w:val="Compact"/>
              <w:jc w:val="left"/>
            </w:pPr>
            <w:r>
              <w:rPr>
                <w:rStyle w:val="VerbatimChar"/>
              </w:rPr>
              <w:t xml:space="preserve">signs</w:t>
            </w:r>
          </w:p>
        </w:tc>
        <w:tc>
          <w:tcPr/>
          <w:p>
            <w:pPr>
              <w:pStyle w:val="Compact"/>
              <w:jc w:val="left"/>
            </w:pPr>
            <w:r>
              <w:t xml:space="preserve">CA audit log, ceremony record</w:t>
            </w:r>
          </w:p>
        </w:tc>
        <w:tc>
          <w:tcPr/>
          <w:p>
            <w:pPr>
              <w:pStyle w:val="Compact"/>
              <w:jc w:val="left"/>
            </w:pPr>
            <w:r>
              <w:t xml:space="preserve">PKI team attestation</w:t>
            </w:r>
          </w:p>
        </w:tc>
      </w:tr>
      <w:tr>
        <w:tc>
          <w:tcPr/>
          <w:p>
            <w:pPr>
              <w:pStyle w:val="Compact"/>
              <w:jc w:val="left"/>
            </w:pPr>
            <w:r>
              <w:rPr>
                <w:rStyle w:val="VerbatimChar"/>
              </w:rPr>
              <w:t xml:space="preserve">trusts</w:t>
            </w:r>
          </w:p>
        </w:tc>
        <w:tc>
          <w:tcPr/>
          <w:p>
            <w:pPr>
              <w:pStyle w:val="Compact"/>
              <w:jc w:val="left"/>
            </w:pPr>
            <w:r>
              <w:t xml:space="preserve">Trust store file hash, JVM cacerts</w:t>
            </w:r>
          </w:p>
        </w:tc>
        <w:tc>
          <w:tcPr/>
          <w:p>
            <w:pPr>
              <w:pStyle w:val="Compact"/>
              <w:jc w:val="left"/>
            </w:pPr>
            <w:r>
              <w:t xml:space="preserve">Config management drift detection</w:t>
            </w:r>
          </w:p>
        </w:tc>
      </w:tr>
      <w:tr>
        <w:tc>
          <w:tcPr/>
          <w:p>
            <w:pPr>
              <w:pStyle w:val="Compact"/>
              <w:jc w:val="left"/>
            </w:pPr>
            <w:r>
              <w:rPr>
                <w:rStyle w:val="VerbatimChar"/>
              </w:rPr>
              <w:t xml:space="preserve">verifies</w:t>
            </w:r>
          </w:p>
        </w:tc>
        <w:tc>
          <w:tcPr/>
          <w:p>
            <w:pPr>
              <w:pStyle w:val="Compact"/>
              <w:jc w:val="left"/>
            </w:pPr>
            <w:r>
              <w:t xml:space="preserve">Boot policy, code signing CI log</w:t>
            </w:r>
          </w:p>
        </w:tc>
        <w:tc>
          <w:tcPr/>
          <w:p>
            <w:pPr>
              <w:pStyle w:val="Compact"/>
              <w:jc w:val="left"/>
            </w:pPr>
            <w:r>
              <w:t xml:space="preserve">Firmware team review</w:t>
            </w:r>
          </w:p>
        </w:tc>
      </w:tr>
      <w:tr>
        <w:tc>
          <w:tcPr/>
          <w:p>
            <w:pPr>
              <w:pStyle w:val="Compact"/>
              <w:jc w:val="left"/>
            </w:pPr>
            <w:r>
              <w:rPr>
                <w:rStyle w:val="VerbatimChar"/>
              </w:rPr>
              <w:t xml:space="preserve">inherits</w:t>
            </w:r>
          </w:p>
        </w:tc>
        <w:tc>
          <w:tcPr/>
          <w:p>
            <w:pPr>
              <w:pStyle w:val="Compact"/>
              <w:jc w:val="left"/>
            </w:pPr>
            <w:r>
              <w:t xml:space="preserve">CA certificate policy document</w:t>
            </w:r>
          </w:p>
        </w:tc>
        <w:tc>
          <w:tcPr/>
          <w:p>
            <w:pPr>
              <w:pStyle w:val="Compact"/>
              <w:jc w:val="left"/>
            </w:pPr>
            <w:r>
              <w:t xml:space="preserve">PKI governance</w:t>
            </w:r>
          </w:p>
        </w:tc>
      </w:tr>
    </w:tbl>
    <w:p>
      <w:pPr>
        <w:pStyle w:val="BodyText"/>
      </w:pPr>
      <w:r>
        <w:t xml:space="preserve">Meridian attached</w:t>
      </w:r>
      <w:r>
        <w:t xml:space="preserve"> </w:t>
      </w:r>
      <w:r>
        <w:rPr>
          <w:rStyle w:val="VerbatimChar"/>
        </w:rPr>
        <w:t xml:space="preserve">evidence_ref</w:t>
      </w:r>
      <w:r>
        <w:t xml:space="preserve"> </w:t>
      </w:r>
      <w:r>
        <w:t xml:space="preserve">URIs to edges — GRC platform links, not embedded documents. Apex NSS edges required classification labels on evidence pointers.</w:t>
      </w:r>
    </w:p>
    <w:p>
      <w:pPr>
        <w:pStyle w:val="BodyText"/>
      </w:pPr>
      <w:r>
        <w:rPr>
          <w:bCs/>
          <w:b/>
        </w:rPr>
        <w:t xml:space="preserve">Stale edge detection:</w:t>
      </w:r>
      <w:r>
        <w:t xml:space="preserve"> </w:t>
      </w:r>
      <w:r>
        <w:t xml:space="preserve">Certificate expiry jobs trigger CDG edge review — if cert renewed with new issuer,</w:t>
      </w:r>
      <w:r>
        <w:t xml:space="preserve"> </w:t>
      </w:r>
      <w:r>
        <w:rPr>
          <w:rStyle w:val="VerbatimChar"/>
        </w:rPr>
        <w:t xml:space="preserve">signs</w:t>
      </w:r>
      <w:r>
        <w:t xml:space="preserve"> </w:t>
      </w:r>
      <w:r>
        <w:t xml:space="preserve">edges update automatically where PKI integration exists.</w:t>
      </w:r>
    </w:p>
    <w:p>
      <w:r>
        <w:pict>
          <v:rect style="width:0;height:1.5pt" o:hralign="center" o:hrstd="t" o:hr="t"/>
        </w:pict>
      </w:r>
    </w:p>
    <w:bookmarkEnd w:id="45"/>
    <w:bookmarkStart w:id="46" w:name="query-patterns-for-programme-roles"/>
    <w:p>
      <w:pPr>
        <w:pStyle w:val="Heading2"/>
      </w:pPr>
      <w:r>
        <w:t xml:space="preserve">8.13 Query Patterns for Programme Roles</w:t>
      </w:r>
    </w:p>
    <w:p>
      <w:pPr>
        <w:pStyle w:val="FirstParagraph"/>
      </w:pPr>
      <w:r>
        <w:t xml:space="preserve">Graph queries translate CDG value into role-specific outputs:</w:t>
      </w:r>
    </w:p>
    <w:p>
      <w:pPr>
        <w:pStyle w:val="BodyText"/>
      </w:pPr>
      <w:r>
        <w:rPr>
          <w:bCs/>
          <w:b/>
        </w:rPr>
        <w:t xml:space="preserve">Programme director — blocking fan-in:</w:t>
      </w:r>
    </w:p>
    <w:p>
      <w:pPr>
        <w:pStyle w:val="SourceCode"/>
      </w:pPr>
      <w:r>
        <w:rPr>
          <w:rStyle w:val="VerbatimChar"/>
        </w:rPr>
        <w:t xml:space="preserve">MATCH (n)&lt;-[r:trusts|signs|verifies]-(dependent)</w:t>
      </w:r>
      <w:r>
        <w:br/>
      </w:r>
      <w:r>
        <w:rPr>
          <w:rStyle w:val="VerbatimChar"/>
        </w:rPr>
        <w:t xml:space="preserve">WHERE n.blocking = true</w:t>
      </w:r>
      <w:r>
        <w:br/>
      </w:r>
      <w:r>
        <w:rPr>
          <w:rStyle w:val="VerbatimChar"/>
        </w:rPr>
        <w:t xml:space="preserve">RETURN n.label, count(dependent) AS fan_in</w:t>
      </w:r>
      <w:r>
        <w:br/>
      </w:r>
      <w:r>
        <w:rPr>
          <w:rStyle w:val="VerbatimChar"/>
        </w:rPr>
        <w:t xml:space="preserve">ORDER BY fan_in DESC LIMIT 20</w:t>
      </w:r>
    </w:p>
    <w:p>
      <w:pPr>
        <w:pStyle w:val="FirstParagraph"/>
      </w:pPr>
      <w:r>
        <w:rPr>
          <w:bCs/>
          <w:b/>
        </w:rPr>
        <w:t xml:space="preserve">Domain architect — blast radius:</w:t>
      </w:r>
    </w:p>
    <w:p>
      <w:pPr>
        <w:pStyle w:val="SourceCode"/>
      </w:pPr>
      <w:r>
        <w:rPr>
          <w:rStyle w:val="VerbatimChar"/>
        </w:rPr>
        <w:t xml:space="preserve">MATCH path = (anchor {id: $node})&lt;-[:trusts|signs*1..3]-(dep)</w:t>
      </w:r>
      <w:r>
        <w:br/>
      </w:r>
      <w:r>
        <w:rPr>
          <w:rStyle w:val="VerbatimChar"/>
        </w:rPr>
        <w:t xml:space="preserve">RETURN dep.label, length(path)</w:t>
      </w:r>
    </w:p>
    <w:p>
      <w:pPr>
        <w:pStyle w:val="FirstParagraph"/>
      </w:pPr>
      <w:r>
        <w:rPr>
          <w:bCs/>
          <w:b/>
        </w:rPr>
        <w:t xml:space="preserve">Auditor — evidence completeness:</w:t>
      </w:r>
    </w:p>
    <w:p>
      <w:pPr>
        <w:pStyle w:val="SourceCode"/>
      </w:pPr>
      <w:r>
        <w:rPr>
          <w:rStyle w:val="VerbatimChar"/>
        </w:rPr>
        <w:t xml:space="preserve">MATCH ()-[e]-&gt;() WHERE e.evidence_ref IS NULL</w:t>
      </w:r>
      <w:r>
        <w:br/>
      </w:r>
      <w:r>
        <w:rPr>
          <w:rStyle w:val="VerbatimChar"/>
        </w:rPr>
        <w:t xml:space="preserve">RETURN count(e) AS undocumented_edges</w:t>
      </w:r>
    </w:p>
    <w:p>
      <w:pPr>
        <w:pStyle w:val="FirstParagraph"/>
      </w:pPr>
      <w:r>
        <w:t xml:space="preserve">GlobalSync embedded queries in programme dashboard — Marcus Chen’s team reviewed top five blocking nodes weekly during Wave 0.</w:t>
      </w:r>
    </w:p>
    <w:p>
      <w:r>
        <w:pict>
          <v:rect style="width:0;height:1.5pt" o:hralign="center" o:hrstd="t" o:hr="t"/>
        </w:pict>
      </w:r>
    </w:p>
    <w:bookmarkEnd w:id="46"/>
    <w:bookmarkStart w:id="47" w:name="cdg-maturity-model"/>
    <w:p>
      <w:pPr>
        <w:pStyle w:val="Heading2"/>
      </w:pPr>
      <w:r>
        <w:t xml:space="preserve">8.14 CDG Maturity Model</w:t>
      </w:r>
    </w:p>
    <w:tbl>
      <w:tblPr>
        <w:tblStyle w:val="Table"/>
        <w:tblW w:type="pct" w:w="5000"/>
        <w:tblLook w:firstRow="1" w:lastRow="0" w:firstColumn="0" w:lastColumn="0" w:noHBand="0" w:noVBand="0" w:val="0020"/>
        <w:jc w:val="start"/>
      </w:tblPr>
      <w:tblGrid>
        <w:gridCol w:w="1205"/>
        <w:gridCol w:w="2926"/>
        <w:gridCol w:w="3787"/>
      </w:tblGrid>
      <w:tr>
        <w:trPr>
          <w:tblHeader w:val="true"/>
        </w:trPr>
        <w:tc>
          <w:tcPr/>
          <w:p>
            <w:pPr>
              <w:pStyle w:val="Compact"/>
              <w:jc w:val="left"/>
            </w:pPr>
            <w:r>
              <w:t xml:space="preserve">Level</w:t>
            </w:r>
          </w:p>
        </w:tc>
        <w:tc>
          <w:tcPr/>
          <w:p>
            <w:pPr>
              <w:pStyle w:val="Compact"/>
              <w:jc w:val="left"/>
            </w:pPr>
            <w:r>
              <w:t xml:space="preserve">Characteristics</w:t>
            </w:r>
          </w:p>
        </w:tc>
        <w:tc>
          <w:tcPr/>
          <w:p>
            <w:pPr>
              <w:pStyle w:val="Compact"/>
              <w:jc w:val="left"/>
            </w:pPr>
            <w:r>
              <w:t xml:space="preserve">Programme implication</w:t>
            </w:r>
          </w:p>
        </w:tc>
      </w:tr>
      <w:tr>
        <w:tc>
          <w:tcPr/>
          <w:p>
            <w:pPr>
              <w:pStyle w:val="Compact"/>
              <w:jc w:val="left"/>
            </w:pPr>
            <w:r>
              <w:rPr>
                <w:bCs/>
                <w:b/>
              </w:rPr>
              <w:t xml:space="preserve">CDG-0</w:t>
            </w:r>
          </w:p>
        </w:tc>
        <w:tc>
          <w:tcPr/>
          <w:p>
            <w:pPr>
              <w:pStyle w:val="Compact"/>
              <w:jc w:val="left"/>
            </w:pPr>
            <w:r>
              <w:t xml:space="preserve">No graph; dependencies in wiki</w:t>
            </w:r>
          </w:p>
        </w:tc>
        <w:tc>
          <w:tcPr/>
          <w:p>
            <w:pPr>
              <w:pStyle w:val="Compact"/>
              <w:jc w:val="left"/>
            </w:pPr>
            <w:r>
              <w:t xml:space="preserve">Cannot defensibly sequence waves</w:t>
            </w:r>
          </w:p>
        </w:tc>
      </w:tr>
      <w:tr>
        <w:tc>
          <w:tcPr/>
          <w:p>
            <w:pPr>
              <w:pStyle w:val="Compact"/>
              <w:jc w:val="left"/>
            </w:pPr>
            <w:r>
              <w:rPr>
                <w:bCs/>
                <w:b/>
              </w:rPr>
              <w:t xml:space="preserve">CDG-1</w:t>
            </w:r>
          </w:p>
        </w:tc>
        <w:tc>
          <w:tcPr/>
          <w:p>
            <w:pPr>
              <w:pStyle w:val="Compact"/>
              <w:jc w:val="left"/>
            </w:pPr>
            <w:r>
              <w:t xml:space="preserve">Seed from CBOM; sparse edges</w:t>
            </w:r>
          </w:p>
        </w:tc>
        <w:tc>
          <w:tcPr/>
          <w:p>
            <w:pPr>
              <w:pStyle w:val="Compact"/>
              <w:jc w:val="left"/>
            </w:pPr>
            <w:r>
              <w:t xml:space="preserve">Identify candidate blocking nodes</w:t>
            </w:r>
          </w:p>
        </w:tc>
      </w:tr>
      <w:tr>
        <w:tc>
          <w:tcPr/>
          <w:p>
            <w:pPr>
              <w:pStyle w:val="Compact"/>
              <w:jc w:val="left"/>
            </w:pPr>
            <w:r>
              <w:rPr>
                <w:bCs/>
                <w:b/>
              </w:rPr>
              <w:t xml:space="preserve">CDG-2</w:t>
            </w:r>
          </w:p>
        </w:tc>
        <w:tc>
          <w:tcPr/>
          <w:p>
            <w:pPr>
              <w:pStyle w:val="Compact"/>
              <w:jc w:val="left"/>
            </w:pPr>
            <w:r>
              <w:t xml:space="preserve">Enriched via interviews; blocking flagged</w:t>
            </w:r>
          </w:p>
        </w:tc>
        <w:tc>
          <w:tcPr/>
          <w:p>
            <w:pPr>
              <w:pStyle w:val="Compact"/>
              <w:jc w:val="left"/>
            </w:pPr>
            <w:r>
              <w:t xml:space="preserve">Wave 0 draft credible</w:t>
            </w:r>
          </w:p>
        </w:tc>
      </w:tr>
      <w:tr>
        <w:tc>
          <w:tcPr/>
          <w:p>
            <w:pPr>
              <w:pStyle w:val="Compact"/>
              <w:jc w:val="left"/>
            </w:pPr>
            <w:r>
              <w:rPr>
                <w:bCs/>
                <w:b/>
              </w:rPr>
              <w:t xml:space="preserve">CDG-3</w:t>
            </w:r>
          </w:p>
        </w:tc>
        <w:tc>
          <w:tcPr/>
          <w:p>
            <w:pPr>
              <w:pStyle w:val="Compact"/>
              <w:jc w:val="left"/>
            </w:pPr>
            <w:r>
              <w:t xml:space="preserve">Automated refresh; evidence on edges</w:t>
            </w:r>
          </w:p>
        </w:tc>
        <w:tc>
          <w:tcPr/>
          <w:p>
            <w:pPr>
              <w:pStyle w:val="Compact"/>
              <w:jc w:val="left"/>
            </w:pPr>
            <w:r>
              <w:t xml:space="preserve">Steering committee operational view</w:t>
            </w:r>
          </w:p>
        </w:tc>
      </w:tr>
      <w:tr>
        <w:tc>
          <w:tcPr/>
          <w:p>
            <w:pPr>
              <w:pStyle w:val="Compact"/>
              <w:jc w:val="left"/>
            </w:pPr>
            <w:r>
              <w:rPr>
                <w:bCs/>
                <w:b/>
              </w:rPr>
              <w:t xml:space="preserve">CDG-4</w:t>
            </w:r>
          </w:p>
        </w:tc>
        <w:tc>
          <w:tcPr/>
          <w:p>
            <w:pPr>
              <w:pStyle w:val="Compact"/>
              <w:jc w:val="left"/>
            </w:pPr>
            <w:r>
              <w:t xml:space="preserve">Integrated TRADE + change management</w:t>
            </w:r>
          </w:p>
        </w:tc>
        <w:tc>
          <w:tcPr/>
          <w:p>
            <w:pPr>
              <w:pStyle w:val="Compact"/>
              <w:jc w:val="left"/>
            </w:pPr>
            <w:r>
              <w:t xml:space="preserve">Continuous reassessment</w:t>
            </w:r>
          </w:p>
        </w:tc>
      </w:tr>
    </w:tbl>
    <w:p>
      <w:pPr>
        <w:pStyle w:val="BodyText"/>
      </w:pPr>
      <w:r>
        <w:t xml:space="preserve">Meridian reached CDG-2 at Phase 1 exit; CDG-3 target by end of Wave 0 execution. Programmes claiming CDG-4 without CI/CD integration typically overstate maturity.</w:t>
      </w:r>
    </w:p>
    <w:p>
      <w:r>
        <w:pict>
          <v:rect style="width:0;height:1.5pt" o:hralign="center" o:hrstd="t" o:hr="t"/>
        </w:pict>
      </w:r>
    </w:p>
    <w:bookmarkEnd w:id="47"/>
    <w:bookmarkStart w:id="48" w:name="partner-and-ecosystem-edges"/>
    <w:p>
      <w:pPr>
        <w:pStyle w:val="Heading2"/>
      </w:pPr>
      <w:r>
        <w:t xml:space="preserve">8.15 Partner and Ecosystem Edges</w:t>
      </w:r>
    </w:p>
    <w:p>
      <w:pPr>
        <w:pStyle w:val="FirstParagraph"/>
      </w:pPr>
      <w:r>
        <w:t xml:space="preserve">B2B integrations introduce</w:t>
      </w:r>
      <w:r>
        <w:t xml:space="preserve"> </w:t>
      </w:r>
      <w:r>
        <w:rPr>
          <w:bCs/>
          <w:b/>
        </w:rPr>
        <w:t xml:space="preserve">external trust anchors</w:t>
      </w:r>
      <w:r>
        <w:t xml:space="preserve"> </w:t>
      </w:r>
      <w:r>
        <w:t xml:space="preserve">— partner roots, industry hubs, card network PKI. Modelling rules:</w:t>
      </w:r>
    </w:p>
    <w:p>
      <w:pPr>
        <w:numPr>
          <w:ilvl w:val="0"/>
          <w:numId w:val="1009"/>
        </w:numPr>
        <w:pStyle w:val="Compact"/>
      </w:pPr>
      <w:r>
        <w:t xml:space="preserve">Partner root is distinct node — not merged with enterprise root</w:t>
      </w:r>
    </w:p>
    <w:p>
      <w:pPr>
        <w:numPr>
          <w:ilvl w:val="0"/>
          <w:numId w:val="1009"/>
        </w:numPr>
        <w:pStyle w:val="Compact"/>
      </w:pPr>
      <w:r>
        <w:rPr>
          <w:rStyle w:val="VerbatimChar"/>
        </w:rPr>
        <w:t xml:space="preserve">trusts</w:t>
      </w:r>
      <w:r>
        <w:t xml:space="preserve"> </w:t>
      </w:r>
      <w:r>
        <w:t xml:space="preserve">edge from enterprise service to partner anchor carries</w:t>
      </w:r>
      <w:r>
        <w:t xml:space="preserve"> </w:t>
      </w:r>
      <w:r>
        <w:rPr>
          <w:rStyle w:val="VerbatimChar"/>
        </w:rPr>
        <w:t xml:space="preserve">mutual_tls: true</w:t>
      </w:r>
    </w:p>
    <w:p>
      <w:pPr>
        <w:numPr>
          <w:ilvl w:val="0"/>
          <w:numId w:val="1009"/>
        </w:numPr>
        <w:pStyle w:val="Compact"/>
      </w:pPr>
      <w:r>
        <w:t xml:space="preserve">Blocking when partner policy uniform across many internal consumers (GlobalSync pattern)</w:t>
      </w:r>
    </w:p>
    <w:p>
      <w:pPr>
        <w:numPr>
          <w:ilvl w:val="0"/>
          <w:numId w:val="1009"/>
        </w:numPr>
        <w:pStyle w:val="Compact"/>
      </w:pPr>
      <w:r>
        <w:t xml:space="preserve">Edge attribute</w:t>
      </w:r>
      <w:r>
        <w:t xml:space="preserve"> </w:t>
      </w:r>
      <w:r>
        <w:rPr>
          <w:rStyle w:val="VerbatimChar"/>
        </w:rPr>
        <w:t xml:space="preserve">partner_sla_pq_date</w:t>
      </w:r>
      <w:r>
        <w:t xml:space="preserve"> </w:t>
      </w:r>
      <w:r>
        <w:t xml:space="preserve">when contractually obtained</w:t>
      </w:r>
    </w:p>
    <w:p>
      <w:pPr>
        <w:pStyle w:val="FirstParagraph"/>
      </w:pPr>
      <w:r>
        <w:rPr>
          <w:bCs/>
          <w:b/>
        </w:rPr>
        <w:t xml:space="preserve">Card network integration (Meridian):</w:t>
      </w:r>
      <w:r>
        <w:t xml:space="preserve"> </w:t>
      </w:r>
      <w:r>
        <w:t xml:space="preserve">Single</w:t>
      </w:r>
      <w:r>
        <w:t xml:space="preserve"> </w:t>
      </w:r>
      <w:r>
        <w:rPr>
          <w:rStyle w:val="VerbatimChar"/>
        </w:rPr>
        <w:t xml:space="preserve">card-scheme-trust-policy</w:t>
      </w:r>
      <w:r>
        <w:t xml:space="preserve"> </w:t>
      </w:r>
      <w:r>
        <w:t xml:space="preserve">node blocked 340 merchant endpoint configs — procurement negotiated scheme-level PQ roadmap before per-merchant projects.</w:t>
      </w:r>
    </w:p>
    <w:p>
      <w:r>
        <w:pict>
          <v:rect style="width:0;height:1.5pt" o:hralign="center" o:hrstd="t" o:hr="t"/>
        </w:pict>
      </w:r>
    </w:p>
    <w:bookmarkEnd w:id="48"/>
    <w:bookmarkStart w:id="49" w:name="tooling-and-storage"/>
    <w:p>
      <w:pPr>
        <w:pStyle w:val="Heading2"/>
      </w:pPr>
      <w:r>
        <w:t xml:space="preserve">8.16 Tooling and Storage</w:t>
      </w:r>
    </w:p>
    <w:p>
      <w:pPr>
        <w:pStyle w:val="FirstParagraph"/>
      </w:pPr>
      <w:r>
        <w:t xml:space="preserve">CDG may be stored as:</w:t>
      </w:r>
    </w:p>
    <w:p>
      <w:pPr>
        <w:numPr>
          <w:ilvl w:val="0"/>
          <w:numId w:val="1010"/>
        </w:numPr>
        <w:pStyle w:val="Compact"/>
      </w:pPr>
      <w:r>
        <w:rPr>
          <w:bCs/>
          <w:b/>
        </w:rPr>
        <w:t xml:space="preserve">Graph database</w:t>
      </w:r>
      <w:r>
        <w:t xml:space="preserve"> </w:t>
      </w:r>
      <w:r>
        <w:t xml:space="preserve">(Neo4j, Neptune) — natural fit for queries</w:t>
      </w:r>
    </w:p>
    <w:p>
      <w:pPr>
        <w:numPr>
          <w:ilvl w:val="0"/>
          <w:numId w:val="1010"/>
        </w:numPr>
        <w:pStyle w:val="Compact"/>
      </w:pPr>
      <w:r>
        <w:rPr>
          <w:bCs/>
          <w:b/>
        </w:rPr>
        <w:t xml:space="preserve">JSON-LD / RDF</w:t>
      </w:r>
      <w:r>
        <w:t xml:space="preserve"> </w:t>
      </w:r>
      <w:r>
        <w:t xml:space="preserve">— semantic interoperability</w:t>
      </w:r>
    </w:p>
    <w:p>
      <w:pPr>
        <w:numPr>
          <w:ilvl w:val="0"/>
          <w:numId w:val="1010"/>
        </w:numPr>
        <w:pStyle w:val="Compact"/>
      </w:pPr>
      <w:r>
        <w:rPr>
          <w:bCs/>
          <w:b/>
        </w:rPr>
        <w:t xml:space="preserve">Relational</w:t>
      </w:r>
      <w:r>
        <w:t xml:space="preserve"> </w:t>
      </w:r>
      <w:r>
        <w:t xml:space="preserve">(nodes + edges tables) — sufficient for many enterprises</w:t>
      </w:r>
    </w:p>
    <w:p>
      <w:pPr>
        <w:pStyle w:val="FirstParagraph"/>
      </w:pPr>
      <w:r>
        <w:t xml:space="preserve">Minimum viable schema:</w:t>
      </w:r>
    </w:p>
    <w:p>
      <w:pPr>
        <w:pStyle w:val="SourceCode"/>
      </w:pPr>
      <w:r>
        <w:rPr>
          <w:rStyle w:val="VerbatimChar"/>
        </w:rPr>
        <w:t xml:space="preserve">Node: { id, type, label, attributes{}, cbom_ref?, blocking, lead_time_months? }</w:t>
      </w:r>
      <w:r>
        <w:br/>
      </w:r>
      <w:r>
        <w:rPr>
          <w:rStyle w:val="VerbatimChar"/>
        </w:rPr>
        <w:t xml:space="preserve">Edge: { id, from, to, type, attributes{}, evidence_ref? }</w:t>
      </w:r>
    </w:p>
    <w:p>
      <w:pPr>
        <w:pStyle w:val="FirstParagraph"/>
      </w:pPr>
      <w:r>
        <w:rPr>
          <w:bCs/>
          <w:b/>
        </w:rPr>
        <w:t xml:space="preserve">Versioning:</w:t>
      </w:r>
      <w:r>
        <w:t xml:space="preserve"> </w:t>
      </w:r>
      <w:r>
        <w:t xml:space="preserve">CDG snapshots align with CBOM versions. Diff tools highlight new edges after each discovery tranche — edge</w:t>
      </w:r>
      <w:r>
        <w:t xml:space="preserve"> </w:t>
      </w:r>
      <w:r>
        <w:rPr>
          <w:iCs/>
          <w:i/>
        </w:rPr>
        <w:t xml:space="preserve">growth</w:t>
      </w:r>
      <w:r>
        <w:t xml:space="preserve"> </w:t>
      </w:r>
      <w:r>
        <w:t xml:space="preserve">is a programme health metric.</w:t>
      </w:r>
    </w:p>
    <w:p>
      <w:pPr>
        <w:pStyle w:val="BodyText"/>
      </w:pPr>
      <w:r>
        <w:rPr>
          <w:bCs/>
          <w:b/>
        </w:rPr>
        <w:t xml:space="preserve">Illustrative budget (planning example):</w:t>
      </w:r>
      <w:r>
        <w:t xml:space="preserve"> </w:t>
      </w:r>
      <w:r>
        <w:t xml:space="preserve">Graph platform licence + 0.5 FTE graph curator for year one —</w:t>
      </w:r>
      <w:r>
        <w:t xml:space="preserve"> </w:t>
      </w:r>
      <w:r>
        <w:rPr>
          <w:bCs/>
          <w:b/>
        </w:rPr>
        <w:t xml:space="preserve">$180k–$320k</w:t>
      </w:r>
      <w:r>
        <w:t xml:space="preserve"> </w:t>
      </w:r>
      <w:r>
        <w:t xml:space="preserve">depending on existing CMDB integration.</w:t>
      </w:r>
    </w:p>
    <w:p>
      <w:r>
        <w:pict>
          <v:rect style="width:0;height:1.5pt" o:hralign="center" o:hrstd="t" o:hr="t"/>
        </w:pict>
      </w:r>
    </w:p>
    <w:bookmarkEnd w:id="49"/>
    <w:bookmarkStart w:id="50" w:name="cdg-and-trade-integration"/>
    <w:p>
      <w:pPr>
        <w:pStyle w:val="Heading2"/>
      </w:pPr>
      <w:r>
        <w:t xml:space="preserve">8.17 CDG and TRADE Integration</w:t>
      </w:r>
    </w:p>
    <w:p>
      <w:pPr>
        <w:pStyle w:val="FirstParagraph"/>
      </w:pPr>
      <w:r>
        <w:t xml:space="preserve">Chapter 9 scores workloads using TRADE. The</w:t>
      </w:r>
      <w:r>
        <w:t xml:space="preserve"> </w:t>
      </w:r>
      <w:r>
        <w:rPr>
          <w:bCs/>
          <w:b/>
        </w:rPr>
        <w:t xml:space="preserve">Dependency (D)</w:t>
      </w:r>
      <w:r>
        <w:t xml:space="preserve"> </w:t>
      </w:r>
      <w:r>
        <w:t xml:space="preserve">dimension draws directly from CDG: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CDG signal</w:t>
            </w:r>
          </w:p>
        </w:tc>
        <w:tc>
          <w:tcPr/>
          <w:p>
            <w:pPr>
              <w:pStyle w:val="Compact"/>
              <w:jc w:val="left"/>
            </w:pPr>
            <w:r>
              <w:t xml:space="preserve">TRADE D score input</w:t>
            </w:r>
          </w:p>
        </w:tc>
      </w:tr>
      <w:tr>
        <w:tc>
          <w:tcPr/>
          <w:p>
            <w:pPr>
              <w:pStyle w:val="Compact"/>
              <w:jc w:val="left"/>
            </w:pPr>
            <w:r>
              <w:t xml:space="preserve">Blocking node with no alternate path</w:t>
            </w:r>
          </w:p>
        </w:tc>
        <w:tc>
          <w:tcPr/>
          <w:p>
            <w:pPr>
              <w:pStyle w:val="Compact"/>
              <w:jc w:val="left"/>
            </w:pPr>
            <w:r>
              <w:t xml:space="preserve">D = 5 (highest friction)</w:t>
            </w:r>
          </w:p>
        </w:tc>
      </w:tr>
      <w:tr>
        <w:tc>
          <w:tcPr/>
          <w:p>
            <w:pPr>
              <w:pStyle w:val="Compact"/>
              <w:jc w:val="left"/>
            </w:pPr>
            <w:r>
              <w:t xml:space="preserve">Multiple dependents, single anchor</w:t>
            </w:r>
          </w:p>
        </w:tc>
        <w:tc>
          <w:tcPr/>
          <w:p>
            <w:pPr>
              <w:pStyle w:val="Compact"/>
              <w:jc w:val="left"/>
            </w:pPr>
            <w:r>
              <w:t xml:space="preserve">D ≥ 4</w:t>
            </w:r>
          </w:p>
        </w:tc>
      </w:tr>
      <w:tr>
        <w:tc>
          <w:tcPr/>
          <w:p>
            <w:pPr>
              <w:pStyle w:val="Compact"/>
              <w:jc w:val="left"/>
            </w:pPr>
            <w:r>
              <w:t xml:space="preserve">Leaf cert with isolated trust</w:t>
            </w:r>
          </w:p>
        </w:tc>
        <w:tc>
          <w:tcPr/>
          <w:p>
            <w:pPr>
              <w:pStyle w:val="Compact"/>
              <w:jc w:val="left"/>
            </w:pPr>
            <w:r>
              <w:t xml:space="preserve">D = 1–2</w:t>
            </w:r>
          </w:p>
        </w:tc>
      </w:tr>
      <w:tr>
        <w:tc>
          <w:tcPr/>
          <w:p>
            <w:pPr>
              <w:pStyle w:val="Compact"/>
              <w:jc w:val="left"/>
            </w:pPr>
            <w:r>
              <w:t xml:space="preserve">Cross-vendor edge (no SLA on PQ)</w:t>
            </w:r>
          </w:p>
        </w:tc>
        <w:tc>
          <w:tcPr/>
          <w:p>
            <w:pPr>
              <w:pStyle w:val="Compact"/>
              <w:jc w:val="left"/>
            </w:pPr>
            <w:r>
              <w:t xml:space="preserve">D +1 modifier</w:t>
            </w:r>
          </w:p>
        </w:tc>
      </w:tr>
    </w:tbl>
    <w:p>
      <w:pPr>
        <w:pStyle w:val="BodyText"/>
      </w:pPr>
      <w:r>
        <w:rPr>
          <w:bCs/>
          <w:b/>
        </w:rPr>
        <w:t xml:space="preserve">Migration Propensity Index (MPI)</w:t>
      </w:r>
      <w:r>
        <w:t xml:space="preserve"> </w:t>
      </w:r>
      <w:r>
        <w:t xml:space="preserve">combines T, R, A, D, E — but</w:t>
      </w:r>
      <w:r>
        <w:t xml:space="preserve"> </w:t>
      </w:r>
      <w:r>
        <w:rPr>
          <w:bCs/>
          <w:b/>
        </w:rPr>
        <w:t xml:space="preserve">blocking nodes</w:t>
      </w:r>
      <w:r>
        <w:t xml:space="preserve"> </w:t>
      </w:r>
      <w:r>
        <w:t xml:space="preserve">can override MPI ordering: a low-MPI service that trusts a high-blocker root must wait regardless of its own score.</w:t>
      </w:r>
    </w:p>
    <w:p>
      <w:r>
        <w:pict>
          <v:rect style="width:0;height:1.5pt" o:hralign="center" o:hrstd="t" o:hr="t"/>
        </w:pict>
      </w:r>
    </w:p>
    <w:bookmarkEnd w:id="50"/>
    <w:bookmarkStart w:id="51" w:name="failure-modes"/>
    <w:p>
      <w:pPr>
        <w:pStyle w:val="Heading2"/>
      </w:pPr>
      <w:r>
        <w:t xml:space="preserve">8.18 Failure Modes</w:t>
      </w:r>
    </w:p>
    <w:tbl>
      <w:tblPr>
        <w:tblStyle w:val="Table"/>
        <w:tblW w:type="pct" w:w="5000"/>
        <w:tblLook w:firstRow="1" w:lastRow="0" w:firstColumn="0" w:lastColumn="0" w:noHBand="0" w:noVBand="0" w:val="0020"/>
        <w:jc w:val="start"/>
      </w:tblPr>
      <w:tblGrid>
        <w:gridCol w:w="2376"/>
        <w:gridCol w:w="2376"/>
        <w:gridCol w:w="3168"/>
      </w:tblGrid>
      <w:tr>
        <w:trPr>
          <w:tblHeader w:val="true"/>
        </w:trPr>
        <w:tc>
          <w:tcPr/>
          <w:p>
            <w:pPr>
              <w:pStyle w:val="Compact"/>
              <w:jc w:val="left"/>
            </w:pPr>
            <w:r>
              <w:t xml:space="preserve">Failure</w:t>
            </w:r>
          </w:p>
        </w:tc>
        <w:tc>
          <w:tcPr/>
          <w:p>
            <w:pPr>
              <w:pStyle w:val="Compact"/>
              <w:jc w:val="left"/>
            </w:pPr>
            <w:r>
              <w:t xml:space="preserve">Symptom</w:t>
            </w:r>
          </w:p>
        </w:tc>
        <w:tc>
          <w:tcPr/>
          <w:p>
            <w:pPr>
              <w:pStyle w:val="Compact"/>
              <w:jc w:val="left"/>
            </w:pPr>
            <w:r>
              <w:t xml:space="preserve">Mitigation</w:t>
            </w:r>
          </w:p>
        </w:tc>
      </w:tr>
      <w:tr>
        <w:tc>
          <w:tcPr/>
          <w:p>
            <w:pPr>
              <w:pStyle w:val="Compact"/>
              <w:jc w:val="left"/>
            </w:pPr>
            <w:r>
              <w:rPr>
                <w:bCs/>
                <w:b/>
              </w:rPr>
              <w:t xml:space="preserve">Flat graph</w:t>
            </w:r>
          </w:p>
        </w:tc>
        <w:tc>
          <w:tcPr/>
          <w:p>
            <w:pPr>
              <w:pStyle w:val="Compact"/>
              <w:jc w:val="left"/>
            </w:pPr>
            <w:r>
              <w:t xml:space="preserve">Every node connects to</w:t>
            </w:r>
            <w:r>
              <w:t xml:space="preserve"> </w:t>
            </w:r>
            <w:r>
              <w:t xml:space="preserve">“</w:t>
            </w:r>
            <w:r>
              <w:t xml:space="preserve">corporate root</w:t>
            </w:r>
            <w:r>
              <w:t xml:space="preserve">”</w:t>
            </w:r>
            <w:r>
              <w:t xml:space="preserve"> </w:t>
            </w:r>
            <w:r>
              <w:t xml:space="preserve">only</w:t>
            </w:r>
          </w:p>
        </w:tc>
        <w:tc>
          <w:tcPr/>
          <w:p>
            <w:pPr>
              <w:pStyle w:val="Compact"/>
              <w:jc w:val="left"/>
            </w:pPr>
            <w:r>
              <w:t xml:space="preserve">Enrich with terminates/signs from configs</w:t>
            </w:r>
          </w:p>
        </w:tc>
      </w:tr>
      <w:tr>
        <w:tc>
          <w:tcPr/>
          <w:p>
            <w:pPr>
              <w:pStyle w:val="Compact"/>
              <w:jc w:val="left"/>
            </w:pPr>
            <w:r>
              <w:rPr>
                <w:bCs/>
                <w:b/>
              </w:rPr>
              <w:t xml:space="preserve">False leaves</w:t>
            </w:r>
          </w:p>
        </w:tc>
        <w:tc>
          <w:tcPr/>
          <w:p>
            <w:pPr>
              <w:pStyle w:val="Compact"/>
              <w:jc w:val="left"/>
            </w:pPr>
            <w:r>
              <w:t xml:space="preserve">Missing partner trust edges</w:t>
            </w:r>
          </w:p>
        </w:tc>
        <w:tc>
          <w:tcPr/>
          <w:p>
            <w:pPr>
              <w:pStyle w:val="Compact"/>
              <w:jc w:val="left"/>
            </w:pPr>
            <w:r>
              <w:t xml:space="preserve">Partner integration tranche</w:t>
            </w:r>
          </w:p>
        </w:tc>
      </w:tr>
      <w:tr>
        <w:tc>
          <w:tcPr/>
          <w:p>
            <w:pPr>
              <w:pStyle w:val="Compact"/>
              <w:jc w:val="left"/>
            </w:pPr>
            <w:r>
              <w:rPr>
                <w:bCs/>
                <w:b/>
              </w:rPr>
              <w:t xml:space="preserve">Stale edges</w:t>
            </w:r>
          </w:p>
        </w:tc>
        <w:tc>
          <w:tcPr/>
          <w:p>
            <w:pPr>
              <w:pStyle w:val="Compact"/>
              <w:jc w:val="left"/>
            </w:pPr>
            <w:r>
              <w:t xml:space="preserve">Certs renewed but graph not updated</w:t>
            </w:r>
          </w:p>
        </w:tc>
        <w:tc>
          <w:tcPr/>
          <w:p>
            <w:pPr>
              <w:pStyle w:val="Compact"/>
              <w:jc w:val="left"/>
            </w:pPr>
            <w:r>
              <w:t xml:space="preserve">Tie CDG refresh to cert expiry jobs</w:t>
            </w:r>
          </w:p>
        </w:tc>
      </w:tr>
      <w:tr>
        <w:tc>
          <w:tcPr/>
          <w:p>
            <w:pPr>
              <w:pStyle w:val="Compact"/>
              <w:jc w:val="left"/>
            </w:pPr>
            <w:r>
              <w:rPr>
                <w:bCs/>
                <w:b/>
              </w:rPr>
              <w:t xml:space="preserve">Over-blocking</w:t>
            </w:r>
          </w:p>
        </w:tc>
        <w:tc>
          <w:tcPr/>
          <w:p>
            <w:pPr>
              <w:pStyle w:val="Compact"/>
              <w:jc w:val="left"/>
            </w:pPr>
            <w:r>
              <w:t xml:space="preserve">Everything marked blocking</w:t>
            </w:r>
          </w:p>
        </w:tc>
        <w:tc>
          <w:tcPr/>
          <w:p>
            <w:pPr>
              <w:pStyle w:val="Compact"/>
              <w:jc w:val="left"/>
            </w:pPr>
            <w:r>
              <w:t xml:space="preserve">Use in-degree thresholds + business review</w:t>
            </w:r>
          </w:p>
        </w:tc>
      </w:tr>
      <w:tr>
        <w:tc>
          <w:tcPr/>
          <w:p>
            <w:pPr>
              <w:pStyle w:val="Compact"/>
              <w:jc w:val="left"/>
            </w:pPr>
            <w:r>
              <w:rPr>
                <w:bCs/>
                <w:b/>
              </w:rPr>
              <w:t xml:space="preserve">Tool obsession</w:t>
            </w:r>
          </w:p>
        </w:tc>
        <w:tc>
          <w:tcPr/>
          <w:p>
            <w:pPr>
              <w:pStyle w:val="Compact"/>
              <w:jc w:val="left"/>
            </w:pPr>
            <w:r>
              <w:t xml:space="preserve">Months building graph, no waves</w:t>
            </w:r>
          </w:p>
        </w:tc>
        <w:tc>
          <w:tcPr/>
          <w:p>
            <w:pPr>
              <w:pStyle w:val="Compact"/>
              <w:jc w:val="left"/>
            </w:pPr>
            <w:r>
              <w:t xml:space="preserve">Time-box Phase A–C to 8–12 weeks per domain</w:t>
            </w:r>
          </w:p>
        </w:tc>
      </w:tr>
    </w:tbl>
    <w:p>
      <w:r>
        <w:pict>
          <v:rect style="width:0;height:1.5pt" o:hralign="center" o:hrstd="t" o:hr="t"/>
        </w:pict>
      </w:r>
    </w:p>
    <w:bookmarkEnd w:id="51"/>
    <w:bookmarkStart w:id="52" w:name="workshop-one-blocking-node-deep-dive"/>
    <w:p>
      <w:pPr>
        <w:pStyle w:val="Heading2"/>
      </w:pPr>
      <w:r>
        <w:t xml:space="preserve">8.19 Workshop: One Blocking Node Deep Dive</w:t>
      </w:r>
    </w:p>
    <w:p>
      <w:pPr>
        <w:pStyle w:val="FirstParagraph"/>
      </w:pPr>
      <w:r>
        <w:rPr>
          <w:bCs/>
          <w:b/>
        </w:rPr>
        <w:t xml:space="preserve">Exercise (90 minutes):</w:t>
      </w:r>
      <w:r>
        <w:t xml:space="preserve"> </w:t>
      </w:r>
      <w:r>
        <w:t xml:space="preserve">Select one anchor from your inventory (internal CA, HSM, partner policy). Facilitator guides:</w:t>
      </w:r>
    </w:p>
    <w:p>
      <w:pPr>
        <w:numPr>
          <w:ilvl w:val="0"/>
          <w:numId w:val="1011"/>
        </w:numPr>
        <w:pStyle w:val="Compact"/>
      </w:pPr>
      <w:r>
        <w:t xml:space="preserve">Reverse BFS: list all nodes within 3 hops.</w:t>
      </w:r>
    </w:p>
    <w:p>
      <w:pPr>
        <w:numPr>
          <w:ilvl w:val="0"/>
          <w:numId w:val="1011"/>
        </w:numPr>
        <w:pStyle w:val="Compact"/>
      </w:pPr>
      <w:r>
        <w:t xml:space="preserve">Classify each dependent: production / non-prod / unknown.</w:t>
      </w:r>
    </w:p>
    <w:p>
      <w:pPr>
        <w:numPr>
          <w:ilvl w:val="0"/>
          <w:numId w:val="1011"/>
        </w:numPr>
        <w:pStyle w:val="Compact"/>
      </w:pPr>
      <w:r>
        <w:t xml:space="preserve">Estimate minimum lead time to change anchor algorithm.</w:t>
      </w:r>
    </w:p>
    <w:p>
      <w:pPr>
        <w:numPr>
          <w:ilvl w:val="0"/>
          <w:numId w:val="1011"/>
        </w:numPr>
        <w:pStyle w:val="Compact"/>
      </w:pPr>
      <w:r>
        <w:t xml:space="preserve">Decide: Wave 0, dual-trust period, or defer with documented risk.</w:t>
      </w:r>
    </w:p>
    <w:p>
      <w:pPr>
        <w:pStyle w:val="FirstParagraph"/>
      </w:pPr>
      <w:r>
        <w:rPr>
          <w:bCs/>
          <w:b/>
        </w:rPr>
        <w:t xml:space="preserve">Deliverable:</w:t>
      </w:r>
      <w:r>
        <w:t xml:space="preserve"> </w:t>
      </w:r>
      <w:r>
        <w:t xml:space="preserve">One-page</w:t>
      </w:r>
      <w:r>
        <w:t xml:space="preserve"> </w:t>
      </w:r>
      <w:r>
        <w:rPr>
          <w:bCs/>
          <w:b/>
        </w:rPr>
        <w:t xml:space="preserve">blocking node brief</w:t>
      </w:r>
      <w:r>
        <w:t xml:space="preserve"> </w:t>
      </w:r>
      <w:r>
        <w:t xml:space="preserve">for steering committee.</w:t>
      </w:r>
    </w:p>
    <w:p>
      <w:r>
        <w:pict>
          <v:rect style="width:0;height:1.5pt" o:hralign="center" o:hrstd="t" o:hr="t"/>
        </w:pict>
      </w:r>
    </w:p>
    <w:bookmarkEnd w:id="52"/>
    <w:bookmarkStart w:id="53" w:name="Xfefa985275ad84d43d05f05b88668aca7b6fb60"/>
    <w:p>
      <w:pPr>
        <w:pStyle w:val="Heading2"/>
      </w:pPr>
      <w:r>
        <w:t xml:space="preserve">8.20 Apex: Contract Renewal and Cross-Domain Guards</w:t>
      </w:r>
    </w:p>
    <w:p>
      <w:pPr>
        <w:pStyle w:val="FirstParagraph"/>
      </w:pPr>
      <w:r>
        <w:t xml:space="preserve">Apex’s commercial division serves defence primes under</w:t>
      </w:r>
      <w:r>
        <w:t xml:space="preserve"> </w:t>
      </w:r>
      <w:r>
        <w:rPr>
          <w:bCs/>
          <w:b/>
        </w:rPr>
        <w:t xml:space="preserve">contract flow-down</w:t>
      </w:r>
      <w:r>
        <w:t xml:space="preserve"> </w:t>
      </w:r>
      <w:r>
        <w:t xml:space="preserve">requiring CNSA-aligned cryptography on deliverables. CDG separated:</w:t>
      </w:r>
    </w:p>
    <w:p>
      <w:pPr>
        <w:numPr>
          <w:ilvl w:val="0"/>
          <w:numId w:val="1012"/>
        </w:numPr>
        <w:pStyle w:val="Compact"/>
      </w:pPr>
      <w:r>
        <w:rPr>
          <w:bCs/>
          <w:b/>
        </w:rPr>
        <w:t xml:space="preserve">Corporate product signing</w:t>
      </w:r>
      <w:r>
        <w:t xml:space="preserve"> </w:t>
      </w:r>
      <w:r>
        <w:t xml:space="preserve">— commercial root CA, NIST IR 8547 timeline</w:t>
      </w:r>
    </w:p>
    <w:p>
      <w:pPr>
        <w:numPr>
          <w:ilvl w:val="0"/>
          <w:numId w:val="1012"/>
        </w:numPr>
        <w:pStyle w:val="Compact"/>
      </w:pPr>
      <w:r>
        <w:rPr>
          <w:bCs/>
          <w:b/>
        </w:rPr>
        <w:t xml:space="preserve">NSS deliverable signing</w:t>
      </w:r>
      <w:r>
        <w:t xml:space="preserve"> </w:t>
      </w:r>
      <w:r>
        <w:t xml:space="preserve">— CNSA root, accelerated milestones</w:t>
      </w:r>
    </w:p>
    <w:p>
      <w:pPr>
        <w:numPr>
          <w:ilvl w:val="0"/>
          <w:numId w:val="1012"/>
        </w:numPr>
        <w:pStyle w:val="Compact"/>
      </w:pPr>
      <w:r>
        <w:rPr>
          <w:bCs/>
          <w:b/>
        </w:rPr>
        <w:t xml:space="preserve">Cross-domain guard</w:t>
      </w:r>
      <w:r>
        <w:t xml:space="preserve"> </w:t>
      </w:r>
      <w:r>
        <w:t xml:space="preserve">nodes — data diode and guard appliance crypto policies</w:t>
      </w:r>
    </w:p>
    <w:p>
      <w:pPr>
        <w:pStyle w:val="FirstParagraph"/>
      </w:pPr>
      <w:r>
        <w:t xml:space="preserve">A proposal to unify signing under corporate PKI for cost savings failed CDG review: NSS deliverable nodes held</w:t>
      </w:r>
      <w:r>
        <w:t xml:space="preserve"> </w:t>
      </w:r>
      <w:r>
        <w:rPr>
          <w:rStyle w:val="VerbatimChar"/>
        </w:rPr>
        <w:t xml:space="preserve">boundary_tag: nss</w:t>
      </w:r>
      <w:r>
        <w:t xml:space="preserve"> </w:t>
      </w:r>
      <w:r>
        <w:t xml:space="preserve">with no</w:t>
      </w:r>
      <w:r>
        <w:t xml:space="preserve"> </w:t>
      </w:r>
      <w:r>
        <w:rPr>
          <w:rStyle w:val="VerbatimChar"/>
        </w:rPr>
        <w:t xml:space="preserve">trusts</w:t>
      </w:r>
      <w:r>
        <w:t xml:space="preserve"> </w:t>
      </w:r>
      <w:r>
        <w:t xml:space="preserve">path to corporate root. Unification would have created</w:t>
      </w:r>
      <w:r>
        <w:t xml:space="preserve"> </w:t>
      </w:r>
      <w:r>
        <w:rPr>
          <w:bCs/>
          <w:b/>
        </w:rPr>
        <w:t xml:space="preserve">cross-classification edge</w:t>
      </w:r>
      <w:r>
        <w:t xml:space="preserve"> </w:t>
      </w:r>
      <w:r>
        <w:t xml:space="preserve">violating accreditation boundaries.</w:t>
      </w:r>
    </w:p>
    <w:p>
      <w:pPr>
        <w:pStyle w:val="BodyText"/>
      </w:pPr>
      <w:r>
        <w:t xml:space="preserve">Contract renewal cycles (Chapter 9) aligned with CDG node</w:t>
      </w:r>
      <w:r>
        <w:t xml:space="preserve"> </w:t>
      </w:r>
      <w:r>
        <w:rPr>
          <w:rStyle w:val="VerbatimChar"/>
        </w:rPr>
        <w:t xml:space="preserve">contract_renewal_date</w:t>
      </w:r>
      <w:r>
        <w:t xml:space="preserve"> </w:t>
      </w:r>
      <w:r>
        <w:t xml:space="preserve">— Priya Nair’s team sequenced Wave 0 NSS firmware signing before commercial TLS because CDG showed three active contracts with 2027 renewal gates referencing signing algorithm clauses.</w:t>
      </w:r>
    </w:p>
    <w:p>
      <w:r>
        <w:pict>
          <v:rect style="width:0;height:1.5pt" o:hralign="center" o:hrstd="t" o:hr="t"/>
        </w:pict>
      </w:r>
    </w:p>
    <w:bookmarkEnd w:id="53"/>
    <w:bookmarkStart w:id="54" w:name="dual-run-and-parallel-trust-periods"/>
    <w:p>
      <w:pPr>
        <w:pStyle w:val="Heading2"/>
      </w:pPr>
      <w:r>
        <w:t xml:space="preserve">8.21 Dual-Run and Parallel Trust Periods</w:t>
      </w:r>
    </w:p>
    <w:p>
      <w:pPr>
        <w:pStyle w:val="FirstParagraph"/>
      </w:pPr>
      <w:r>
        <w:t xml:space="preserve">Blocking nodes often require</w:t>
      </w:r>
      <w:r>
        <w:t xml:space="preserve"> </w:t>
      </w:r>
      <w:r>
        <w:rPr>
          <w:bCs/>
          <w:b/>
        </w:rPr>
        <w:t xml:space="preserve">parallel trust</w:t>
      </w:r>
      <w:r>
        <w:t xml:space="preserve"> </w:t>
      </w:r>
      <w:r>
        <w:t xml:space="preserve">— accepting both legacy and hybrid signatures during transition. CDG models parallel trust as:</w:t>
      </w:r>
    </w:p>
    <w:p>
      <w:pPr>
        <w:numPr>
          <w:ilvl w:val="0"/>
          <w:numId w:val="1013"/>
        </w:numPr>
        <w:pStyle w:val="Compact"/>
      </w:pPr>
      <w:r>
        <w:t xml:space="preserve">Additional</w:t>
      </w:r>
      <w:r>
        <w:t xml:space="preserve"> </w:t>
      </w:r>
      <w:r>
        <w:rPr>
          <w:rStyle w:val="VerbatimChar"/>
        </w:rPr>
        <w:t xml:space="preserve">trusts</w:t>
      </w:r>
      <w:r>
        <w:t xml:space="preserve"> </w:t>
      </w:r>
      <w:r>
        <w:t xml:space="preserve">edge from consumer to hybrid anchor</w:t>
      </w:r>
    </w:p>
    <w:p>
      <w:pPr>
        <w:numPr>
          <w:ilvl w:val="0"/>
          <w:numId w:val="1013"/>
        </w:numPr>
        <w:pStyle w:val="Compact"/>
      </w:pPr>
      <w:r>
        <w:t xml:space="preserve">Edge attribute</w:t>
      </w:r>
      <w:r>
        <w:t xml:space="preserve"> </w:t>
      </w:r>
      <w:r>
        <w:rPr>
          <w:rStyle w:val="VerbatimChar"/>
        </w:rPr>
        <w:t xml:space="preserve">parallel_trust_until: 2028-12-31</w:t>
      </w:r>
    </w:p>
    <w:p>
      <w:pPr>
        <w:numPr>
          <w:ilvl w:val="0"/>
          <w:numId w:val="1013"/>
        </w:numPr>
        <w:pStyle w:val="Compact"/>
      </w:pPr>
      <w:r>
        <w:rPr>
          <w:rStyle w:val="VerbatimChar"/>
        </w:rPr>
        <w:t xml:space="preserve">signs</w:t>
      </w:r>
      <w:r>
        <w:t xml:space="preserve"> </w:t>
      </w:r>
      <w:r>
        <w:t xml:space="preserve">edges from two CAs to same firmware image during dual-signature period</w:t>
      </w:r>
    </w:p>
    <w:p>
      <w:pPr>
        <w:pStyle w:val="FirstParagraph"/>
      </w:pPr>
      <w:r>
        <w:t xml:space="preserve">Meridian’s retail terminal fleet required six-month parallel trust after hybrid firmware release — CDG edge annotations prevented premature retirement of legacy anchor.</w:t>
      </w:r>
    </w:p>
    <w:p>
      <w:pPr>
        <w:pStyle w:val="BodyText"/>
      </w:pPr>
      <w:r>
        <w:rPr>
          <w:bCs/>
          <w:b/>
        </w:rPr>
        <w:t xml:space="preserve">Failure mode:</w:t>
      </w:r>
      <w:r>
        <w:t xml:space="preserve"> </w:t>
      </w:r>
      <w:r>
        <w:t xml:space="preserve">Parallel trust without sunset — terminals accept classical signatures indefinitely.</w:t>
      </w:r>
      <w:r>
        <w:t xml:space="preserve"> </w:t>
      </w:r>
      <w:r>
        <w:rPr>
          <w:iCs/>
          <w:i/>
        </w:rPr>
        <w:t xml:space="preserve">Remediation:</w:t>
      </w:r>
      <w:r>
        <w:t xml:space="preserve"> </w:t>
      </w:r>
      <w:r>
        <w:rPr>
          <w:rStyle w:val="VerbatimChar"/>
        </w:rPr>
        <w:t xml:space="preserve">parallel_trust_until</w:t>
      </w:r>
      <w:r>
        <w:t xml:space="preserve"> </w:t>
      </w:r>
      <w:r>
        <w:t xml:space="preserve">mandatory on CDG edges; CBOM</w:t>
      </w:r>
      <w:r>
        <w:t xml:space="preserve"> </w:t>
      </w:r>
      <w:r>
        <w:rPr>
          <w:rStyle w:val="VerbatimChar"/>
        </w:rPr>
        <w:t xml:space="preserve">hlm_phase</w:t>
      </w:r>
      <w:r>
        <w:t xml:space="preserve"> </w:t>
      </w:r>
      <w:r>
        <w:t xml:space="preserve">tracks H1/H2.</w:t>
      </w:r>
    </w:p>
    <w:p>
      <w:r>
        <w:pict>
          <v:rect style="width:0;height:1.5pt" o:hralign="center" o:hrstd="t" o:hr="t"/>
        </w:pict>
      </w:r>
    </w:p>
    <w:bookmarkEnd w:id="54"/>
    <w:bookmarkStart w:id="55" w:name="cdg-anti-patterns"/>
    <w:p>
      <w:pPr>
        <w:pStyle w:val="Heading2"/>
      </w:pPr>
      <w:r>
        <w:t xml:space="preserve">8.22 CDG Anti-Patterns</w:t>
      </w:r>
    </w:p>
    <w:tbl>
      <w:tblPr>
        <w:tblStyle w:val="Table"/>
        <w:tblW w:type="pct" w:w="5000"/>
        <w:tblLook w:firstRow="1" w:lastRow="0" w:firstColumn="0" w:lastColumn="0" w:noHBand="0" w:noVBand="0" w:val="0020"/>
        <w:jc w:val="start"/>
      </w:tblPr>
      <w:tblGrid>
        <w:gridCol w:w="2772"/>
        <w:gridCol w:w="2574"/>
        <w:gridCol w:w="2574"/>
      </w:tblGrid>
      <w:tr>
        <w:trPr>
          <w:tblHeader w:val="true"/>
        </w:trPr>
        <w:tc>
          <w:tcPr/>
          <w:p>
            <w:pPr>
              <w:pStyle w:val="Compact"/>
              <w:jc w:val="left"/>
            </w:pPr>
            <w:r>
              <w:t xml:space="preserve">Anti-pattern</w:t>
            </w:r>
          </w:p>
        </w:tc>
        <w:tc>
          <w:tcPr/>
          <w:p>
            <w:pPr>
              <w:pStyle w:val="Compact"/>
              <w:jc w:val="left"/>
            </w:pPr>
            <w:r>
              <w:t xml:space="preserve">Description</w:t>
            </w:r>
          </w:p>
        </w:tc>
        <w:tc>
          <w:tcPr/>
          <w:p>
            <w:pPr>
              <w:pStyle w:val="Compact"/>
              <w:jc w:val="left"/>
            </w:pPr>
            <w:r>
              <w:t xml:space="preserve">Consequence</w:t>
            </w:r>
          </w:p>
        </w:tc>
      </w:tr>
      <w:tr>
        <w:tc>
          <w:tcPr/>
          <w:p>
            <w:pPr>
              <w:pStyle w:val="Compact"/>
              <w:jc w:val="left"/>
            </w:pPr>
            <w:r>
              <w:rPr>
                <w:bCs/>
                <w:b/>
              </w:rPr>
              <w:t xml:space="preserve">Spaghetti trust</w:t>
            </w:r>
          </w:p>
        </w:tc>
        <w:tc>
          <w:tcPr/>
          <w:p>
            <w:pPr>
              <w:pStyle w:val="Compact"/>
              <w:jc w:val="left"/>
            </w:pPr>
            <w:r>
              <w:t xml:space="preserve">Every app trusts corporate root only</w:t>
            </w:r>
          </w:p>
        </w:tc>
        <w:tc>
          <w:tcPr/>
          <w:p>
            <w:pPr>
              <w:pStyle w:val="Compact"/>
              <w:jc w:val="left"/>
            </w:pPr>
            <w:r>
              <w:t xml:space="preserve">Hides partner and OT subgraphs</w:t>
            </w:r>
          </w:p>
        </w:tc>
      </w:tr>
      <w:tr>
        <w:tc>
          <w:tcPr/>
          <w:p>
            <w:pPr>
              <w:pStyle w:val="Compact"/>
              <w:jc w:val="left"/>
            </w:pPr>
            <w:r>
              <w:rPr>
                <w:bCs/>
                <w:b/>
              </w:rPr>
              <w:t xml:space="preserve">Frozen graph</w:t>
            </w:r>
          </w:p>
        </w:tc>
        <w:tc>
          <w:tcPr/>
          <w:p>
            <w:pPr>
              <w:pStyle w:val="Compact"/>
              <w:jc w:val="left"/>
            </w:pPr>
            <w:r>
              <w:t xml:space="preserve">Built once in Phase 1</w:t>
            </w:r>
          </w:p>
        </w:tc>
        <w:tc>
          <w:tcPr/>
          <w:p>
            <w:pPr>
              <w:pStyle w:val="Compact"/>
              <w:jc w:val="left"/>
            </w:pPr>
            <w:r>
              <w:t xml:space="preserve">Misses new microservices</w:t>
            </w:r>
          </w:p>
        </w:tc>
      </w:tr>
      <w:tr>
        <w:tc>
          <w:tcPr/>
          <w:p>
            <w:pPr>
              <w:pStyle w:val="Compact"/>
              <w:jc w:val="left"/>
            </w:pPr>
            <w:r>
              <w:rPr>
                <w:bCs/>
                <w:b/>
              </w:rPr>
              <w:t xml:space="preserve">Over-graphing</w:t>
            </w:r>
          </w:p>
        </w:tc>
        <w:tc>
          <w:tcPr/>
          <w:p>
            <w:pPr>
              <w:pStyle w:val="Compact"/>
              <w:jc w:val="left"/>
            </w:pPr>
            <w:r>
              <w:t xml:space="preserve">Modelling every cert separately</w:t>
            </w:r>
          </w:p>
        </w:tc>
        <w:tc>
          <w:tcPr/>
          <w:p>
            <w:pPr>
              <w:pStyle w:val="Compact"/>
              <w:jc w:val="left"/>
            </w:pPr>
            <w:r>
              <w:t xml:space="preserve">Analysis paralysis</w:t>
            </w:r>
          </w:p>
        </w:tc>
      </w:tr>
      <w:tr>
        <w:tc>
          <w:tcPr/>
          <w:p>
            <w:pPr>
              <w:pStyle w:val="Compact"/>
              <w:jc w:val="left"/>
            </w:pPr>
            <w:r>
              <w:rPr>
                <w:bCs/>
                <w:b/>
              </w:rPr>
              <w:t xml:space="preserve">Under-graphing blocking</w:t>
            </w:r>
          </w:p>
        </w:tc>
        <w:tc>
          <w:tcPr/>
          <w:p>
            <w:pPr>
              <w:pStyle w:val="Compact"/>
              <w:jc w:val="left"/>
            </w:pPr>
            <w:r>
              <w:t xml:space="preserve">Roll-up includes roots</w:t>
            </w:r>
          </w:p>
        </w:tc>
        <w:tc>
          <w:tcPr/>
          <w:p>
            <w:pPr>
              <w:pStyle w:val="Compact"/>
              <w:jc w:val="left"/>
            </w:pPr>
            <w:r>
              <w:t xml:space="preserve">Misses Wave 0 nodes</w:t>
            </w:r>
          </w:p>
        </w:tc>
      </w:tr>
      <w:tr>
        <w:tc>
          <w:tcPr/>
          <w:p>
            <w:pPr>
              <w:pStyle w:val="Compact"/>
              <w:jc w:val="left"/>
            </w:pPr>
            <w:r>
              <w:rPr>
                <w:bCs/>
                <w:b/>
              </w:rPr>
              <w:t xml:space="preserve">Tool-first</w:t>
            </w:r>
          </w:p>
        </w:tc>
        <w:tc>
          <w:tcPr/>
          <w:p>
            <w:pPr>
              <w:pStyle w:val="Compact"/>
              <w:jc w:val="left"/>
            </w:pPr>
            <w:r>
              <w:t xml:space="preserve">Months configuring Neo4j, no workshops</w:t>
            </w:r>
          </w:p>
        </w:tc>
        <w:tc>
          <w:tcPr/>
          <w:p>
            <w:pPr>
              <w:pStyle w:val="Compact"/>
              <w:jc w:val="left"/>
            </w:pPr>
            <w:r>
              <w:t xml:space="preserve">No executive buy-in</w:t>
            </w:r>
          </w:p>
        </w:tc>
      </w:tr>
      <w:tr>
        <w:tc>
          <w:tcPr/>
          <w:p>
            <w:pPr>
              <w:pStyle w:val="Compact"/>
              <w:jc w:val="left"/>
            </w:pPr>
            <w:r>
              <w:rPr>
                <w:bCs/>
                <w:b/>
              </w:rPr>
              <w:t xml:space="preserve">CMDB mirroring</w:t>
            </w:r>
          </w:p>
        </w:tc>
        <w:tc>
          <w:tcPr/>
          <w:p>
            <w:pPr>
              <w:pStyle w:val="Compact"/>
              <w:jc w:val="left"/>
            </w:pPr>
            <w:r>
              <w:t xml:space="preserve">Nodes = servers, not crypto roles</w:t>
            </w:r>
          </w:p>
        </w:tc>
        <w:tc>
          <w:tcPr/>
          <w:p>
            <w:pPr>
              <w:pStyle w:val="Compact"/>
              <w:jc w:val="left"/>
            </w:pPr>
            <w:r>
              <w:t xml:space="preserve">Wrong abstraction</w:t>
            </w:r>
          </w:p>
        </w:tc>
      </w:tr>
    </w:tbl>
    <w:p>
      <w:r>
        <w:pict>
          <v:rect style="width:0;height:1.5pt" o:hralign="center" o:hrstd="t" o:hr="t"/>
        </w:pict>
      </w:r>
    </w:p>
    <w:bookmarkEnd w:id="55"/>
    <w:bookmarkStart w:id="56" w:name="apply-in-your-organisation"/>
    <w:p>
      <w:pPr>
        <w:pStyle w:val="Heading2"/>
      </w:pPr>
      <w:r>
        <w:t xml:space="preserve">8.23 Apply in Your Organisation</w:t>
      </w:r>
    </w:p>
    <w:p>
      <w:pPr>
        <w:numPr>
          <w:ilvl w:val="0"/>
          <w:numId w:val="1014"/>
        </w:numPr>
        <w:pStyle w:val="Compact"/>
      </w:pPr>
      <w:r>
        <w:t xml:space="preserve">☐ Define CDG node and edge type enums aligned to your CMDB/CBOM schema</w:t>
      </w:r>
    </w:p>
    <w:p>
      <w:pPr>
        <w:numPr>
          <w:ilvl w:val="0"/>
          <w:numId w:val="1014"/>
        </w:numPr>
        <w:pStyle w:val="Compact"/>
      </w:pPr>
      <w:r>
        <w:t xml:space="preserve">☐ Import CBOM Phase 1 as seed nodes; run automated edge inference</w:t>
      </w:r>
    </w:p>
    <w:p>
      <w:pPr>
        <w:numPr>
          <w:ilvl w:val="0"/>
          <w:numId w:val="1014"/>
        </w:numPr>
        <w:pStyle w:val="Compact"/>
      </w:pPr>
      <w:r>
        <w:t xml:space="preserve">☐ Identify nodes with in-degree &gt; threshold; candidate blocking set</w:t>
      </w:r>
    </w:p>
    <w:p>
      <w:pPr>
        <w:numPr>
          <w:ilvl w:val="0"/>
          <w:numId w:val="1014"/>
        </w:numPr>
        <w:pStyle w:val="Compact"/>
      </w:pPr>
      <w:r>
        <w:t xml:space="preserve">☐ Produce executive</w:t>
      </w:r>
      <w:r>
        <w:t xml:space="preserve"> </w:t>
      </w:r>
      <w:r>
        <w:t xml:space="preserve">“</w:t>
      </w:r>
      <w:r>
        <w:t xml:space="preserve">top 10 blocking nodes</w:t>
      </w:r>
      <w:r>
        <w:t xml:space="preserve">”</w:t>
      </w:r>
      <w:r>
        <w:t xml:space="preserve"> </w:t>
      </w:r>
      <w:r>
        <w:t xml:space="preserve">view with owners</w:t>
      </w:r>
    </w:p>
    <w:p>
      <w:pPr>
        <w:numPr>
          <w:ilvl w:val="0"/>
          <w:numId w:val="1014"/>
        </w:numPr>
        <w:pStyle w:val="Compact"/>
      </w:pPr>
      <w:r>
        <w:t xml:space="preserve">☐ Document GlobalSync-style partner policy nodes if applicable</w:t>
      </w:r>
    </w:p>
    <w:p>
      <w:pPr>
        <w:numPr>
          <w:ilvl w:val="0"/>
          <w:numId w:val="1014"/>
        </w:numPr>
        <w:pStyle w:val="Compact"/>
      </w:pPr>
      <w:r>
        <w:t xml:space="preserve">☐ Separate NSS/classified CDG components if applicable (Apex pattern)</w:t>
      </w:r>
    </w:p>
    <w:p>
      <w:pPr>
        <w:numPr>
          <w:ilvl w:val="0"/>
          <w:numId w:val="1014"/>
        </w:numPr>
        <w:pStyle w:val="Compact"/>
      </w:pPr>
      <w:r>
        <w:t xml:space="preserve">☐ Set CDG refresh cadence tied to CBOM maintenance (Chapter 7)</w:t>
      </w:r>
    </w:p>
    <w:p>
      <w:pPr>
        <w:numPr>
          <w:ilvl w:val="0"/>
          <w:numId w:val="1014"/>
        </w:numPr>
        <w:pStyle w:val="Compact"/>
      </w:pPr>
      <w:r>
        <w:t xml:space="preserve">☐ Feed blocking flags and lead times into wave planning (Chapter 9)</w:t>
      </w:r>
    </w:p>
    <w:p>
      <w:r>
        <w:pict>
          <v:rect style="width:0;height:1.5pt" o:hralign="center" o:hrstd="t" o:hr="t"/>
        </w:pict>
      </w:r>
    </w:p>
    <w:bookmarkEnd w:id="56"/>
    <w:bookmarkStart w:id="57" w:name="Xc49f057cf0d5148ec01ebce9882fac9fbba2e50"/>
    <w:p>
      <w:pPr>
        <w:pStyle w:val="Heading2"/>
      </w:pPr>
      <w:r>
        <w:t xml:space="preserve">8.24 GlobalSync Microservices: Dependency Inversion</w:t>
      </w:r>
    </w:p>
    <w:p>
      <w:pPr>
        <w:pStyle w:val="FirstParagraph"/>
      </w:pPr>
      <w:r>
        <w:t xml:space="preserve">Before CDG analysis, GlobalSync’s microservice teams believed migration order should follow</w:t>
      </w:r>
      <w:r>
        <w:t xml:space="preserve"> </w:t>
      </w:r>
      <w:r>
        <w:rPr>
          <w:bCs/>
          <w:b/>
        </w:rPr>
        <w:t xml:space="preserve">customer visibility</w:t>
      </w:r>
      <w:r>
        <w:t xml:space="preserve"> </w:t>
      </w:r>
      <w:r>
        <w:t xml:space="preserve">— public APIs first, internal services second. CDG inverted the sequence: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Assumed order</w:t>
            </w:r>
          </w:p>
        </w:tc>
        <w:tc>
          <w:tcPr/>
          <w:p>
            <w:pPr>
              <w:pStyle w:val="Compact"/>
              <w:jc w:val="left"/>
            </w:pPr>
            <w:r>
              <w:t xml:space="preserve">CDG-revealed order</w:t>
            </w:r>
          </w:p>
        </w:tc>
      </w:tr>
      <w:tr>
        <w:tc>
          <w:tcPr/>
          <w:p>
            <w:pPr>
              <w:pStyle w:val="Compact"/>
              <w:jc w:val="left"/>
            </w:pPr>
            <w:r>
              <w:t xml:space="preserve">1. Public API TLS</w:t>
            </w:r>
          </w:p>
        </w:tc>
        <w:tc>
          <w:tcPr/>
          <w:p>
            <w:pPr>
              <w:pStyle w:val="Compact"/>
              <w:jc w:val="left"/>
            </w:pPr>
            <w:r>
              <w:t xml:space="preserve">1. Partner mTLS policy (blocking)</w:t>
            </w:r>
          </w:p>
        </w:tc>
      </w:tr>
      <w:tr>
        <w:tc>
          <w:tcPr/>
          <w:p>
            <w:pPr>
              <w:pStyle w:val="Compact"/>
              <w:jc w:val="left"/>
            </w:pPr>
            <w:r>
              <w:t xml:space="preserve">2. Customer portal</w:t>
            </w:r>
          </w:p>
        </w:tc>
        <w:tc>
          <w:tcPr/>
          <w:p>
            <w:pPr>
              <w:pStyle w:val="Compact"/>
              <w:jc w:val="left"/>
            </w:pPr>
            <w:r>
              <w:t xml:space="preserve">2. Service mesh root CA</w:t>
            </w:r>
          </w:p>
        </w:tc>
      </w:tr>
      <w:tr>
        <w:tc>
          <w:tcPr/>
          <w:p>
            <w:pPr>
              <w:pStyle w:val="Compact"/>
              <w:jc w:val="left"/>
            </w:pPr>
            <w:r>
              <w:t xml:space="preserve">3. Internal batch jobs</w:t>
            </w:r>
          </w:p>
        </w:tc>
        <w:tc>
          <w:tcPr/>
          <w:p>
            <w:pPr>
              <w:pStyle w:val="Compact"/>
              <w:jc w:val="left"/>
            </w:pPr>
            <w:r>
              <w:t xml:space="preserve">3. Tenant KMS partition policy</w:t>
            </w:r>
          </w:p>
        </w:tc>
      </w:tr>
      <w:tr>
        <w:tc>
          <w:tcPr/>
          <w:p>
            <w:pPr>
              <w:pStyle w:val="Compact"/>
              <w:jc w:val="left"/>
            </w:pPr>
            <w:r>
              <w:t xml:space="preserve">4. Partner integrations</w:t>
            </w:r>
          </w:p>
        </w:tc>
        <w:tc>
          <w:tcPr/>
          <w:p>
            <w:pPr>
              <w:pStyle w:val="Compact"/>
              <w:jc w:val="left"/>
            </w:pPr>
            <w:r>
              <w:t xml:space="preserve">4. Public API TLS (after partner gate)</w:t>
            </w:r>
          </w:p>
        </w:tc>
      </w:tr>
    </w:tbl>
    <w:p>
      <w:pPr>
        <w:pStyle w:val="BodyText"/>
      </w:pPr>
      <w:r>
        <w:t xml:space="preserve">Marcus presented the inversion to engineering VPs with fan-in counts — 200 services trusting one policy node. Resistance faded when teams realised local hybrid TLS work would be</w:t>
      </w:r>
      <w:r>
        <w:t xml:space="preserve"> </w:t>
      </w:r>
      <w:r>
        <w:rPr>
          <w:bCs/>
          <w:b/>
        </w:rPr>
        <w:t xml:space="preserve">reverted</w:t>
      </w:r>
      <w:r>
        <w:t xml:space="preserve"> </w:t>
      </w:r>
      <w:r>
        <w:t xml:space="preserve">if partner policy rejected client cert profiles.</w:t>
      </w:r>
    </w:p>
    <w:p>
      <w:pPr>
        <w:pStyle w:val="BodyText"/>
      </w:pPr>
      <w:r>
        <w:rPr>
          <w:bCs/>
          <w:b/>
        </w:rPr>
        <w:t xml:space="preserve">Service mesh root</w:t>
      </w:r>
      <w:r>
        <w:t xml:space="preserve"> </w:t>
      </w:r>
      <w:r>
        <w:t xml:space="preserve">emerged as second blocking node — Istio control plane issued certs under internal CA consumed by 180 namespaces. Mesh migration became Wave 0 item 2 with shared timeline to partner policy.</w:t>
      </w:r>
    </w:p>
    <w:p>
      <w:r>
        <w:pict>
          <v:rect style="width:0;height:1.5pt" o:hralign="center" o:hrstd="t" o:hr="t"/>
        </w:pict>
      </w:r>
    </w:p>
    <w:bookmarkEnd w:id="57"/>
    <w:bookmarkStart w:id="58" w:name="Xf7ab2923a18a5bd2d3d24c3d5e2264f96ad4eeb"/>
    <w:p>
      <w:pPr>
        <w:pStyle w:val="Heading2"/>
      </w:pPr>
      <w:r>
        <w:t xml:space="preserve">8.25 Meridian Payment Chain: Ceremony to Terminal</w:t>
      </w:r>
    </w:p>
    <w:p>
      <w:pPr>
        <w:pStyle w:val="FirstParagraph"/>
      </w:pPr>
      <w:r>
        <w:t xml:space="preserve">Deep CDG expansion of Meridian’s payment HSM blocking chain:</w:t>
      </w:r>
    </w:p>
    <w:p>
      <w:pPr>
        <w:pStyle w:val="SourceCode"/>
      </w:pPr>
      <w:r>
        <w:rPr>
          <w:rStyle w:val="VerbatimChar"/>
        </w:rPr>
        <w:t xml:space="preserve">[Manufacturing Root CA]</w:t>
      </w:r>
      <w:r>
        <w:br/>
      </w:r>
      <w:r>
        <w:rPr>
          <w:rStyle w:val="VerbatimChar"/>
        </w:rPr>
        <w:t xml:space="preserve">        | signs</w:t>
      </w:r>
      <w:r>
        <w:br/>
      </w:r>
      <w:r>
        <w:rPr>
          <w:rStyle w:val="VerbatimChar"/>
        </w:rPr>
        <w:t xml:space="preserve">[Manufacturing Issuing CA]</w:t>
      </w:r>
      <w:r>
        <w:br/>
      </w:r>
      <w:r>
        <w:rPr>
          <w:rStyle w:val="VerbatimChar"/>
        </w:rPr>
        <w:t xml:space="preserve">        | signs</w:t>
      </w:r>
      <w:r>
        <w:br/>
      </w:r>
      <w:r>
        <w:rPr>
          <w:rStyle w:val="VerbatimChar"/>
        </w:rPr>
        <w:t xml:space="preserve">[Payment HSM FW Signing Key]  &lt;-- ceremony-controlled</w:t>
      </w:r>
      <w:r>
        <w:br/>
      </w:r>
      <w:r>
        <w:rPr>
          <w:rStyle w:val="VerbatimChar"/>
        </w:rPr>
        <w:t xml:space="preserve">        | signs</w:t>
      </w:r>
      <w:r>
        <w:br/>
      </w:r>
      <w:r>
        <w:rPr>
          <w:rStyle w:val="VerbatimChar"/>
        </w:rPr>
        <w:t xml:space="preserve">[POS Terminal Firmware v4.x]</w:t>
      </w:r>
      <w:r>
        <w:br/>
      </w:r>
      <w:r>
        <w:rPr>
          <w:rStyle w:val="VerbatimChar"/>
        </w:rPr>
        <w:t xml:space="preserve">        | verified by</w:t>
      </w:r>
      <w:r>
        <w:br/>
      </w:r>
      <w:r>
        <w:rPr>
          <w:rStyle w:val="VerbatimChar"/>
        </w:rPr>
        <w:t xml:space="preserve">[Retail Terminal Fleet ~12,400 devices]</w:t>
      </w:r>
      <w:r>
        <w:br/>
      </w:r>
      <w:r>
        <w:rPr>
          <w:rStyle w:val="VerbatimChar"/>
        </w:rPr>
        <w:t xml:space="preserve">        | trusts</w:t>
      </w:r>
      <w:r>
        <w:br/>
      </w:r>
      <w:r>
        <w:rPr>
          <w:rStyle w:val="VerbatimChar"/>
        </w:rPr>
        <w:t xml:space="preserve">[Manufacturing Root in terminal trust store]</w:t>
      </w:r>
    </w:p>
    <w:p>
      <w:pPr>
        <w:pStyle w:val="FirstParagraph"/>
      </w:pPr>
      <w:r>
        <w:rPr>
          <w:bCs/>
          <w:b/>
        </w:rPr>
        <w:t xml:space="preserve">Ceremony nodes</w:t>
      </w:r>
      <w:r>
        <w:t xml:space="preserve"> </w:t>
      </w:r>
      <w:r>
        <w:t xml:space="preserve">— HSM signing key — require manual edge validation annually. PKI automation cannot discover ceremony access controls; interview-based enrichment mandatory.</w:t>
      </w:r>
    </w:p>
    <w:p>
      <w:pPr>
        <w:pStyle w:val="BodyText"/>
      </w:pPr>
      <w:r>
        <w:rPr>
          <w:bCs/>
          <w:b/>
        </w:rPr>
        <w:t xml:space="preserve">Terminal fleet</w:t>
      </w:r>
      <w:r>
        <w:t xml:space="preserve"> </w:t>
      </w:r>
      <w:r>
        <w:t xml:space="preserve">node carried attribute</w:t>
      </w:r>
      <w:r>
        <w:t xml:space="preserve"> </w:t>
      </w:r>
      <w:r>
        <w:rPr>
          <w:rStyle w:val="VerbatimChar"/>
        </w:rPr>
        <w:t xml:space="preserve">logistics_refresh_months: 9</w:t>
      </w:r>
      <w:r>
        <w:t xml:space="preserve"> </w:t>
      </w:r>
      <w:r>
        <w:t xml:space="preserve">— physical device update capacity constrained Wave 0 exit. Elena escalated to COO for retail operations coordination — CDG made organisational dependency visible, not only technical.</w:t>
      </w:r>
    </w:p>
    <w:p>
      <w:pPr>
        <w:pStyle w:val="BodyText"/>
      </w:pPr>
      <w:r>
        <w:rPr>
          <w:bCs/>
          <w:b/>
        </w:rPr>
        <w:t xml:space="preserve">Webhook signing</w:t>
      </w:r>
      <w:r>
        <w:t xml:space="preserve"> </w:t>
      </w:r>
      <w:r>
        <w:t xml:space="preserve">branch from same HSM connected 890 partner webhook verifiers — dual blast radius: firmware and API integrity.</w:t>
      </w:r>
    </w:p>
    <w:p>
      <w:r>
        <w:pict>
          <v:rect style="width:0;height:1.5pt" o:hralign="center" o:hrstd="t" o:hr="t"/>
        </w:pict>
      </w:r>
    </w:p>
    <w:bookmarkEnd w:id="58"/>
    <w:bookmarkStart w:id="59" w:name="cdg-diff-and-programme-health-metrics"/>
    <w:p>
      <w:pPr>
        <w:pStyle w:val="Heading2"/>
      </w:pPr>
      <w:r>
        <w:t xml:space="preserve">8.26 CDG Diff and Programme Health Metrics</w:t>
      </w:r>
    </w:p>
    <w:tbl>
      <w:tblPr>
        <w:tblStyle w:val="Table"/>
        <w:tblW w:type="pct" w:w="5000"/>
        <w:tblLook w:firstRow="1" w:lastRow="0" w:firstColumn="0" w:lastColumn="0" w:noHBand="0" w:noVBand="0" w:val="0020"/>
        <w:jc w:val="start"/>
      </w:tblPr>
      <w:tblGrid>
        <w:gridCol w:w="1624"/>
        <w:gridCol w:w="3046"/>
        <w:gridCol w:w="3249"/>
      </w:tblGrid>
      <w:tr>
        <w:trPr>
          <w:tblHeader w:val="true"/>
        </w:trPr>
        <w:tc>
          <w:tcPr/>
          <w:p>
            <w:pPr>
              <w:pStyle w:val="Compact"/>
              <w:jc w:val="left"/>
            </w:pPr>
            <w:r>
              <w:t xml:space="preserve">Metric</w:t>
            </w:r>
          </w:p>
        </w:tc>
        <w:tc>
          <w:tcPr/>
          <w:p>
            <w:pPr>
              <w:pStyle w:val="Compact"/>
              <w:jc w:val="left"/>
            </w:pPr>
            <w:r>
              <w:t xml:space="preserve">Healthy trend</w:t>
            </w:r>
          </w:p>
        </w:tc>
        <w:tc>
          <w:tcPr/>
          <w:p>
            <w:pPr>
              <w:pStyle w:val="Compact"/>
              <w:jc w:val="left"/>
            </w:pPr>
            <w:r>
              <w:t xml:space="preserve">Warning signal</w:t>
            </w:r>
          </w:p>
        </w:tc>
      </w:tr>
      <w:tr>
        <w:tc>
          <w:tcPr/>
          <w:p>
            <w:pPr>
              <w:pStyle w:val="Compact"/>
              <w:jc w:val="left"/>
            </w:pPr>
            <w:r>
              <w:t xml:space="preserve">Edge count growth</w:t>
            </w:r>
          </w:p>
        </w:tc>
        <w:tc>
          <w:tcPr/>
          <w:p>
            <w:pPr>
              <w:pStyle w:val="Compact"/>
              <w:jc w:val="left"/>
            </w:pPr>
            <w:r>
              <w:t xml:space="preserve">Stable after initial enrichment</w:t>
            </w:r>
          </w:p>
        </w:tc>
        <w:tc>
          <w:tcPr/>
          <w:p>
            <w:pPr>
              <w:pStyle w:val="Compact"/>
              <w:jc w:val="left"/>
            </w:pPr>
            <w:r>
              <w:t xml:space="preserve">Explosive growth without new systems</w:t>
            </w:r>
          </w:p>
        </w:tc>
      </w:tr>
      <w:tr>
        <w:tc>
          <w:tcPr/>
          <w:p>
            <w:pPr>
              <w:pStyle w:val="Compact"/>
              <w:jc w:val="left"/>
            </w:pPr>
            <w:r>
              <w:t xml:space="preserve">Undocumented edges %</w:t>
            </w:r>
          </w:p>
        </w:tc>
        <w:tc>
          <w:tcPr/>
          <w:p>
            <w:pPr>
              <w:pStyle w:val="Compact"/>
              <w:jc w:val="left"/>
            </w:pPr>
            <w:r>
              <w:t xml:space="preserve">Decreasing toward &lt;5%</w:t>
            </w:r>
          </w:p>
        </w:tc>
        <w:tc>
          <w:tcPr/>
          <w:p>
            <w:pPr>
              <w:pStyle w:val="Compact"/>
              <w:jc w:val="left"/>
            </w:pPr>
            <w:r>
              <w:t xml:space="preserve">Flat above 20%</w:t>
            </w:r>
          </w:p>
        </w:tc>
      </w:tr>
      <w:tr>
        <w:tc>
          <w:tcPr/>
          <w:p>
            <w:pPr>
              <w:pStyle w:val="Compact"/>
              <w:jc w:val="left"/>
            </w:pPr>
            <w:r>
              <w:t xml:space="preserve">Blocking node count</w:t>
            </w:r>
          </w:p>
        </w:tc>
        <w:tc>
          <w:tcPr/>
          <w:p>
            <w:pPr>
              <w:pStyle w:val="Compact"/>
              <w:jc w:val="left"/>
            </w:pPr>
            <w:r>
              <w:t xml:space="preserve">Stable or decreasing</w:t>
            </w:r>
          </w:p>
        </w:tc>
        <w:tc>
          <w:tcPr/>
          <w:p>
            <w:pPr>
              <w:pStyle w:val="Compact"/>
              <w:jc w:val="left"/>
            </w:pPr>
            <w:r>
              <w:t xml:space="preserve">Increasing — new hubs discovered late</w:t>
            </w:r>
          </w:p>
        </w:tc>
      </w:tr>
      <w:tr>
        <w:tc>
          <w:tcPr/>
          <w:p>
            <w:pPr>
              <w:pStyle w:val="Compact"/>
              <w:jc w:val="left"/>
            </w:pPr>
            <w:r>
              <w:t xml:space="preserve">Orphan nodes</w:t>
            </w:r>
          </w:p>
        </w:tc>
        <w:tc>
          <w:tcPr/>
          <w:p>
            <w:pPr>
              <w:pStyle w:val="Compact"/>
              <w:jc w:val="left"/>
            </w:pPr>
            <w:r>
              <w:t xml:space="preserve">Decreasing</w:t>
            </w:r>
          </w:p>
        </w:tc>
        <w:tc>
          <w:tcPr/>
          <w:p>
            <w:pPr>
              <w:pStyle w:val="Compact"/>
              <w:jc w:val="left"/>
            </w:pPr>
            <w:r>
              <w:t xml:space="preserve">Flat — discovery gap</w:t>
            </w:r>
          </w:p>
        </w:tc>
      </w:tr>
      <w:tr>
        <w:tc>
          <w:tcPr/>
          <w:p>
            <w:pPr>
              <w:pStyle w:val="Compact"/>
              <w:jc w:val="left"/>
            </w:pPr>
            <w:r>
              <w:t xml:space="preserve">Evidence attachment %</w:t>
            </w:r>
          </w:p>
        </w:tc>
        <w:tc>
          <w:tcPr/>
          <w:p>
            <w:pPr>
              <w:pStyle w:val="Compact"/>
              <w:jc w:val="left"/>
            </w:pPr>
            <w:r>
              <w:t xml:space="preserve">Increasing</w:t>
            </w:r>
          </w:p>
        </w:tc>
        <w:tc>
          <w:tcPr/>
          <w:p>
            <w:pPr>
              <w:pStyle w:val="Compact"/>
              <w:jc w:val="left"/>
            </w:pPr>
            <w:r>
              <w:t xml:space="preserve">Flat — audit risk</w:t>
            </w:r>
          </w:p>
        </w:tc>
      </w:tr>
    </w:tbl>
    <w:p>
      <w:pPr>
        <w:pStyle w:val="BodyText"/>
      </w:pPr>
      <w:r>
        <w:t xml:space="preserve">Meridian published CDG health quarterly alongside CBOM quality dashboard.</w:t>
      </w:r>
      <w:r>
        <w:t xml:space="preserve"> </w:t>
      </w:r>
      <w:r>
        <w:rPr>
          <w:bCs/>
          <w:b/>
        </w:rPr>
        <w:t xml:space="preserve">Edge growth spike</w:t>
      </w:r>
      <w:r>
        <w:t xml:space="preserve"> </w:t>
      </w:r>
      <w:r>
        <w:t xml:space="preserve">in Q2 2027 revealed shadow IT API gateway — 40 new microservices trusting ad hoc self-signed CA — caught before Wave 2 PKI migration.</w:t>
      </w:r>
    </w:p>
    <w:p>
      <w:r>
        <w:pict>
          <v:rect style="width:0;height:1.5pt" o:hralign="center" o:hrstd="t" o:hr="t"/>
        </w:pict>
      </w:r>
    </w:p>
    <w:bookmarkEnd w:id="59"/>
    <w:bookmarkStart w:id="60" w:name="executive-cdg-dashboard"/>
    <w:p>
      <w:pPr>
        <w:pStyle w:val="Heading2"/>
      </w:pPr>
      <w:r>
        <w:t xml:space="preserve">8.27 Executive CDG Dashboard</w:t>
      </w:r>
    </w:p>
    <w:p>
      <w:pPr>
        <w:pStyle w:val="FirstParagraph"/>
      </w:pPr>
      <w:r>
        <w:t xml:space="preserve">Board and steering views require</w:t>
      </w:r>
      <w:r>
        <w:t xml:space="preserve"> </w:t>
      </w:r>
      <w:r>
        <w:rPr>
          <w:bCs/>
          <w:b/>
        </w:rPr>
        <w:t xml:space="preserve">top-N blocking nodes</w:t>
      </w:r>
      <w:r>
        <w:t xml:space="preserve"> </w:t>
      </w:r>
      <w:r>
        <w:t xml:space="preserve">only: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Node</w:t>
            </w:r>
          </w:p>
        </w:tc>
        <w:tc>
          <w:tcPr/>
          <w:p>
            <w:pPr>
              <w:pStyle w:val="Compact"/>
              <w:jc w:val="left"/>
            </w:pPr>
            <w:r>
              <w:t xml:space="preserve">Fan-in</w:t>
            </w:r>
          </w:p>
        </w:tc>
        <w:tc>
          <w:tcPr/>
          <w:p>
            <w:pPr>
              <w:pStyle w:val="Compact"/>
              <w:jc w:val="left"/>
            </w:pPr>
            <w:r>
              <w:t xml:space="preserve">Owner</w:t>
            </w:r>
          </w:p>
        </w:tc>
        <w:tc>
          <w:tcPr/>
          <w:p>
            <w:pPr>
              <w:pStyle w:val="Compact"/>
              <w:jc w:val="left"/>
            </w:pPr>
            <w:r>
              <w:t xml:space="preserve">Wave</w:t>
            </w:r>
          </w:p>
        </w:tc>
        <w:tc>
          <w:tcPr/>
          <w:p>
            <w:pPr>
              <w:pStyle w:val="Compact"/>
              <w:jc w:val="left"/>
            </w:pPr>
            <w:r>
              <w:t xml:space="preserve">Lead time</w:t>
            </w:r>
          </w:p>
        </w:tc>
      </w:tr>
      <w:tr>
        <w:tc>
          <w:tcPr/>
          <w:p>
            <w:pPr>
              <w:pStyle w:val="Compact"/>
              <w:jc w:val="left"/>
            </w:pPr>
            <w:r>
              <w:t xml:space="preserve">1</w:t>
            </w:r>
          </w:p>
        </w:tc>
        <w:tc>
          <w:tcPr/>
          <w:p>
            <w:pPr>
              <w:pStyle w:val="Compact"/>
              <w:jc w:val="left"/>
            </w:pPr>
            <w:r>
              <w:t xml:space="preserve">partner-mtls-policy-v3</w:t>
            </w:r>
          </w:p>
        </w:tc>
        <w:tc>
          <w:tcPr/>
          <w:p>
            <w:pPr>
              <w:pStyle w:val="Compact"/>
              <w:jc w:val="left"/>
            </w:pPr>
            <w:r>
              <w:t xml:space="preserve">203</w:t>
            </w:r>
          </w:p>
        </w:tc>
        <w:tc>
          <w:tcPr/>
          <w:p>
            <w:pPr>
              <w:pStyle w:val="Compact"/>
              <w:jc w:val="left"/>
            </w:pPr>
            <w:r>
              <w:t xml:space="preserve">Platform security</w:t>
            </w:r>
          </w:p>
        </w:tc>
        <w:tc>
          <w:tcPr/>
          <w:p>
            <w:pPr>
              <w:pStyle w:val="Compact"/>
              <w:jc w:val="left"/>
            </w:pPr>
            <w:r>
              <w:t xml:space="preserve">W0</w:t>
            </w:r>
          </w:p>
        </w:tc>
        <w:tc>
          <w:tcPr/>
          <w:p>
            <w:pPr>
              <w:pStyle w:val="Compact"/>
              <w:jc w:val="left"/>
            </w:pPr>
            <w:r>
              <w:t xml:space="preserve">14 mo</w:t>
            </w:r>
          </w:p>
        </w:tc>
      </w:tr>
      <w:tr>
        <w:tc>
          <w:tcPr/>
          <w:p>
            <w:pPr>
              <w:pStyle w:val="Compact"/>
              <w:jc w:val="left"/>
            </w:pPr>
            <w:r>
              <w:t xml:space="preserve">2</w:t>
            </w:r>
          </w:p>
        </w:tc>
        <w:tc>
          <w:tcPr/>
          <w:p>
            <w:pPr>
              <w:pStyle w:val="Compact"/>
              <w:jc w:val="left"/>
            </w:pPr>
            <w:r>
              <w:t xml:space="preserve">payment-hsm-fw-signer</w:t>
            </w:r>
          </w:p>
        </w:tc>
        <w:tc>
          <w:tcPr/>
          <w:p>
            <w:pPr>
              <w:pStyle w:val="Compact"/>
              <w:jc w:val="left"/>
            </w:pPr>
            <w:r>
              <w:t xml:space="preserve">2,400 verify</w:t>
            </w:r>
          </w:p>
        </w:tc>
        <w:tc>
          <w:tcPr/>
          <w:p>
            <w:pPr>
              <w:pStyle w:val="Compact"/>
              <w:jc w:val="left"/>
            </w:pPr>
            <w:r>
              <w:t xml:space="preserve">Crypto ops</w:t>
            </w:r>
          </w:p>
        </w:tc>
        <w:tc>
          <w:tcPr/>
          <w:p>
            <w:pPr>
              <w:pStyle w:val="Compact"/>
              <w:jc w:val="left"/>
            </w:pPr>
            <w:r>
              <w:t xml:space="preserve">W0</w:t>
            </w:r>
          </w:p>
        </w:tc>
        <w:tc>
          <w:tcPr/>
          <w:p>
            <w:pPr>
              <w:pStyle w:val="Compact"/>
              <w:jc w:val="left"/>
            </w:pPr>
            <w:r>
              <w:t xml:space="preserve">18 mo</w:t>
            </w:r>
          </w:p>
        </w:tc>
      </w:tr>
      <w:tr>
        <w:tc>
          <w:tcPr/>
          <w:p>
            <w:pPr>
              <w:pStyle w:val="Compact"/>
              <w:jc w:val="left"/>
            </w:pPr>
            <w:r>
              <w:t xml:space="preserve">3</w:t>
            </w:r>
          </w:p>
        </w:tc>
        <w:tc>
          <w:tcPr/>
          <w:p>
            <w:pPr>
              <w:pStyle w:val="Compact"/>
              <w:jc w:val="left"/>
            </w:pPr>
            <w:r>
              <w:t xml:space="preserve">manufacturing-root-ca</w:t>
            </w:r>
          </w:p>
        </w:tc>
        <w:tc>
          <w:tcPr/>
          <w:p>
            <w:pPr>
              <w:pStyle w:val="Compact"/>
              <w:jc w:val="left"/>
            </w:pPr>
            <w:r>
              <w:t xml:space="preserve">340</w:t>
            </w:r>
          </w:p>
        </w:tc>
        <w:tc>
          <w:tcPr/>
          <w:p>
            <w:pPr>
              <w:pStyle w:val="Compact"/>
              <w:jc w:val="left"/>
            </w:pPr>
            <w:r>
              <w:t xml:space="preserve">PKI</w:t>
            </w:r>
          </w:p>
        </w:tc>
        <w:tc>
          <w:tcPr/>
          <w:p>
            <w:pPr>
              <w:pStyle w:val="Compact"/>
              <w:jc w:val="left"/>
            </w:pPr>
            <w:r>
              <w:t xml:space="preserve">W0</w:t>
            </w:r>
          </w:p>
        </w:tc>
        <w:tc>
          <w:tcPr/>
          <w:p>
            <w:pPr>
              <w:pStyle w:val="Compact"/>
              <w:jc w:val="left"/>
            </w:pPr>
            <w:r>
              <w:t xml:space="preserve">12 mo</w:t>
            </w:r>
          </w:p>
        </w:tc>
      </w:tr>
    </w:tbl>
    <w:p>
      <w:pPr>
        <w:pStyle w:val="BodyText"/>
      </w:pPr>
      <w:r>
        <w:t xml:space="preserve">Drill-down available for architects; executives see trend in fan-in reduction quarter-over-quarter.</w:t>
      </w:r>
    </w:p>
    <w:p>
      <w:r>
        <w:pict>
          <v:rect style="width:0;height:1.5pt" o:hralign="center" o:hrstd="t" o:hr="t"/>
        </w:pict>
      </w:r>
    </w:p>
    <w:bookmarkEnd w:id="60"/>
    <w:bookmarkStart w:id="61" w:name="time-boxing-cdg-construction"/>
    <w:p>
      <w:pPr>
        <w:pStyle w:val="Heading2"/>
      </w:pPr>
      <w:r>
        <w:t xml:space="preserve">8.28 Time-Boxing CDG Construction</w:t>
      </w:r>
    </w:p>
    <w:p>
      <w:pPr>
        <w:pStyle w:val="FirstParagraph"/>
      </w:pPr>
      <w:r>
        <w:t xml:space="preserve">Chapter 8 failure mode</w:t>
      </w:r>
      <w:r>
        <w:t xml:space="preserve"> </w:t>
      </w:r>
      <w:r>
        <w:t xml:space="preserve">“</w:t>
      </w:r>
      <w:r>
        <w:t xml:space="preserve">tool obsession</w:t>
      </w:r>
      <w:r>
        <w:t xml:space="preserve">”</w:t>
      </w:r>
      <w:r>
        <w:t xml:space="preserve"> </w:t>
      </w:r>
      <w:r>
        <w:t xml:space="preserve">warrants explicit time boxes:</w:t>
      </w:r>
    </w:p>
    <w:tbl>
      <w:tblPr>
        <w:tblStyle w:val="Table"/>
        <w:tblW w:type="pct" w:w="5000"/>
        <w:tblLook w:firstRow="1" w:lastRow="0" w:firstColumn="0" w:lastColumn="0" w:noHBand="0" w:noVBand="0" w:val="0020"/>
        <w:jc w:val="start"/>
      </w:tblPr>
      <w:tblGrid>
        <w:gridCol w:w="1680"/>
        <w:gridCol w:w="2400"/>
        <w:gridCol w:w="3840"/>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Exit criterion</w:t>
            </w:r>
          </w:p>
        </w:tc>
      </w:tr>
      <w:tr>
        <w:tc>
          <w:tcPr/>
          <w:p>
            <w:pPr>
              <w:pStyle w:val="Compact"/>
              <w:jc w:val="left"/>
            </w:pPr>
            <w:r>
              <w:t xml:space="preserve">A — CBOM seed</w:t>
            </w:r>
          </w:p>
        </w:tc>
        <w:tc>
          <w:tcPr/>
          <w:p>
            <w:pPr>
              <w:pStyle w:val="Compact"/>
              <w:jc w:val="left"/>
            </w:pPr>
            <w:r>
              <w:t xml:space="preserve">4 weeks</w:t>
            </w:r>
          </w:p>
        </w:tc>
        <w:tc>
          <w:tcPr/>
          <w:p>
            <w:pPr>
              <w:pStyle w:val="Compact"/>
              <w:jc w:val="left"/>
            </w:pPr>
            <w:r>
              <w:t xml:space="preserve">Nodes for all verified CBOM rows</w:t>
            </w:r>
          </w:p>
        </w:tc>
      </w:tr>
      <w:tr>
        <w:tc>
          <w:tcPr/>
          <w:p>
            <w:pPr>
              <w:pStyle w:val="Compact"/>
              <w:jc w:val="left"/>
            </w:pPr>
            <w:r>
              <w:t xml:space="preserve">B — Interview enrich</w:t>
            </w:r>
          </w:p>
        </w:tc>
        <w:tc>
          <w:tcPr/>
          <w:p>
            <w:pPr>
              <w:pStyle w:val="Compact"/>
              <w:jc w:val="left"/>
            </w:pPr>
            <w:r>
              <w:t xml:space="preserve">6 weeks</w:t>
            </w:r>
          </w:p>
        </w:tc>
        <w:tc>
          <w:tcPr/>
          <w:p>
            <w:pPr>
              <w:pStyle w:val="Compact"/>
              <w:jc w:val="left"/>
            </w:pPr>
            <w:r>
              <w:t xml:space="preserve">Top 20 blocking candidates validated</w:t>
            </w:r>
          </w:p>
        </w:tc>
      </w:tr>
      <w:tr>
        <w:tc>
          <w:tcPr/>
          <w:p>
            <w:pPr>
              <w:pStyle w:val="Compact"/>
              <w:jc w:val="left"/>
            </w:pPr>
            <w:r>
              <w:t xml:space="preserve">C — Validate</w:t>
            </w:r>
          </w:p>
        </w:tc>
        <w:tc>
          <w:tcPr/>
          <w:p>
            <w:pPr>
              <w:pStyle w:val="Compact"/>
              <w:jc w:val="left"/>
            </w:pPr>
            <w:r>
              <w:t xml:space="preserve">2 weeks</w:t>
            </w:r>
          </w:p>
        </w:tc>
        <w:tc>
          <w:tcPr/>
          <w:p>
            <w:pPr>
              <w:pStyle w:val="Compact"/>
              <w:jc w:val="left"/>
            </w:pPr>
            <w:r>
              <w:t xml:space="preserve">Blast-radius worksheets complete</w:t>
            </w:r>
          </w:p>
        </w:tc>
      </w:tr>
      <w:tr>
        <w:tc>
          <w:tcPr/>
          <w:p>
            <w:pPr>
              <w:pStyle w:val="Compact"/>
              <w:jc w:val="left"/>
            </w:pPr>
            <w:r>
              <w:t xml:space="preserve">D — Publish</w:t>
            </w:r>
          </w:p>
        </w:tc>
        <w:tc>
          <w:tcPr/>
          <w:p>
            <w:pPr>
              <w:pStyle w:val="Compact"/>
              <w:jc w:val="left"/>
            </w:pPr>
            <w:r>
              <w:t xml:space="preserve">2 weeks</w:t>
            </w:r>
          </w:p>
        </w:tc>
        <w:tc>
          <w:tcPr/>
          <w:p>
            <w:pPr>
              <w:pStyle w:val="Compact"/>
              <w:jc w:val="left"/>
            </w:pPr>
            <w:r>
              <w:t xml:space="preserve">Executive dashboard live</w:t>
            </w:r>
          </w:p>
        </w:tc>
      </w:tr>
    </w:tbl>
    <w:p>
      <w:pPr>
        <w:pStyle w:val="BodyText"/>
      </w:pPr>
      <w:r>
        <w:rPr>
          <w:bCs/>
          <w:b/>
        </w:rPr>
        <w:t xml:space="preserve">Total:</w:t>
      </w:r>
      <w:r>
        <w:t xml:space="preserve"> </w:t>
      </w:r>
      <w:r>
        <w:t xml:space="preserve">14 weeks per major domain (payments, corporate IT, OT). Meridian ran three parallel domain streams — 14 weeks calendar, not sequential 42 weeks.</w:t>
      </w:r>
    </w:p>
    <w:p>
      <w:r>
        <w:pict>
          <v:rect style="width:0;height:1.5pt" o:hralign="center" o:hrstd="t" o:hr="t"/>
        </w:pict>
      </w:r>
    </w:p>
    <w:bookmarkEnd w:id="61"/>
    <w:bookmarkStart w:id="62" w:name="cdg-and-procurement"/>
    <w:p>
      <w:pPr>
        <w:pStyle w:val="Heading2"/>
      </w:pPr>
      <w:r>
        <w:t xml:space="preserve">8.29 CDG and Procurement</w:t>
      </w:r>
    </w:p>
    <w:p>
      <w:pPr>
        <w:pStyle w:val="FirstParagraph"/>
      </w:pPr>
      <w:r>
        <w:t xml:space="preserve">Vendor roadmaps attach to</w:t>
      </w:r>
      <w:r>
        <w:t xml:space="preserve"> </w:t>
      </w:r>
      <w:r>
        <w:rPr>
          <w:bCs/>
          <w:b/>
        </w:rPr>
        <w:t xml:space="preserve">blocking nodes</w:t>
      </w:r>
      <w:r>
        <w:t xml:space="preserve">, not individual servers. Procurement clauses:</w:t>
      </w:r>
    </w:p>
    <w:p>
      <w:pPr>
        <w:pStyle w:val="BlockText"/>
      </w:pPr>
      <w:r>
        <w:t xml:space="preserve">HSM vendor shall deliver PQC-capable firmware signing module supporting ML-DSA-65 dual-signature by [date]. Failure impacts CDG node [id] blocking 2,400 downstream verifiers.</w:t>
      </w:r>
    </w:p>
    <w:p>
      <w:pPr>
        <w:pStyle w:val="FirstParagraph"/>
      </w:pPr>
      <w:r>
        <w:t xml:space="preserve">Apex linked</w:t>
      </w:r>
      <w:r>
        <w:t xml:space="preserve"> </w:t>
      </w:r>
      <w:r>
        <w:rPr>
          <w:bCs/>
          <w:b/>
        </w:rPr>
        <w:t xml:space="preserve">$4.2M renewal</w:t>
      </w:r>
      <w:r>
        <w:t xml:space="preserve"> </w:t>
      </w:r>
      <w:r>
        <w:t xml:space="preserve">to vendor delivery milestone on NSS firmware signing node — contract language referenced CDG node ID from programme repository.</w:t>
      </w:r>
    </w:p>
    <w:p>
      <w:r>
        <w:pict>
          <v:rect style="width:0;height:1.5pt" o:hralign="center" o:hrstd="t" o:hr="t"/>
        </w:pict>
      </w:r>
    </w:p>
    <w:bookmarkEnd w:id="62"/>
    <w:bookmarkStart w:id="63" w:name="trust-store-and-jvm-classpath-discovery"/>
    <w:p>
      <w:pPr>
        <w:pStyle w:val="Heading2"/>
      </w:pPr>
      <w:r>
        <w:t xml:space="preserve">8.30 Trust Store and JVM Classpath Discovery</w:t>
      </w:r>
    </w:p>
    <w:p>
      <w:pPr>
        <w:pStyle w:val="FirstParagraph"/>
      </w:pPr>
      <w:r>
        <w:t xml:space="preserve">Many enterprises discover TLS certs but miss</w:t>
      </w:r>
      <w:r>
        <w:t xml:space="preserve"> </w:t>
      </w:r>
      <w:r>
        <w:rPr>
          <w:bCs/>
          <w:b/>
        </w:rPr>
        <w:t xml:space="preserve">trust stores</w:t>
      </w:r>
      <w:r>
        <w:t xml:space="preserve"> </w:t>
      </w:r>
      <w:r>
        <w:t xml:space="preserve">— JVM</w:t>
      </w:r>
      <w:r>
        <w:t xml:space="preserve"> </w:t>
      </w:r>
      <w:r>
        <w:rPr>
          <w:rStyle w:val="VerbatimChar"/>
        </w:rPr>
        <w:t xml:space="preserve">cacerts</w:t>
      </w:r>
      <w:r>
        <w:t xml:space="preserve">, Linux</w:t>
      </w:r>
      <w:r>
        <w:t xml:space="preserve"> </w:t>
      </w:r>
      <w:r>
        <w:rPr>
          <w:rStyle w:val="VerbatimChar"/>
        </w:rPr>
        <w:t xml:space="preserve">/etc/ssl/certs</w:t>
      </w:r>
      <w:r>
        <w:t xml:space="preserve">, Windows root stores, mobile pinning bundles. CDG requires explicit</w:t>
      </w:r>
      <w:r>
        <w:t xml:space="preserve"> </w:t>
      </w:r>
      <w:r>
        <w:rPr>
          <w:bCs/>
          <w:b/>
        </w:rPr>
        <w:t xml:space="preserve">trusts</w:t>
      </w:r>
      <w:r>
        <w:t xml:space="preserve"> </w:t>
      </w:r>
      <w:r>
        <w:t xml:space="preserve">edges from applications to trust store nodes.</w:t>
      </w:r>
    </w:p>
    <w:p>
      <w:pPr>
        <w:pStyle w:val="BodyText"/>
      </w:pPr>
      <w:r>
        <w:t xml:space="preserve">Meridian discovered 23 custom trust stores in payment microservices — each trusting different partner root subsets. Roll-up to single</w:t>
      </w:r>
      <w:r>
        <w:t xml:space="preserve"> </w:t>
      </w:r>
      <w:r>
        <w:t xml:space="preserve">“</w:t>
      </w:r>
      <w:r>
        <w:t xml:space="preserve">corporate trust</w:t>
      </w:r>
      <w:r>
        <w:t xml:space="preserve">”</w:t>
      </w:r>
      <w:r>
        <w:t xml:space="preserve"> </w:t>
      </w:r>
      <w:r>
        <w:t xml:space="preserve">would have hidden partner-specific blocking.</w:t>
      </w:r>
    </w:p>
    <w:p>
      <w:pPr>
        <w:pStyle w:val="BodyText"/>
      </w:pPr>
      <w:r>
        <w:rPr>
          <w:bCs/>
          <w:b/>
        </w:rPr>
        <w:t xml:space="preserve">Discovery approach:</w:t>
      </w:r>
    </w:p>
    <w:p>
      <w:pPr>
        <w:numPr>
          <w:ilvl w:val="0"/>
          <w:numId w:val="1015"/>
        </w:numPr>
        <w:pStyle w:val="Compact"/>
      </w:pPr>
      <w:r>
        <w:t xml:space="preserve">Configuration management export of trust store paths</w:t>
      </w:r>
    </w:p>
    <w:p>
      <w:pPr>
        <w:numPr>
          <w:ilvl w:val="0"/>
          <w:numId w:val="1015"/>
        </w:numPr>
        <w:pStyle w:val="Compact"/>
      </w:pPr>
      <w:r>
        <w:t xml:space="preserve">Container image layer inspection for bundled</w:t>
      </w:r>
      <w:r>
        <w:t xml:space="preserve"> </w:t>
      </w:r>
      <w:r>
        <w:rPr>
          <w:rStyle w:val="VerbatimChar"/>
        </w:rPr>
        <w:t xml:space="preserve">.pem</w:t>
      </w:r>
      <w:r>
        <w:t xml:space="preserve"> </w:t>
      </w:r>
      <w:r>
        <w:t xml:space="preserve">files</w:t>
      </w:r>
    </w:p>
    <w:p>
      <w:pPr>
        <w:numPr>
          <w:ilvl w:val="0"/>
          <w:numId w:val="1015"/>
        </w:numPr>
        <w:pStyle w:val="Compact"/>
      </w:pPr>
      <w:r>
        <w:t xml:space="preserve">Runtime attachment tracing (staging only) for JVM trust loaders</w:t>
      </w:r>
    </w:p>
    <w:p>
      <w:r>
        <w:pict>
          <v:rect style="width:0;height:1.5pt" o:hralign="center" o:hrstd="t" o:hr="t"/>
        </w:pict>
      </w:r>
    </w:p>
    <w:bookmarkEnd w:id="63"/>
    <w:bookmarkStart w:id="64" w:name="mutual-tls-bidirectional-modelling"/>
    <w:p>
      <w:pPr>
        <w:pStyle w:val="Heading2"/>
      </w:pPr>
      <w:r>
        <w:t xml:space="preserve">8.31 Mutual TLS Bidirectional Modelling</w:t>
      </w:r>
    </w:p>
    <w:p>
      <w:pPr>
        <w:pStyle w:val="FirstParagraph"/>
      </w:pPr>
      <w:r>
        <w:t xml:space="preserve">Mutual TLS creates</w:t>
      </w:r>
      <w:r>
        <w:t xml:space="preserve"> </w:t>
      </w:r>
      <w:r>
        <w:rPr>
          <w:bCs/>
          <w:b/>
        </w:rPr>
        <w:t xml:space="preserve">bidirectional</w:t>
      </w:r>
      <w:r>
        <w:t xml:space="preserve"> </w:t>
      </w:r>
      <w:r>
        <w:t xml:space="preserve">cryptographic dependencies — client cert and server cert may chain to different roots. Model as two</w:t>
      </w:r>
      <w:r>
        <w:t xml:space="preserve"> </w:t>
      </w:r>
      <w:r>
        <w:rPr>
          <w:rStyle w:val="VerbatimChar"/>
        </w:rPr>
        <w:t xml:space="preserve">terminates</w:t>
      </w:r>
      <w:r>
        <w:t xml:space="preserve"> </w:t>
      </w:r>
      <w:r>
        <w:t xml:space="preserve">nodes plus two</w:t>
      </w:r>
      <w:r>
        <w:t xml:space="preserve"> </w:t>
      </w:r>
      <w:r>
        <w:rPr>
          <w:rStyle w:val="VerbatimChar"/>
        </w:rPr>
        <w:t xml:space="preserve">trusts</w:t>
      </w:r>
      <w:r>
        <w:t xml:space="preserve"> </w:t>
      </w:r>
      <w:r>
        <w:t xml:space="preserve">edges, not one</w:t>
      </w:r>
      <w:r>
        <w:t xml:space="preserve"> </w:t>
      </w:r>
      <w:r>
        <w:t xml:space="preserve">“</w:t>
      </w:r>
      <w:r>
        <w:t xml:space="preserve">mTLS</w:t>
      </w:r>
      <w:r>
        <w:t xml:space="preserve">”</w:t>
      </w:r>
      <w:r>
        <w:t xml:space="preserve"> </w:t>
      </w:r>
      <w:r>
        <w:t xml:space="preserve">blob.</w:t>
      </w:r>
    </w:p>
    <w:p>
      <w:pPr>
        <w:pStyle w:val="BodyText"/>
      </w:pPr>
      <w:r>
        <w:t xml:space="preserve">GlobalSync partner API:</w:t>
      </w:r>
    </w:p>
    <w:p>
      <w:pPr>
        <w:numPr>
          <w:ilvl w:val="0"/>
          <w:numId w:val="1016"/>
        </w:numPr>
        <w:pStyle w:val="Compact"/>
      </w:pPr>
      <w:r>
        <w:t xml:space="preserve">Server presents</w:t>
      </w:r>
      <w:r>
        <w:t xml:space="preserve"> </w:t>
      </w:r>
      <w:r>
        <w:rPr>
          <w:rStyle w:val="VerbatimChar"/>
        </w:rPr>
        <w:t xml:space="preserve">api.globalsync.com</w:t>
      </w:r>
      <w:r>
        <w:t xml:space="preserve"> </w:t>
      </w:r>
      <w:r>
        <w:t xml:space="preserve">cert → partner trusts GlobalSync issuing CA</w:t>
      </w:r>
    </w:p>
    <w:p>
      <w:pPr>
        <w:numPr>
          <w:ilvl w:val="0"/>
          <w:numId w:val="1016"/>
        </w:numPr>
        <w:pStyle w:val="Compact"/>
      </w:pPr>
      <w:r>
        <w:t xml:space="preserve">Client presents partner cert → GlobalSync trusts partner root policy node</w:t>
      </w:r>
    </w:p>
    <w:p>
      <w:pPr>
        <w:pStyle w:val="FirstParagraph"/>
      </w:pPr>
      <w:r>
        <w:t xml:space="preserve">Blocking node was</w:t>
      </w:r>
      <w:r>
        <w:t xml:space="preserve"> </w:t>
      </w:r>
      <w:r>
        <w:rPr>
          <w:bCs/>
          <w:b/>
        </w:rPr>
        <w:t xml:space="preserve">partner root policy</w:t>
      </w:r>
      <w:r>
        <w:t xml:space="preserve"> </w:t>
      </w:r>
      <w:r>
        <w:t xml:space="preserve">on client side — not server TLS cert visible in external scan.</w:t>
      </w:r>
    </w:p>
    <w:p>
      <w:r>
        <w:pict>
          <v:rect style="width:0;height:1.5pt" o:hralign="center" o:hrstd="t" o:hr="t"/>
        </w:pict>
      </w:r>
    </w:p>
    <w:bookmarkEnd w:id="64"/>
    <w:bookmarkStart w:id="65" w:name="firmware-and-boot-chain-cdg-patterns"/>
    <w:p>
      <w:pPr>
        <w:pStyle w:val="Heading2"/>
      </w:pPr>
      <w:r>
        <w:t xml:space="preserve">8.32 Firmware and Boot Chain CDG Patterns</w:t>
      </w:r>
    </w:p>
    <w:p>
      <w:pPr>
        <w:pStyle w:val="FirstParagraph"/>
      </w:pPr>
      <w:r>
        <w:t xml:space="preserve">Firmware CDG chains follow repeating pattern:</w:t>
      </w:r>
    </w:p>
    <w:p>
      <w:pPr>
        <w:pStyle w:val="SourceCode"/>
      </w:pPr>
      <w:r>
        <w:rPr>
          <w:rStyle w:val="VerbatimChar"/>
        </w:rPr>
        <w:t xml:space="preserve">[Root of trust] → signs → [Bootloader] → verifies → [Kernel] → verifies → [App]</w:t>
      </w:r>
    </w:p>
    <w:p>
      <w:pPr>
        <w:pStyle w:val="FirstParagraph"/>
      </w:pPr>
      <w:r>
        <w:t xml:space="preserve">OT devices may embed root in ROM —</w:t>
      </w:r>
      <w:r>
        <w:t xml:space="preserve"> </w:t>
      </w:r>
      <w:r>
        <w:rPr>
          <w:bCs/>
          <w:b/>
        </w:rPr>
        <w:t xml:space="preserve">non-rotatable</w:t>
      </w:r>
      <w:r>
        <w:t xml:space="preserve"> </w:t>
      </w:r>
      <w:r>
        <w:t xml:space="preserve">without hardware refresh. Northfield flagged ROM-root devices as</w:t>
      </w:r>
      <w:r>
        <w:t xml:space="preserve"> </w:t>
      </w:r>
      <w:r>
        <w:rPr>
          <w:rStyle w:val="VerbatimChar"/>
        </w:rPr>
        <w:t xml:space="preserve">blocking: true, refresh_only: true</w:t>
      </w:r>
      <w:r>
        <w:t xml:space="preserve"> </w:t>
      </w:r>
      <w:r>
        <w:t xml:space="preserve">— wave planning tied to capital refresh, not software migration alone.</w:t>
      </w:r>
    </w:p>
    <w:p>
      <w:r>
        <w:pict>
          <v:rect style="width:0;height:1.5pt" o:hralign="center" o:hrstd="t" o:hr="t"/>
        </w:pict>
      </w:r>
    </w:p>
    <w:bookmarkEnd w:id="65"/>
    <w:bookmarkStart w:id="66" w:name="cdg-versioning-and-change-control"/>
    <w:p>
      <w:pPr>
        <w:pStyle w:val="Heading2"/>
      </w:pPr>
      <w:r>
        <w:t xml:space="preserve">8.33 CDG Versioning and Change Control</w:t>
      </w:r>
    </w:p>
    <w:p>
      <w:pPr>
        <w:pStyle w:val="FirstParagraph"/>
      </w:pPr>
      <w:r>
        <w:t xml:space="preserve">CDG snapshots versioned</w:t>
      </w:r>
      <w:r>
        <w:t xml:space="preserve"> </w:t>
      </w:r>
      <w:r>
        <w:rPr>
          <w:rStyle w:val="VerbatimChar"/>
        </w:rPr>
        <w:t xml:space="preserve">cdg-2026-Q1</w:t>
      </w:r>
      <w:r>
        <w:t xml:space="preserve">, aligned to CBOM</w:t>
      </w:r>
      <w:r>
        <w:t xml:space="preserve"> </w:t>
      </w:r>
      <w:r>
        <w:rPr>
          <w:rStyle w:val="VerbatimChar"/>
        </w:rPr>
        <w:t xml:space="preserve">bom-version</w:t>
      </w:r>
      <w:r>
        <w:t xml:space="preserve">. Change control rules:</w:t>
      </w:r>
    </w:p>
    <w:p>
      <w:pPr>
        <w:numPr>
          <w:ilvl w:val="0"/>
          <w:numId w:val="1017"/>
        </w:numPr>
        <w:pStyle w:val="Compact"/>
      </w:pPr>
      <w:r>
        <w:t xml:space="preserve">Automated edge additions from cert renewal — no CAB</w:t>
      </w:r>
    </w:p>
    <w:p>
      <w:pPr>
        <w:numPr>
          <w:ilvl w:val="0"/>
          <w:numId w:val="1017"/>
        </w:numPr>
        <w:pStyle w:val="Compact"/>
      </w:pPr>
      <w:r>
        <w:t xml:space="preserve">New trust edge to external root — security CAB</w:t>
      </w:r>
    </w:p>
    <w:p>
      <w:pPr>
        <w:numPr>
          <w:ilvl w:val="0"/>
          <w:numId w:val="1017"/>
        </w:numPr>
        <w:pStyle w:val="Compact"/>
      </w:pPr>
      <w:r>
        <w:t xml:space="preserve">Blocking flag change — programme steering approval</w:t>
      </w:r>
    </w:p>
    <w:p>
      <w:pPr>
        <w:pStyle w:val="FirstParagraph"/>
      </w:pPr>
      <w:r>
        <w:t xml:space="preserve">Diff report highlighted</w:t>
      </w:r>
      <w:r>
        <w:t xml:space="preserve"> </w:t>
      </w:r>
      <w:r>
        <w:rPr>
          <w:bCs/>
          <w:b/>
        </w:rPr>
        <w:t xml:space="preserve">47 new trust edges</w:t>
      </w:r>
      <w:r>
        <w:t xml:space="preserve"> </w:t>
      </w:r>
      <w:r>
        <w:t xml:space="preserve">in Q1 2027 — shadow API gateway discovery triggering Wave 2 reprioritisation.</w:t>
      </w:r>
    </w:p>
    <w:p>
      <w:r>
        <w:pict>
          <v:rect style="width:0;height:1.5pt" o:hralign="center" o:hrstd="t" o:hr="t"/>
        </w:pict>
      </w:r>
    </w:p>
    <w:bookmarkEnd w:id="66"/>
    <w:bookmarkStart w:id="67" w:name="multi-organisation-cdg-merge-patterns"/>
    <w:p>
      <w:pPr>
        <w:pStyle w:val="Heading2"/>
      </w:pPr>
      <w:r>
        <w:t xml:space="preserve">8.34 Multi-Organisation CDG Merge Patterns</w:t>
      </w:r>
    </w:p>
    <w:p>
      <w:pPr>
        <w:pStyle w:val="FirstParagraph"/>
      </w:pPr>
      <w:r>
        <w:t xml:space="preserve">Conglomerates and shared service models require</w:t>
      </w:r>
      <w:r>
        <w:t xml:space="preserve"> </w:t>
      </w:r>
      <w:r>
        <w:rPr>
          <w:bCs/>
          <w:b/>
        </w:rPr>
        <w:t xml:space="preserve">federated CDG</w:t>
      </w:r>
      <w:r>
        <w:t xml:space="preserve"> </w:t>
      </w:r>
      <w:r>
        <w:t xml:space="preserve">— subgraphs per business unit merged at programme office with consistent node IDs.</w:t>
      </w:r>
    </w:p>
    <w:tbl>
      <w:tblPr>
        <w:tblStyle w:val="Table"/>
        <w:tblW w:type="pct" w:w="5000"/>
        <w:tblLook w:firstRow="1" w:lastRow="0" w:firstColumn="0" w:lastColumn="0" w:noHBand="0" w:noVBand="0" w:val="0020"/>
        <w:jc w:val="start"/>
      </w:tblPr>
      <w:tblGrid>
        <w:gridCol w:w="3394"/>
        <w:gridCol w:w="2262"/>
        <w:gridCol w:w="2262"/>
      </w:tblGrid>
      <w:tr>
        <w:trPr>
          <w:tblHeader w:val="true"/>
        </w:trPr>
        <w:tc>
          <w:tcPr/>
          <w:p>
            <w:pPr>
              <w:pStyle w:val="Compact"/>
              <w:jc w:val="left"/>
            </w:pPr>
            <w:r>
              <w:t xml:space="preserve">Pattern</w:t>
            </w:r>
          </w:p>
        </w:tc>
        <w:tc>
          <w:tcPr/>
          <w:p>
            <w:pPr>
              <w:pStyle w:val="Compact"/>
              <w:jc w:val="left"/>
            </w:pPr>
            <w:r>
              <w:t xml:space="preserve">When</w:t>
            </w:r>
          </w:p>
        </w:tc>
        <w:tc>
          <w:tcPr/>
          <w:p>
            <w:pPr>
              <w:pStyle w:val="Compact"/>
              <w:jc w:val="left"/>
            </w:pPr>
            <w:r>
              <w:t xml:space="preserve">Risk</w:t>
            </w:r>
          </w:p>
        </w:tc>
      </w:tr>
      <w:tr>
        <w:tc>
          <w:tcPr/>
          <w:p>
            <w:pPr>
              <w:pStyle w:val="Compact"/>
              <w:jc w:val="left"/>
            </w:pPr>
            <w:r>
              <w:t xml:space="preserve">Federated merge</w:t>
            </w:r>
          </w:p>
        </w:tc>
        <w:tc>
          <w:tcPr/>
          <w:p>
            <w:pPr>
              <w:pStyle w:val="Compact"/>
              <w:jc w:val="left"/>
            </w:pPr>
            <w:r>
              <w:t xml:space="preserve">Autonomous BUs</w:t>
            </w:r>
          </w:p>
        </w:tc>
        <w:tc>
          <w:tcPr/>
          <w:p>
            <w:pPr>
              <w:pStyle w:val="Compact"/>
              <w:jc w:val="left"/>
            </w:pPr>
            <w:r>
              <w:t xml:space="preserve">ID collision — use namespace prefix</w:t>
            </w:r>
          </w:p>
        </w:tc>
      </w:tr>
      <w:tr>
        <w:tc>
          <w:tcPr/>
          <w:p>
            <w:pPr>
              <w:pStyle w:val="Compact"/>
              <w:jc w:val="left"/>
            </w:pPr>
            <w:r>
              <w:t xml:space="preserve">Hub-and-spoke</w:t>
            </w:r>
          </w:p>
        </w:tc>
        <w:tc>
          <w:tcPr/>
          <w:p>
            <w:pPr>
              <w:pStyle w:val="Compact"/>
              <w:jc w:val="left"/>
            </w:pPr>
            <w:r>
              <w:t xml:space="preserve">Shared services BU</w:t>
            </w:r>
          </w:p>
        </w:tc>
        <w:tc>
          <w:tcPr/>
          <w:p>
            <w:pPr>
              <w:pStyle w:val="Compact"/>
              <w:jc w:val="left"/>
            </w:pPr>
            <w:r>
              <w:t xml:space="preserve">Spoke omission</w:t>
            </w:r>
          </w:p>
        </w:tc>
      </w:tr>
      <w:tr>
        <w:tc>
          <w:tcPr/>
          <w:p>
            <w:pPr>
              <w:pStyle w:val="Compact"/>
              <w:jc w:val="left"/>
            </w:pPr>
            <w:r>
              <w:t xml:space="preserve">Acquisition integration</w:t>
            </w:r>
          </w:p>
        </w:tc>
        <w:tc>
          <w:tcPr/>
          <w:p>
            <w:pPr>
              <w:pStyle w:val="Compact"/>
              <w:jc w:val="left"/>
            </w:pPr>
            <w:r>
              <w:t xml:space="preserve">M&amp;A</w:t>
            </w:r>
          </w:p>
        </w:tc>
        <w:tc>
          <w:tcPr/>
          <w:p>
            <w:pPr>
              <w:pStyle w:val="Compact"/>
              <w:jc w:val="left"/>
            </w:pPr>
            <w:r>
              <w:t xml:space="preserve">Duplicate roots</w:t>
            </w:r>
          </w:p>
        </w:tc>
      </w:tr>
    </w:tbl>
    <w:p>
      <w:pPr>
        <w:pStyle w:val="BodyText"/>
      </w:pPr>
      <w:r>
        <w:t xml:space="preserve">Meridian subsidiary acquisition added 2,100 CBOM rows — CDG merge discovered duplicate trust to same card network root already modelled — consolidation reduced blocking node duplication in board reporting.</w:t>
      </w:r>
    </w:p>
    <w:p>
      <w:r>
        <w:pict>
          <v:rect style="width:0;height:1.5pt" o:hralign="center" o:hrstd="t" o:hr="t"/>
        </w:pict>
      </w:r>
    </w:p>
    <w:bookmarkEnd w:id="67"/>
    <w:bookmarkStart w:id="68" w:name="cdg-for-cloud-shared-responsibility"/>
    <w:p>
      <w:pPr>
        <w:pStyle w:val="Heading2"/>
      </w:pPr>
      <w:r>
        <w:t xml:space="preserve">8.35 CDG for Cloud Shared Responsibility</w:t>
      </w:r>
    </w:p>
    <w:p>
      <w:pPr>
        <w:pStyle w:val="FirstParagraph"/>
      </w:pPr>
      <w:r>
        <w:t xml:space="preserve">Cloud models split cryptographic responsibility — CDG must tag</w:t>
      </w:r>
      <w:r>
        <w:t xml:space="preserve"> </w:t>
      </w:r>
      <w:r>
        <w:rPr>
          <w:rStyle w:val="VerbatimChar"/>
        </w:rPr>
        <w:t xml:space="preserve">custody: customer|provider|shared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Typical customer CDG nodes</w:t>
            </w:r>
          </w:p>
        </w:tc>
        <w:tc>
          <w:tcPr/>
          <w:p>
            <w:pPr>
              <w:pStyle w:val="Compact"/>
              <w:jc w:val="left"/>
            </w:pPr>
            <w:r>
              <w:t xml:space="preserve">Provider opaque</w:t>
            </w:r>
          </w:p>
        </w:tc>
      </w:tr>
      <w:tr>
        <w:tc>
          <w:tcPr/>
          <w:p>
            <w:pPr>
              <w:pStyle w:val="Compact"/>
              <w:jc w:val="left"/>
            </w:pPr>
            <w:r>
              <w:t xml:space="preserve">IaaS VM TLS</w:t>
            </w:r>
          </w:p>
        </w:tc>
        <w:tc>
          <w:tcPr/>
          <w:p>
            <w:pPr>
              <w:pStyle w:val="Compact"/>
              <w:jc w:val="left"/>
            </w:pPr>
            <w:r>
              <w:t xml:space="preserve">Customer cert, customer keys</w:t>
            </w:r>
          </w:p>
        </w:tc>
        <w:tc>
          <w:tcPr/>
          <w:p>
            <w:pPr>
              <w:pStyle w:val="Compact"/>
              <w:jc w:val="left"/>
            </w:pPr>
            <w:r>
              <w:t xml:space="preserve">Hypervisor</w:t>
            </w:r>
          </w:p>
        </w:tc>
      </w:tr>
      <w:tr>
        <w:tc>
          <w:tcPr/>
          <w:p>
            <w:pPr>
              <w:pStyle w:val="Compact"/>
              <w:jc w:val="left"/>
            </w:pPr>
            <w:r>
              <w:t xml:space="preserve">Managed KMS</w:t>
            </w:r>
          </w:p>
        </w:tc>
        <w:tc>
          <w:tcPr/>
          <w:p>
            <w:pPr>
              <w:pStyle w:val="Compact"/>
              <w:jc w:val="left"/>
            </w:pPr>
            <w:r>
              <w:t xml:space="preserve">Key policy, CMK</w:t>
            </w:r>
          </w:p>
        </w:tc>
        <w:tc>
          <w:tcPr/>
          <w:p>
            <w:pPr>
              <w:pStyle w:val="Compact"/>
              <w:jc w:val="left"/>
            </w:pPr>
            <w:r>
              <w:t xml:space="preserve">HSM hardware</w:t>
            </w:r>
          </w:p>
        </w:tc>
      </w:tr>
      <w:tr>
        <w:tc>
          <w:tcPr/>
          <w:p>
            <w:pPr>
              <w:pStyle w:val="Compact"/>
              <w:jc w:val="left"/>
            </w:pPr>
            <w:r>
              <w:t xml:space="preserve">SaaS app</w:t>
            </w:r>
          </w:p>
        </w:tc>
        <w:tc>
          <w:tcPr/>
          <w:p>
            <w:pPr>
              <w:pStyle w:val="Compact"/>
              <w:jc w:val="left"/>
            </w:pPr>
            <w:r>
              <w:t xml:space="preserve">Integration certs</w:t>
            </w:r>
          </w:p>
        </w:tc>
        <w:tc>
          <w:tcPr/>
          <w:p>
            <w:pPr>
              <w:pStyle w:val="Compact"/>
              <w:jc w:val="left"/>
            </w:pPr>
            <w:r>
              <w:t xml:space="preserve">Application crypto</w:t>
            </w:r>
          </w:p>
        </w:tc>
      </w:tr>
    </w:tbl>
    <w:p>
      <w:pPr>
        <w:pStyle w:val="BodyText"/>
      </w:pPr>
      <w:r>
        <w:t xml:space="preserve">GlobalSync as</w:t>
      </w:r>
      <w:r>
        <w:t xml:space="preserve"> </w:t>
      </w:r>
      <w:r>
        <w:rPr>
          <w:bCs/>
          <w:b/>
        </w:rPr>
        <w:t xml:space="preserve">provider</w:t>
      </w:r>
      <w:r>
        <w:t xml:space="preserve"> </w:t>
      </w:r>
      <w:r>
        <w:t xml:space="preserve">published customer-visible CDG excerpt for platform crypto — customers merged provider excerpt with their tenant config CBOM for complete tenant subgraph.</w:t>
      </w:r>
    </w:p>
    <w:p>
      <w:r>
        <w:pict>
          <v:rect style="width:0;height:1.5pt" o:hralign="center" o:hrstd="t" o:hr="t"/>
        </w:pict>
      </w:r>
    </w:p>
    <w:bookmarkEnd w:id="68"/>
    <w:bookmarkStart w:id="69" w:name="facilitating-cdg-enrichment-interviews"/>
    <w:p>
      <w:pPr>
        <w:pStyle w:val="Heading2"/>
      </w:pPr>
      <w:r>
        <w:t xml:space="preserve">8.36 Facilitating CDG Enrichment Interviews</w:t>
      </w:r>
    </w:p>
    <w:p>
      <w:pPr>
        <w:pStyle w:val="FirstParagraph"/>
      </w:pPr>
      <w:r>
        <w:t xml:space="preserve">CDG Phase B interviews fail when treated as security audits. Facilitation guidance:</w:t>
      </w:r>
    </w:p>
    <w:p>
      <w:pPr>
        <w:pStyle w:val="BodyText"/>
      </w:pPr>
      <w:r>
        <w:rPr>
          <w:bCs/>
          <w:b/>
        </w:rPr>
        <w:t xml:space="preserve">Prepare:</w:t>
      </w:r>
      <w:r>
        <w:t xml:space="preserve"> </w:t>
      </w:r>
      <w:r>
        <w:t xml:space="preserve">Send interviewees their CBOM rows 48 hours ahead — no surprise interrogations.</w:t>
      </w:r>
    </w:p>
    <w:p>
      <w:pPr>
        <w:pStyle w:val="BodyText"/>
      </w:pPr>
      <w:r>
        <w:rPr>
          <w:bCs/>
          <w:b/>
        </w:rPr>
        <w:t xml:space="preserve">Open with blast radius:</w:t>
      </w:r>
      <w:r>
        <w:t xml:space="preserve"> </w:t>
      </w:r>
      <w:r>
        <w:rPr>
          <w:iCs/>
          <w:i/>
        </w:rPr>
        <w:t xml:space="preserve">“</w:t>
      </w:r>
      <w:r>
        <w:rPr>
          <w:iCs/>
          <w:i/>
        </w:rPr>
        <w:t xml:space="preserve">If we change this CA, what stops working?</w:t>
      </w:r>
      <w:r>
        <w:rPr>
          <w:iCs/>
          <w:i/>
        </w:rPr>
        <w:t xml:space="preserve">”</w:t>
      </w:r>
      <w:r>
        <w:t xml:space="preserve"> </w:t>
      </w:r>
      <w:r>
        <w:t xml:space="preserve">— not</w:t>
      </w:r>
      <w:r>
        <w:t xml:space="preserve"> </w:t>
      </w:r>
      <w:r>
        <w:rPr>
          <w:iCs/>
          <w:i/>
        </w:rPr>
        <w:t xml:space="preserve">“</w:t>
      </w:r>
      <w:r>
        <w:rPr>
          <w:iCs/>
          <w:i/>
        </w:rPr>
        <w:t xml:space="preserve">List your algorithms.</w:t>
      </w:r>
      <w:r>
        <w:rPr>
          <w:iCs/>
          <w:i/>
        </w:rPr>
        <w:t xml:space="preserve">”</w:t>
      </w:r>
    </w:p>
    <w:p>
      <w:pPr>
        <w:pStyle w:val="BodyText"/>
      </w:pPr>
      <w:r>
        <w:rPr>
          <w:bCs/>
          <w:b/>
        </w:rPr>
        <w:t xml:space="preserve">Capture edge language:</w:t>
      </w:r>
      <w:r>
        <w:t xml:space="preserve"> </w:t>
      </w:r>
      <w:r>
        <w:t xml:space="preserve">Interviewee says</w:t>
      </w:r>
      <w:r>
        <w:t xml:space="preserve"> </w:t>
      </w:r>
      <w:r>
        <w:t xml:space="preserve">“</w:t>
      </w:r>
      <w:r>
        <w:t xml:space="preserve">we trust corporate root</w:t>
      </w:r>
      <w:r>
        <w:t xml:space="preserve">”</w:t>
      </w:r>
      <w:r>
        <w:t xml:space="preserve"> </w:t>
      </w:r>
      <w:r>
        <w:t xml:space="preserve">— facilitator translates to</w:t>
      </w:r>
      <w:r>
        <w:t xml:space="preserve"> </w:t>
      </w:r>
      <w:r>
        <w:rPr>
          <w:rStyle w:val="VerbatimChar"/>
        </w:rPr>
        <w:t xml:space="preserve">trusts</w:t>
      </w:r>
      <w:r>
        <w:t xml:space="preserve"> </w:t>
      </w:r>
      <w:r>
        <w:t xml:space="preserve">edge with evidence request.</w:t>
      </w:r>
    </w:p>
    <w:p>
      <w:pPr>
        <w:pStyle w:val="BodyText"/>
      </w:pPr>
      <w:r>
        <w:rPr>
          <w:bCs/>
          <w:b/>
        </w:rPr>
        <w:t xml:space="preserve">Time-box:</w:t>
      </w:r>
      <w:r>
        <w:t xml:space="preserve"> </w:t>
      </w:r>
      <w:r>
        <w:t xml:space="preserve">60 minutes per team; escalate complex PKI chains to dedicated PKI session.</w:t>
      </w:r>
    </w:p>
    <w:p>
      <w:pPr>
        <w:pStyle w:val="BodyText"/>
      </w:pPr>
      <w:r>
        <w:rPr>
          <w:bCs/>
          <w:b/>
        </w:rPr>
        <w:t xml:space="preserve">Document unknowns:</w:t>
      </w:r>
      <w:r>
        <w:t xml:space="preserve"> </w:t>
      </w:r>
      <w:r>
        <w:t xml:space="preserve">“</w:t>
      </w:r>
      <w:r>
        <w:t xml:space="preserve">I don’t know</w:t>
      </w:r>
      <w:r>
        <w:t xml:space="preserve">”</w:t>
      </w:r>
      <w:r>
        <w:t xml:space="preserve"> </w:t>
      </w:r>
      <w:r>
        <w:t xml:space="preserve">becomes orphan node with owner — not omitted edge.</w:t>
      </w:r>
    </w:p>
    <w:p>
      <w:pPr>
        <w:pStyle w:val="BodyText"/>
      </w:pPr>
      <w:r>
        <w:t xml:space="preserve">Meridian ran</w:t>
      </w:r>
      <w:r>
        <w:t xml:space="preserve"> </w:t>
      </w:r>
      <w:r>
        <w:rPr>
          <w:bCs/>
          <w:b/>
        </w:rPr>
        <w:t xml:space="preserve">120 interviews</w:t>
      </w:r>
      <w:r>
        <w:t xml:space="preserve"> </w:t>
      </w:r>
      <w:r>
        <w:t xml:space="preserve">over eight weeks — payments domain alone required 35 sessions including retail operations representatives who understood terminal trust stores but not TLS.</w:t>
      </w:r>
    </w:p>
    <w:p>
      <w:r>
        <w:pict>
          <v:rect style="width:0;height:1.5pt" o:hralign="center" o:hrstd="t" o:hr="t"/>
        </w:pict>
      </w:r>
    </w:p>
    <w:bookmarkEnd w:id="69"/>
    <w:bookmarkStart w:id="70" w:name="cdg-deliverables-checklist"/>
    <w:p>
      <w:pPr>
        <w:pStyle w:val="Heading2"/>
      </w:pPr>
      <w:r>
        <w:t xml:space="preserve">8.37 CDG Deliverables Checklist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Deliverable</w:t>
            </w:r>
          </w:p>
        </w:tc>
        <w:tc>
          <w:tcPr/>
          <w:p>
            <w:pPr>
              <w:pStyle w:val="Compact"/>
              <w:jc w:val="left"/>
            </w:pPr>
            <w:r>
              <w:t xml:space="preserve">Audience</w:t>
            </w:r>
          </w:p>
        </w:tc>
        <w:tc>
          <w:tcPr/>
          <w:p>
            <w:pPr>
              <w:pStyle w:val="Compact"/>
              <w:jc w:val="left"/>
            </w:pPr>
            <w:r>
              <w:t xml:space="preserve">Format</w:t>
            </w:r>
          </w:p>
        </w:tc>
      </w:tr>
      <w:tr>
        <w:tc>
          <w:tcPr/>
          <w:p>
            <w:pPr>
              <w:pStyle w:val="Compact"/>
              <w:jc w:val="left"/>
            </w:pPr>
            <w:r>
              <w:t xml:space="preserve">Full graph export</w:t>
            </w:r>
          </w:p>
        </w:tc>
        <w:tc>
          <w:tcPr/>
          <w:p>
            <w:pPr>
              <w:pStyle w:val="Compact"/>
              <w:jc w:val="left"/>
            </w:pPr>
            <w:r>
              <w:t xml:space="preserve">Engineering</w:t>
            </w:r>
          </w:p>
        </w:tc>
        <w:tc>
          <w:tcPr/>
          <w:p>
            <w:pPr>
              <w:pStyle w:val="Compact"/>
              <w:jc w:val="left"/>
            </w:pPr>
            <w:r>
              <w:t xml:space="preserve">Graph DB or JSON</w:t>
            </w:r>
          </w:p>
        </w:tc>
      </w:tr>
      <w:tr>
        <w:tc>
          <w:tcPr/>
          <w:p>
            <w:pPr>
              <w:pStyle w:val="Compact"/>
              <w:jc w:val="left"/>
            </w:pPr>
            <w:r>
              <w:t xml:space="preserve">Executive top-10 blocking</w:t>
            </w:r>
          </w:p>
        </w:tc>
        <w:tc>
          <w:tcPr/>
          <w:p>
            <w:pPr>
              <w:pStyle w:val="Compact"/>
              <w:jc w:val="left"/>
            </w:pPr>
            <w:r>
              <w:t xml:space="preserve">Board, steering</w:t>
            </w:r>
          </w:p>
        </w:tc>
        <w:tc>
          <w:tcPr/>
          <w:p>
            <w:pPr>
              <w:pStyle w:val="Compact"/>
              <w:jc w:val="left"/>
            </w:pPr>
            <w:r>
              <w:t xml:space="preserve">Table + trend</w:t>
            </w:r>
          </w:p>
        </w:tc>
      </w:tr>
      <w:tr>
        <w:tc>
          <w:tcPr/>
          <w:p>
            <w:pPr>
              <w:pStyle w:val="Compact"/>
              <w:jc w:val="left"/>
            </w:pPr>
            <w:r>
              <w:t xml:space="preserve">Domain subgraphs</w:t>
            </w:r>
          </w:p>
        </w:tc>
        <w:tc>
          <w:tcPr/>
          <w:p>
            <w:pPr>
              <w:pStyle w:val="Compact"/>
              <w:jc w:val="left"/>
            </w:pPr>
            <w:r>
              <w:t xml:space="preserve">Architects</w:t>
            </w:r>
          </w:p>
        </w:tc>
        <w:tc>
          <w:tcPr/>
          <w:p>
            <w:pPr>
              <w:pStyle w:val="Compact"/>
              <w:jc w:val="left"/>
            </w:pPr>
            <w:r>
              <w:t xml:space="preserve">Filtered views</w:t>
            </w:r>
          </w:p>
        </w:tc>
      </w:tr>
      <w:tr>
        <w:tc>
          <w:tcPr/>
          <w:p>
            <w:pPr>
              <w:pStyle w:val="Compact"/>
              <w:jc w:val="left"/>
            </w:pPr>
            <w:r>
              <w:t xml:space="preserve">Blocking node briefs</w:t>
            </w:r>
          </w:p>
        </w:tc>
        <w:tc>
          <w:tcPr/>
          <w:p>
            <w:pPr>
              <w:pStyle w:val="Compact"/>
              <w:jc w:val="left"/>
            </w:pPr>
            <w:r>
              <w:t xml:space="preserve">Wave 0 planners</w:t>
            </w:r>
          </w:p>
        </w:tc>
        <w:tc>
          <w:tcPr/>
          <w:p>
            <w:pPr>
              <w:pStyle w:val="Compact"/>
              <w:jc w:val="left"/>
            </w:pPr>
            <w:r>
              <w:t xml:space="preserve">One-pager each</w:t>
            </w:r>
          </w:p>
        </w:tc>
      </w:tr>
      <w:tr>
        <w:tc>
          <w:tcPr/>
          <w:p>
            <w:pPr>
              <w:pStyle w:val="Compact"/>
              <w:jc w:val="left"/>
            </w:pPr>
            <w:r>
              <w:t xml:space="preserve">Evidence gap report</w:t>
            </w:r>
          </w:p>
        </w:tc>
        <w:tc>
          <w:tcPr/>
          <w:p>
            <w:pPr>
              <w:pStyle w:val="Compact"/>
              <w:jc w:val="left"/>
            </w:pPr>
            <w:r>
              <w:t xml:space="preserve">Audit</w:t>
            </w:r>
          </w:p>
        </w:tc>
        <w:tc>
          <w:tcPr/>
          <w:p>
            <w:pPr>
              <w:pStyle w:val="Compact"/>
              <w:jc w:val="left"/>
            </w:pPr>
            <w:r>
              <w:t xml:space="preserve">Undocumented edges</w:t>
            </w:r>
          </w:p>
        </w:tc>
      </w:tr>
      <w:tr>
        <w:tc>
          <w:tcPr/>
          <w:p>
            <w:pPr>
              <w:pStyle w:val="Compact"/>
              <w:jc w:val="left"/>
            </w:pPr>
            <w:r>
              <w:t xml:space="preserve">CDG health metrics</w:t>
            </w:r>
          </w:p>
        </w:tc>
        <w:tc>
          <w:tcPr/>
          <w:p>
            <w:pPr>
              <w:pStyle w:val="Compact"/>
              <w:jc w:val="left"/>
            </w:pPr>
            <w:r>
              <w:t xml:space="preserve">Programme office</w:t>
            </w:r>
          </w:p>
        </w:tc>
        <w:tc>
          <w:tcPr/>
          <w:p>
            <w:pPr>
              <w:pStyle w:val="Compact"/>
              <w:jc w:val="left"/>
            </w:pPr>
            <w:r>
              <w:t xml:space="preserve">Dashboard</w:t>
            </w:r>
          </w:p>
        </w:tc>
      </w:tr>
    </w:tbl>
    <w:p>
      <w:r>
        <w:pict>
          <v:rect style="width:0;height:1.5pt" o:hralign="center" o:hrstd="t" o:hr="t"/>
        </w:pict>
      </w:r>
    </w:p>
    <w:bookmarkEnd w:id="70"/>
    <w:bookmarkStart w:id="71" w:name="service-mesh-and-east-west-trust"/>
    <w:p>
      <w:pPr>
        <w:pStyle w:val="Heading2"/>
      </w:pPr>
      <w:r>
        <w:t xml:space="preserve">8.38 Service Mesh and East-West Trust</w:t>
      </w:r>
    </w:p>
    <w:p>
      <w:pPr>
        <w:pStyle w:val="FirstParagraph"/>
      </w:pPr>
      <w:r>
        <w:t xml:space="preserve">East-west microservice traffic often uses mesh-issued certificates distinct from north-south ingress certs. CDG must model</w:t>
      </w:r>
      <w:r>
        <w:t xml:space="preserve"> </w:t>
      </w:r>
      <w:r>
        <w:rPr>
          <w:bCs/>
          <w:b/>
        </w:rPr>
        <w:t xml:space="preserve">two layers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Typical nodes</w:t>
            </w:r>
          </w:p>
        </w:tc>
        <w:tc>
          <w:tcPr/>
          <w:p>
            <w:pPr>
              <w:pStyle w:val="Compact"/>
              <w:jc w:val="left"/>
            </w:pPr>
            <w:r>
              <w:t xml:space="preserve">Common blocking pattern</w:t>
            </w:r>
          </w:p>
        </w:tc>
      </w:tr>
      <w:tr>
        <w:tc>
          <w:tcPr/>
          <w:p>
            <w:pPr>
              <w:pStyle w:val="Compact"/>
              <w:jc w:val="left"/>
            </w:pPr>
            <w:r>
              <w:t xml:space="preserve">North-south</w:t>
            </w:r>
          </w:p>
        </w:tc>
        <w:tc>
          <w:tcPr/>
          <w:p>
            <w:pPr>
              <w:pStyle w:val="Compact"/>
              <w:jc w:val="left"/>
            </w:pPr>
            <w:r>
              <w:t xml:space="preserve">Ingress cert, WAF TLS</w:t>
            </w:r>
          </w:p>
        </w:tc>
        <w:tc>
          <w:tcPr/>
          <w:p>
            <w:pPr>
              <w:pStyle w:val="Compact"/>
              <w:jc w:val="left"/>
            </w:pPr>
            <w:r>
              <w:t xml:space="preserve">External visibility</w:t>
            </w:r>
          </w:p>
        </w:tc>
      </w:tr>
      <w:tr>
        <w:tc>
          <w:tcPr/>
          <w:p>
            <w:pPr>
              <w:pStyle w:val="Compact"/>
              <w:jc w:val="left"/>
            </w:pPr>
            <w:r>
              <w:t xml:space="preserve">East-west</w:t>
            </w:r>
          </w:p>
        </w:tc>
        <w:tc>
          <w:tcPr/>
          <w:p>
            <w:pPr>
              <w:pStyle w:val="Compact"/>
              <w:jc w:val="left"/>
            </w:pPr>
            <w:r>
              <w:t xml:space="preserve">Mesh CA, sidecar identity</w:t>
            </w:r>
          </w:p>
        </w:tc>
        <w:tc>
          <w:tcPr/>
          <w:p>
            <w:pPr>
              <w:pStyle w:val="Compact"/>
              <w:jc w:val="left"/>
            </w:pPr>
            <w:r>
              <w:t xml:space="preserve">Shared mesh root</w:t>
            </w:r>
          </w:p>
        </w:tc>
      </w:tr>
    </w:tbl>
    <w:p>
      <w:pPr>
        <w:pStyle w:val="BodyText"/>
      </w:pPr>
      <w:r>
        <w:t xml:space="preserve">GlobalSync Istio deployment:</w:t>
      </w:r>
      <w:r>
        <w:t xml:space="preserve"> </w:t>
      </w:r>
      <w:r>
        <w:rPr>
          <w:bCs/>
          <w:b/>
        </w:rPr>
        <w:t xml:space="preserve">mesh-root-ca</w:t>
      </w:r>
      <w:r>
        <w:t xml:space="preserve"> </w:t>
      </w:r>
      <w:r>
        <w:t xml:space="preserve">node fan-in 180 namespaces — blocking node #2 after partner mTLS policy. Teams upgrading ingress TLS without mesh root migration passed north-south scans but failed east-west mTLS toward services requiring mesh identity.</w:t>
      </w:r>
    </w:p>
    <w:p>
      <w:pPr>
        <w:pStyle w:val="BodyText"/>
      </w:pPr>
      <w:r>
        <w:rPr>
          <w:bCs/>
          <w:b/>
        </w:rPr>
        <w:t xml:space="preserve">CDG modelling:</w:t>
      </w:r>
    </w:p>
    <w:p>
      <w:pPr>
        <w:pStyle w:val="SourceCode"/>
      </w:pPr>
      <w:r>
        <w:rPr>
          <w:rStyle w:val="VerbatimChar"/>
        </w:rPr>
        <w:t xml:space="preserve">[partner-mtls-policy] &lt;-- partner clients (blocking #1)</w:t>
      </w:r>
      <w:r>
        <w:br/>
      </w:r>
      <w:r>
        <w:rPr>
          <w:rStyle w:val="VerbatimChar"/>
        </w:rPr>
        <w:t xml:space="preserve">[mesh-root-ca] &lt;-- 180 sidecar identities (blocking #2)</w:t>
      </w:r>
      <w:r>
        <w:br/>
      </w:r>
      <w:r>
        <w:rPr>
          <w:rStyle w:val="VerbatimChar"/>
        </w:rPr>
        <w:t xml:space="preserve">[ingress-wildcard-cert] &lt;-- external users</w:t>
      </w:r>
    </w:p>
    <w:p>
      <w:pPr>
        <w:pStyle w:val="FirstParagraph"/>
      </w:pPr>
      <w:r>
        <w:t xml:space="preserve">Wave 0 sequenced partner policy first, mesh root second — Marcus documented CDG override on ingress-only migration proposals.</w:t>
      </w:r>
    </w:p>
    <w:p>
      <w:pPr>
        <w:pStyle w:val="BodyText"/>
      </w:pPr>
      <w:r>
        <w:t xml:space="preserve">Meridian corporate IT used</w:t>
      </w:r>
      <w:r>
        <w:t xml:space="preserve"> </w:t>
      </w:r>
      <w:r>
        <w:rPr>
          <w:bCs/>
          <w:b/>
        </w:rPr>
        <w:t xml:space="preserve">namespace-scoped issuers</w:t>
      </w:r>
      <w:r>
        <w:t xml:space="preserve"> </w:t>
      </w:r>
      <w:r>
        <w:t xml:space="preserve">subordinate to enterprise root — roll-up preserved subordinate visibility while compressing leaf cert count.</w:t>
      </w:r>
    </w:p>
    <w:p>
      <w:r>
        <w:pict>
          <v:rect style="width:0;height:1.5pt" o:hralign="center" o:hrstd="t" o:hr="t"/>
        </w:pict>
      </w:r>
    </w:p>
    <w:bookmarkEnd w:id="71"/>
    <w:bookmarkStart w:id="72" w:name="X5ea45f558644a40ed1810009bab0c4c864086d7"/>
    <w:p>
      <w:pPr>
        <w:pStyle w:val="Heading2"/>
      </w:pPr>
      <w:r>
        <w:t xml:space="preserve">8.39 Worked Blast-Radius Exercise: Manufacturing Root Rotation</w:t>
      </w:r>
    </w:p>
    <w:p>
      <w:pPr>
        <w:pStyle w:val="FirstParagraph"/>
      </w:pPr>
      <w:r>
        <w:rPr>
          <w:bCs/>
          <w:b/>
        </w:rPr>
        <w:t xml:space="preserve">Scenario:</w:t>
      </w:r>
      <w:r>
        <w:t xml:space="preserve"> </w:t>
      </w:r>
      <w:r>
        <w:t xml:space="preserve">Meridian rotates manufacturing root CA from RSA-2048 to hybrid ML-DSA profile.</w:t>
      </w:r>
    </w:p>
    <w:p>
      <w:pPr>
        <w:pStyle w:val="BodyText"/>
      </w:pPr>
      <w:r>
        <w:rPr>
          <w:bCs/>
          <w:b/>
        </w:rPr>
        <w:t xml:space="preserve">Step 1 — Anchor identification:</w:t>
      </w:r>
      <w:r>
        <w:t xml:space="preserve"> </w:t>
      </w:r>
      <w:r>
        <w:t xml:space="preserve">Node</w:t>
      </w:r>
      <w:r>
        <w:t xml:space="preserve"> </w:t>
      </w:r>
      <w:r>
        <w:rPr>
          <w:rStyle w:val="VerbatimChar"/>
        </w:rPr>
        <w:t xml:space="preserve">manufacturing-root-ca</w:t>
      </w:r>
      <w:r>
        <w:t xml:space="preserve">,</w:t>
      </w:r>
      <w:r>
        <w:t xml:space="preserve"> </w:t>
      </w:r>
      <w:r>
        <w:rPr>
          <w:rStyle w:val="VerbatimChar"/>
        </w:rPr>
        <w:t xml:space="preserve">blocking: true</w:t>
      </w:r>
      <w:r>
        <w:t xml:space="preserve">, fan-in 340 direct</w:t>
      </w:r>
      <w:r>
        <w:t xml:space="preserve"> </w:t>
      </w:r>
      <w:r>
        <w:rPr>
          <w:rStyle w:val="VerbatimChar"/>
        </w:rPr>
        <w:t xml:space="preserve">signs</w:t>
      </w:r>
      <w:r>
        <w:t xml:space="preserve"> </w:t>
      </w:r>
      <w:r>
        <w:t xml:space="preserve">edges.</w:t>
      </w:r>
    </w:p>
    <w:p>
      <w:pPr>
        <w:pStyle w:val="BodyText"/>
      </w:pPr>
      <w:r>
        <w:rPr>
          <w:bCs/>
          <w:b/>
        </w:rPr>
        <w:t xml:space="preserve">Step 2 — Reverse BFS depth 3:</w:t>
      </w:r>
      <w:r>
        <w:t xml:space="preserve"> </w:t>
      </w:r>
      <w:r>
        <w:t xml:space="preserve">Reveals 2,400</w:t>
      </w:r>
      <w:r>
        <w:t xml:space="preserve"> </w:t>
      </w:r>
      <w:r>
        <w:rPr>
          <w:rStyle w:val="VerbatimChar"/>
        </w:rPr>
        <w:t xml:space="preserve">verifies</w:t>
      </w:r>
      <w:r>
        <w:t xml:space="preserve"> </w:t>
      </w:r>
      <w:r>
        <w:t xml:space="preserve">edges to firmware images, 890 partner webhook verifiers, 12,400 retail terminal trust stores.</w:t>
      </w:r>
    </w:p>
    <w:p>
      <w:pPr>
        <w:pStyle w:val="BodyText"/>
      </w:pPr>
      <w:r>
        <w:rPr>
          <w:bCs/>
          <w:b/>
        </w:rPr>
        <w:t xml:space="preserve">Step 3 — Classify dependents: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Dependent class</w:t>
            </w:r>
          </w:p>
        </w:tc>
        <w:tc>
          <w:tcPr/>
          <w:p>
            <w:pPr>
              <w:pStyle w:val="Compact"/>
              <w:jc w:val="left"/>
            </w:pPr>
            <w:r>
              <w:t xml:space="preserve">Count</w:t>
            </w:r>
          </w:p>
        </w:tc>
        <w:tc>
          <w:tcPr/>
          <w:p>
            <w:pPr>
              <w:pStyle w:val="Compact"/>
              <w:jc w:val="left"/>
            </w:pPr>
            <w:r>
              <w:t xml:space="preserve">Migration mechanism</w:t>
            </w:r>
          </w:p>
        </w:tc>
      </w:tr>
      <w:tr>
        <w:tc>
          <w:tcPr/>
          <w:p>
            <w:pPr>
              <w:pStyle w:val="Compact"/>
              <w:jc w:val="left"/>
            </w:pPr>
            <w:r>
              <w:t xml:space="preserve">Firmware images</w:t>
            </w:r>
          </w:p>
        </w:tc>
        <w:tc>
          <w:tcPr/>
          <w:p>
            <w:pPr>
              <w:pStyle w:val="Compact"/>
              <w:jc w:val="left"/>
            </w:pPr>
            <w:r>
              <w:t xml:space="preserve">2,400</w:t>
            </w:r>
          </w:p>
        </w:tc>
        <w:tc>
          <w:tcPr/>
          <w:p>
            <w:pPr>
              <w:pStyle w:val="Compact"/>
              <w:jc w:val="left"/>
            </w:pPr>
            <w:r>
              <w:t xml:space="preserve">Dual-signature release</w:t>
            </w:r>
          </w:p>
        </w:tc>
      </w:tr>
      <w:tr>
        <w:tc>
          <w:tcPr/>
          <w:p>
            <w:pPr>
              <w:pStyle w:val="Compact"/>
              <w:jc w:val="left"/>
            </w:pPr>
            <w:r>
              <w:t xml:space="preserve">Terminals</w:t>
            </w:r>
          </w:p>
        </w:tc>
        <w:tc>
          <w:tcPr/>
          <w:p>
            <w:pPr>
              <w:pStyle w:val="Compact"/>
              <w:jc w:val="left"/>
            </w:pPr>
            <w:r>
              <w:t xml:space="preserve">12,400</w:t>
            </w:r>
          </w:p>
        </w:tc>
        <w:tc>
          <w:tcPr/>
          <w:p>
            <w:pPr>
              <w:pStyle w:val="Compact"/>
              <w:jc w:val="left"/>
            </w:pPr>
            <w:r>
              <w:t xml:space="preserve">Staged trust store update</w:t>
            </w:r>
          </w:p>
        </w:tc>
      </w:tr>
      <w:tr>
        <w:tc>
          <w:tcPr/>
          <w:p>
            <w:pPr>
              <w:pStyle w:val="Compact"/>
              <w:jc w:val="left"/>
            </w:pPr>
            <w:r>
              <w:t xml:space="preserve">Partner webhooks</w:t>
            </w:r>
          </w:p>
        </w:tc>
        <w:tc>
          <w:tcPr/>
          <w:p>
            <w:pPr>
              <w:pStyle w:val="Compact"/>
              <w:jc w:val="left"/>
            </w:pPr>
            <w:r>
              <w:t xml:space="preserve">890</w:t>
            </w:r>
          </w:p>
        </w:tc>
        <w:tc>
          <w:tcPr/>
          <w:p>
            <w:pPr>
              <w:pStyle w:val="Compact"/>
              <w:jc w:val="left"/>
            </w:pPr>
            <w:r>
              <w:t xml:space="preserve">Partner notification programme</w:t>
            </w:r>
          </w:p>
        </w:tc>
      </w:tr>
      <w:tr>
        <w:tc>
          <w:tcPr/>
          <w:p>
            <w:pPr>
              <w:pStyle w:val="Compact"/>
              <w:jc w:val="left"/>
            </w:pPr>
            <w:r>
              <w:t xml:space="preserve">CI pipelines</w:t>
            </w:r>
          </w:p>
        </w:tc>
        <w:tc>
          <w:tcPr/>
          <w:p>
            <w:pPr>
              <w:pStyle w:val="Compact"/>
              <w:jc w:val="left"/>
            </w:pPr>
            <w:r>
              <w:t xml:space="preserve">45</w:t>
            </w:r>
          </w:p>
        </w:tc>
        <w:tc>
          <w:tcPr/>
          <w:p>
            <w:pPr>
              <w:pStyle w:val="Compact"/>
              <w:jc w:val="left"/>
            </w:pPr>
            <w:r>
              <w:t xml:space="preserve">Signing template update</w:t>
            </w:r>
          </w:p>
        </w:tc>
      </w:tr>
    </w:tbl>
    <w:p>
      <w:pPr>
        <w:pStyle w:val="BodyText"/>
      </w:pPr>
      <w:r>
        <w:rPr>
          <w:bCs/>
          <w:b/>
        </w:rPr>
        <w:t xml:space="preserve">Step 4 — Lead time estimate:</w:t>
      </w:r>
      <w:r>
        <w:t xml:space="preserve"> </w:t>
      </w:r>
      <w:r>
        <w:t xml:space="preserve">12 months minimum — terminal logistics dominate.</w:t>
      </w:r>
    </w:p>
    <w:p>
      <w:pPr>
        <w:pStyle w:val="BodyText"/>
      </w:pPr>
      <w:r>
        <w:rPr>
          <w:bCs/>
          <w:b/>
        </w:rPr>
        <w:t xml:space="preserve">Step 5 — Wave assignment:</w:t>
      </w:r>
      <w:r>
        <w:t xml:space="preserve"> </w:t>
      </w:r>
      <w:r>
        <w:t xml:space="preserve">Wave 0 with explicit parallel trust period — CDG edges annotated</w:t>
      </w:r>
      <w:r>
        <w:t xml:space="preserve"> </w:t>
      </w:r>
      <w:r>
        <w:rPr>
          <w:rStyle w:val="VerbatimChar"/>
        </w:rPr>
        <w:t xml:space="preserve">parallel_trust_until</w:t>
      </w:r>
      <w:r>
        <w:t xml:space="preserve">.</w:t>
      </w:r>
    </w:p>
    <w:p>
      <w:pPr>
        <w:pStyle w:val="BodyText"/>
      </w:pPr>
      <w:r>
        <w:t xml:space="preserve">Exercise output became</w:t>
      </w:r>
      <w:r>
        <w:t xml:space="preserve"> </w:t>
      </w:r>
      <w:r>
        <w:rPr>
          <w:bCs/>
          <w:b/>
        </w:rPr>
        <w:t xml:space="preserve">blocking node brief</w:t>
      </w:r>
      <w:r>
        <w:t xml:space="preserve"> </w:t>
      </w:r>
      <w:r>
        <w:t xml:space="preserve">appendix to board wave plan (Chapter 9). Without CDG, programme estimated 90-day CA migration — physically impossible given terminal fleet.</w:t>
      </w:r>
    </w:p>
    <w:p>
      <w:r>
        <w:pict>
          <v:rect style="width:0;height:1.5pt" o:hralign="center" o:hrstd="t" o:hr="t"/>
        </w:pict>
      </w:r>
    </w:p>
    <w:bookmarkEnd w:id="72"/>
    <w:bookmarkStart w:id="73" w:name="code-signing-and-cicd-pipeline-cdg"/>
    <w:p>
      <w:pPr>
        <w:pStyle w:val="Heading2"/>
      </w:pPr>
      <w:r>
        <w:t xml:space="preserve">8.40 Code Signing and CI/CD Pipeline CDG</w:t>
      </w:r>
    </w:p>
    <w:p>
      <w:pPr>
        <w:pStyle w:val="FirstParagraph"/>
      </w:pPr>
      <w:r>
        <w:t xml:space="preserve">Software supply chain cryptography forms CDG chains separate from runtime TLS:</w:t>
      </w:r>
    </w:p>
    <w:p>
      <w:pPr>
        <w:pStyle w:val="SourceCode"/>
      </w:pPr>
      <w:r>
        <w:rPr>
          <w:rStyle w:val="VerbatimChar"/>
        </w:rPr>
        <w:t xml:space="preserve">[enterprise-code-sign-ca] --signs--&gt; [build-artifact] --verifies--&gt; [deployment-policy]</w:t>
      </w:r>
      <w:r>
        <w:br/>
      </w:r>
      <w:r>
        <w:rPr>
          <w:rStyle w:val="VerbatimChar"/>
        </w:rPr>
        <w:t xml:space="preserve">                                         ^</w:t>
      </w:r>
      <w:r>
        <w:br/>
      </w:r>
      <w:r>
        <w:rPr>
          <w:rStyle w:val="VerbatimChar"/>
        </w:rPr>
        <w:t xml:space="preserve">[developer-workstation] --signs---------+ (in dev flows — policy violation if prod)</w:t>
      </w:r>
    </w:p>
    <w:p>
      <w:pPr>
        <w:pStyle w:val="FirstParagraph"/>
      </w:pPr>
      <w:r>
        <w:t xml:space="preserve">Meridian discovered</w:t>
      </w:r>
      <w:r>
        <w:t xml:space="preserve"> </w:t>
      </w:r>
      <w:r>
        <w:rPr>
          <w:bCs/>
          <w:b/>
        </w:rPr>
        <w:t xml:space="preserve">three shadow signing keys</w:t>
      </w:r>
      <w:r>
        <w:t xml:space="preserve"> </w:t>
      </w:r>
      <w:r>
        <w:t xml:space="preserve">on engineering workstations trusted by ad hoc CI jobs — not in PKI inventory. CDG orphan hunt (nodes with no enterprise</w:t>
      </w:r>
      <w:r>
        <w:t xml:space="preserve"> </w:t>
      </w:r>
      <w:r>
        <w:rPr>
          <w:rStyle w:val="VerbatimChar"/>
        </w:rPr>
        <w:t xml:space="preserve">signs</w:t>
      </w:r>
      <w:r>
        <w:t xml:space="preserve"> </w:t>
      </w:r>
      <w:r>
        <w:t xml:space="preserve">path to approved CA) surfaced shadow keys — remediated before Wave 0 manufacturing root work.</w:t>
      </w:r>
    </w:p>
    <w:p>
      <w:pPr>
        <w:pStyle w:val="BodyText"/>
      </w:pPr>
      <w:r>
        <w:rPr>
          <w:bCs/>
          <w:b/>
        </w:rPr>
        <w:t xml:space="preserve">Pipeline attestation:</w:t>
      </w:r>
      <w:r>
        <w:t xml:space="preserve"> </w:t>
      </w:r>
      <w:r>
        <w:t xml:space="preserve">SLSA and in-toto attestations add</w:t>
      </w:r>
      <w:r>
        <w:t xml:space="preserve"> </w:t>
      </w:r>
      <w:r>
        <w:rPr>
          <w:rStyle w:val="VerbatimChar"/>
        </w:rPr>
        <w:t xml:space="preserve">verifies</w:t>
      </w:r>
      <w:r>
        <w:t xml:space="preserve"> </w:t>
      </w:r>
      <w:r>
        <w:t xml:space="preserve">edges from deployment policy to expected signer — CDG integration optional but valuable for software supply chain PQC migration (Part IV).</w:t>
      </w:r>
    </w:p>
    <w:p>
      <w:r>
        <w:pict>
          <v:rect style="width:0;height:1.5pt" o:hralign="center" o:hrstd="t" o:hr="t"/>
        </w:pict>
      </w:r>
    </w:p>
    <w:bookmarkEnd w:id="73"/>
    <w:bookmarkStart w:id="74" w:name="database-and-kms-dependency-chains"/>
    <w:p>
      <w:pPr>
        <w:pStyle w:val="Heading2"/>
      </w:pPr>
      <w:r>
        <w:t xml:space="preserve">8.41 Database and KMS Dependency Chains</w:t>
      </w:r>
    </w:p>
    <w:p>
      <w:pPr>
        <w:pStyle w:val="FirstParagraph"/>
      </w:pPr>
      <w:r>
        <w:t xml:space="preserve">Application field encryption creates CDG paths:</w:t>
      </w:r>
    </w:p>
    <w:p>
      <w:pPr>
        <w:pStyle w:val="SourceCode"/>
      </w:pPr>
      <w:r>
        <w:rPr>
          <w:rStyle w:val="VerbatimChar"/>
        </w:rPr>
        <w:t xml:space="preserve">[app] --implements--&gt; [AES-256-GCM data key]</w:t>
      </w:r>
      <w:r>
        <w:br/>
      </w:r>
      <w:r>
        <w:rPr>
          <w:rStyle w:val="VerbatimChar"/>
        </w:rPr>
        <w:t xml:space="preserve">[data key] --wrapped-by--&gt; [KMS CMK RSA-2048]</w:t>
      </w:r>
      <w:r>
        <w:br/>
      </w:r>
      <w:r>
        <w:rPr>
          <w:rStyle w:val="VerbatimChar"/>
        </w:rPr>
        <w:t xml:space="preserve">[CMK] --custodied-in--&gt; [Cloud KMS / HSM partition]</w:t>
      </w:r>
    </w:p>
    <w:p>
      <w:pPr>
        <w:pStyle w:val="FirstParagraph"/>
      </w:pPr>
      <w:r>
        <w:t xml:space="preserve">Rotating CMK algorithm requires</w:t>
      </w:r>
      <w:r>
        <w:t xml:space="preserve"> </w:t>
      </w:r>
      <w:r>
        <w:rPr>
          <w:bCs/>
          <w:b/>
        </w:rPr>
        <w:t xml:space="preserve">re-wrap</w:t>
      </w:r>
      <w:r>
        <w:t xml:space="preserve"> </w:t>
      </w:r>
      <w:r>
        <w:t xml:space="preserve">of data keys — not application code change alone. Meridian PII KMS blocking analysis (Chapter 2, MPI 4.39) used this chain — A = 4 because twelve applications shared CMK partition.</w:t>
      </w:r>
    </w:p>
    <w:p>
      <w:pPr>
        <w:pStyle w:val="BodyText"/>
      </w:pPr>
      <w:r>
        <w:t xml:space="preserve">CDG edge attribute</w:t>
      </w:r>
      <w:r>
        <w:t xml:space="preserve"> </w:t>
      </w:r>
      <w:r>
        <w:rPr>
          <w:rStyle w:val="VerbatimChar"/>
        </w:rPr>
        <w:t xml:space="preserve">rewrap_required: true</w:t>
      </w:r>
      <w:r>
        <w:t xml:space="preserve"> </w:t>
      </w:r>
      <w:r>
        <w:t xml:space="preserve">flagged migration complexity for wave sizing (Chapter 9).</w:t>
      </w:r>
    </w:p>
    <w:p>
      <w:r>
        <w:pict>
          <v:rect style="width:0;height:1.5pt" o:hralign="center" o:hrstd="t" o:hr="t"/>
        </w:pict>
      </w:r>
    </w:p>
    <w:bookmarkEnd w:id="74"/>
    <w:bookmarkStart w:id="75" w:name="cdn-and-third-party-edge-termination"/>
    <w:p>
      <w:pPr>
        <w:pStyle w:val="Heading2"/>
      </w:pPr>
      <w:r>
        <w:t xml:space="preserve">8.42 CDN and Third-Party Edge Termination</w:t>
      </w:r>
    </w:p>
    <w:p>
      <w:pPr>
        <w:pStyle w:val="FirstParagraph"/>
      </w:pPr>
      <w:r>
        <w:t xml:space="preserve">Enterprises using CDN TLS termination have cryptographic dependencies on</w:t>
      </w:r>
      <w:r>
        <w:t xml:space="preserve"> </w:t>
      </w:r>
      <w:r>
        <w:rPr>
          <w:bCs/>
          <w:b/>
        </w:rPr>
        <w:t xml:space="preserve">provider edge</w:t>
      </w:r>
      <w:r>
        <w:t xml:space="preserve">:</w:t>
      </w:r>
    </w:p>
    <w:tbl>
      <w:tblPr>
        <w:tblStyle w:val="Table"/>
        <w:tblW w:type="pct" w:w="5000"/>
        <w:tblLook w:firstRow="1" w:lastRow="0" w:firstColumn="0" w:lastColumn="0" w:noHBand="0" w:noVBand="0" w:val="0020"/>
        <w:jc w:val="start"/>
      </w:tblPr>
      <w:tblGrid>
        <w:gridCol w:w="2545"/>
        <w:gridCol w:w="5374"/>
      </w:tblGrid>
      <w:tr>
        <w:trPr>
          <w:tblHeader w:val="true"/>
        </w:trPr>
        <w:tc>
          <w:tcPr/>
          <w:p>
            <w:pPr>
              <w:pStyle w:val="Compact"/>
              <w:jc w:val="left"/>
            </w:pPr>
            <w:r>
              <w:t xml:space="preserve">Custody</w:t>
            </w:r>
          </w:p>
        </w:tc>
        <w:tc>
          <w:tcPr/>
          <w:p>
            <w:pPr>
              <w:pStyle w:val="Compact"/>
              <w:jc w:val="left"/>
            </w:pPr>
            <w:r>
              <w:t xml:space="preserve">CDG representation</w:t>
            </w:r>
          </w:p>
        </w:tc>
      </w:tr>
      <w:tr>
        <w:tc>
          <w:tcPr/>
          <w:p>
            <w:pPr>
              <w:pStyle w:val="Compact"/>
              <w:jc w:val="left"/>
            </w:pPr>
            <w:r>
              <w:t xml:space="preserve">Customer-managed cert on CDN</w:t>
            </w:r>
          </w:p>
        </w:tc>
        <w:tc>
          <w:tcPr/>
          <w:p>
            <w:pPr>
              <w:pStyle w:val="Compact"/>
              <w:jc w:val="left"/>
            </w:pPr>
            <w:r>
              <w:t xml:space="preserve">Customer cert node +</w:t>
            </w:r>
            <w:r>
              <w:t xml:space="preserve"> </w:t>
            </w:r>
            <w:r>
              <w:rPr>
                <w:rStyle w:val="VerbatimChar"/>
              </w:rPr>
              <w:t xml:space="preserve">terminates</w:t>
            </w:r>
            <w:r>
              <w:t xml:space="preserve"> </w:t>
            </w:r>
            <w:r>
              <w:t xml:space="preserve">at CDN</w:t>
            </w:r>
          </w:p>
        </w:tc>
      </w:tr>
      <w:tr>
        <w:tc>
          <w:tcPr/>
          <w:p>
            <w:pPr>
              <w:pStyle w:val="Compact"/>
              <w:jc w:val="left"/>
            </w:pPr>
            <w:r>
              <w:t xml:space="preserve">Provider-managed cert</w:t>
            </w:r>
          </w:p>
        </w:tc>
        <w:tc>
          <w:tcPr/>
          <w:p>
            <w:pPr>
              <w:pStyle w:val="Compact"/>
              <w:jc w:val="left"/>
            </w:pPr>
            <w:r>
              <w:t xml:space="preserve">Provider attestation node; customer</w:t>
            </w:r>
            <w:r>
              <w:t xml:space="preserve"> </w:t>
            </w:r>
            <w:r>
              <w:rPr>
                <w:rStyle w:val="VerbatimChar"/>
              </w:rPr>
              <w:t xml:space="preserve">trusts</w:t>
            </w:r>
            <w:r>
              <w:t xml:space="preserve"> </w:t>
            </w:r>
            <w:r>
              <w:t xml:space="preserve">provider</w:t>
            </w:r>
          </w:p>
        </w:tc>
      </w:tr>
      <w:tr>
        <w:tc>
          <w:tcPr/>
          <w:p>
            <w:pPr>
              <w:pStyle w:val="Compact"/>
              <w:jc w:val="left"/>
            </w:pPr>
            <w:r>
              <w:t xml:space="preserve">Keyless SSL</w:t>
            </w:r>
          </w:p>
        </w:tc>
        <w:tc>
          <w:tcPr/>
          <w:p>
            <w:pPr>
              <w:pStyle w:val="Compact"/>
              <w:jc w:val="left"/>
            </w:pPr>
            <w:r>
              <w:t xml:space="preserve">Customer HSM</w:t>
            </w:r>
            <w:r>
              <w:t xml:space="preserve"> </w:t>
            </w:r>
            <w:r>
              <w:rPr>
                <w:rStyle w:val="VerbatimChar"/>
              </w:rPr>
              <w:t xml:space="preserve">signs</w:t>
            </w:r>
            <w:r>
              <w:t xml:space="preserve"> </w:t>
            </w:r>
            <w:r>
              <w:t xml:space="preserve">edge handshake — HSM node blocking</w:t>
            </w:r>
          </w:p>
        </w:tc>
      </w:tr>
    </w:tbl>
    <w:p>
      <w:pPr>
        <w:pStyle w:val="BodyText"/>
      </w:pPr>
      <w:r>
        <w:t xml:space="preserve">GlobalSync multi-CDN strategy required</w:t>
      </w:r>
      <w:r>
        <w:t xml:space="preserve"> </w:t>
      </w:r>
      <w:r>
        <w:rPr>
          <w:bCs/>
          <w:b/>
        </w:rPr>
        <w:t xml:space="preserve">per-provider subgraphs</w:t>
      </w:r>
      <w:r>
        <w:t xml:space="preserve"> </w:t>
      </w:r>
      <w:r>
        <w:t xml:space="preserve">— migrating one CDN did not migrate others. CBOM</w:t>
      </w:r>
      <w:r>
        <w:t xml:space="preserve"> </w:t>
      </w:r>
      <w:r>
        <w:rPr>
          <w:rStyle w:val="VerbatimChar"/>
        </w:rPr>
        <w:t xml:space="preserve">cdn_provider</w:t>
      </w:r>
      <w:r>
        <w:t xml:space="preserve"> </w:t>
      </w:r>
      <w:r>
        <w:t xml:space="preserve">attribute filtered CDG views per provider negotiation.</w:t>
      </w:r>
    </w:p>
    <w:p>
      <w:r>
        <w:pict>
          <v:rect style="width:0;height:1.5pt" o:hralign="center" o:hrstd="t" o:hr="t"/>
        </w:pict>
      </w:r>
    </w:p>
    <w:bookmarkEnd w:id="75"/>
    <w:bookmarkStart w:id="76" w:name="Xfe33d942821b74ab3faab82e00d4322ab149164"/>
    <w:p>
      <w:pPr>
        <w:pStyle w:val="Heading2"/>
      </w:pPr>
      <w:r>
        <w:t xml:space="preserve">8.43 CDG for Disaster Recovery and Standby Sites</w:t>
      </w:r>
    </w:p>
    <w:p>
      <w:pPr>
        <w:pStyle w:val="FirstParagraph"/>
      </w:pPr>
      <w:r>
        <w:t xml:space="preserve">DR sites duplicate trust relationships — CDG must model</w:t>
      </w:r>
      <w:r>
        <w:t xml:space="preserve"> </w:t>
      </w:r>
      <w:r>
        <w:rPr>
          <w:bCs/>
          <w:b/>
        </w:rPr>
        <w:t xml:space="preserve">active vs standby</w:t>
      </w:r>
      <w:r>
        <w:t xml:space="preserve"> </w:t>
      </w:r>
      <w:r>
        <w:t xml:space="preserve">or risk half-migrated failover:</w:t>
      </w:r>
    </w:p>
    <w:p>
      <w:pPr>
        <w:pStyle w:val="BodyText"/>
      </w:pPr>
      <w:r>
        <w:t xml:space="preserve">Meridian active/standby PKI: standby issuing CA inherited same root — single root blocking node covered both sites.</w:t>
      </w:r>
      <w:r>
        <w:t xml:space="preserve"> </w:t>
      </w:r>
      <w:r>
        <w:rPr>
          <w:bCs/>
          <w:b/>
        </w:rPr>
        <w:t xml:space="preserve">Split-brain risk:</w:t>
      </w:r>
      <w:r>
        <w:t xml:space="preserve"> </w:t>
      </w:r>
      <w:r>
        <w:t xml:space="preserve">migrating active site before standby left failover on classical-only path.</w:t>
      </w:r>
    </w:p>
    <w:p>
      <w:pPr>
        <w:pStyle w:val="BodyText"/>
      </w:pPr>
      <w:r>
        <w:t xml:space="preserve">CDG edge attribute</w:t>
      </w:r>
      <w:r>
        <w:t xml:space="preserve"> </w:t>
      </w:r>
      <w:r>
        <w:rPr>
          <w:rStyle w:val="VerbatimChar"/>
        </w:rPr>
        <w:t xml:space="preserve">dr_role: active|standby</w:t>
      </w:r>
      <w:r>
        <w:t xml:space="preserve"> </w:t>
      </w:r>
      <w:r>
        <w:t xml:space="preserve">enabled wave planners to gate migration on</w:t>
      </w:r>
      <w:r>
        <w:t xml:space="preserve"> </w:t>
      </w:r>
      <w:r>
        <w:rPr>
          <w:bCs/>
          <w:b/>
        </w:rPr>
        <w:t xml:space="preserve">pair completion</w:t>
      </w:r>
      <w:r>
        <w:t xml:space="preserve"> </w:t>
      </w:r>
      <w:r>
        <w:t xml:space="preserve">— sequencing rule extension for Chapter 9.</w:t>
      </w:r>
    </w:p>
    <w:p>
      <w:r>
        <w:pict>
          <v:rect style="width:0;height:1.5pt" o:hralign="center" o:hrstd="t" o:hr="t"/>
        </w:pict>
      </w:r>
    </w:p>
    <w:bookmarkEnd w:id="76"/>
    <w:bookmarkStart w:id="77" w:name="apex-nss-cross-domain-guard-edge-cases"/>
    <w:p>
      <w:pPr>
        <w:pStyle w:val="Heading2"/>
      </w:pPr>
      <w:r>
        <w:t xml:space="preserve">8.44 Apex NSS: Cross-Domain Guard Edge Cases</w:t>
      </w:r>
    </w:p>
    <w:p>
      <w:pPr>
        <w:pStyle w:val="FirstParagraph"/>
      </w:pPr>
      <w:r>
        <w:t xml:space="preserve">Cross-domain guards implement</w:t>
      </w:r>
      <w:r>
        <w:t xml:space="preserve"> </w:t>
      </w:r>
      <w:r>
        <w:rPr>
          <w:bCs/>
          <w:b/>
        </w:rPr>
        <w:t xml:space="preserve">cryptographic policy enforcement</w:t>
      </w:r>
      <w:r>
        <w:t xml:space="preserve"> </w:t>
      </w:r>
      <w:r>
        <w:t xml:space="preserve">between classification levels:</w:t>
      </w:r>
    </w:p>
    <w:p>
      <w:pPr>
        <w:pStyle w:val="SourceCode"/>
      </w:pPr>
      <w:r>
        <w:rPr>
          <w:rStyle w:val="VerbatimChar"/>
        </w:rPr>
        <w:t xml:space="preserve">[nss-enclave] --terminates--&gt; [guard-appliance] --terminates--&gt; [corporate-it]</w:t>
      </w:r>
    </w:p>
    <w:p>
      <w:pPr>
        <w:pStyle w:val="FirstParagraph"/>
      </w:pPr>
      <w:r>
        <w:t xml:space="preserve">Guard appliances use</w:t>
      </w:r>
      <w:r>
        <w:t xml:space="preserve"> </w:t>
      </w:r>
      <w:r>
        <w:rPr>
          <w:bCs/>
          <w:b/>
        </w:rPr>
        <w:t xml:space="preserve">approved crypto modules</w:t>
      </w:r>
      <w:r>
        <w:t xml:space="preserve"> </w:t>
      </w:r>
      <w:r>
        <w:t xml:space="preserve">— changing algorithms requires accreditation package update before configuration change. Apex CDG nodes for guards carried</w:t>
      </w:r>
      <w:r>
        <w:t xml:space="preserve"> </w:t>
      </w:r>
      <w:r>
        <w:rPr>
          <w:rStyle w:val="VerbatimChar"/>
        </w:rPr>
        <w:t xml:space="preserve">accreditation_id</w:t>
      </w:r>
      <w:r>
        <w:t xml:space="preserve"> </w:t>
      </w:r>
      <w:r>
        <w:t xml:space="preserve">— Wave 0 NSS items included accreditation timeline, not only engineering effort.</w:t>
      </w:r>
    </w:p>
    <w:p>
      <w:pPr>
        <w:pStyle w:val="BodyText"/>
      </w:pPr>
      <w:r>
        <w:t xml:space="preserve">Priya rejected</w:t>
      </w:r>
      <w:r>
        <w:t xml:space="preserve"> </w:t>
      </w:r>
      <w:r>
        <w:t xml:space="preserve">“</w:t>
      </w:r>
      <w:r>
        <w:t xml:space="preserve">migrate corporate first</w:t>
      </w:r>
      <w:r>
        <w:t xml:space="preserve">”</w:t>
      </w:r>
      <w:r>
        <w:t xml:space="preserve"> </w:t>
      </w:r>
      <w:r>
        <w:t xml:space="preserve">proposals when CDG showed active guard paths from NSS to corporate analytics — corporate TLS upgrade without guard update broke classified data export workflows.</w:t>
      </w:r>
    </w:p>
    <w:p>
      <w:r>
        <w:pict>
          <v:rect style="width:0;height:1.5pt" o:hralign="center" o:hrstd="t" o:hr="t"/>
        </w:pict>
      </w:r>
    </w:p>
    <w:bookmarkEnd w:id="77"/>
    <w:bookmarkStart w:id="78" w:name="cdg-maintenance-operating-rhythm"/>
    <w:p>
      <w:pPr>
        <w:pStyle w:val="Heading2"/>
      </w:pPr>
      <w:r>
        <w:t xml:space="preserve">8.45 CDG Maintenance Operating Rhythm</w:t>
      </w:r>
    </w:p>
    <w:tbl>
      <w:tblPr>
        <w:tblStyle w:val="Table"/>
        <w:tblW w:type="pct" w:w="5000"/>
        <w:tblLook w:firstRow="1" w:lastRow="0" w:firstColumn="0" w:lastColumn="0" w:noHBand="0" w:noVBand="0" w:val="0020"/>
        <w:jc w:val="start"/>
      </w:tblPr>
      <w:tblGrid>
        <w:gridCol w:w="2741"/>
        <w:gridCol w:w="3046"/>
        <w:gridCol w:w="2132"/>
      </w:tblGrid>
      <w:tr>
        <w:trPr>
          <w:tblHeader w:val="true"/>
        </w:trPr>
        <w:tc>
          <w:tcPr/>
          <w:p>
            <w:pPr>
              <w:pStyle w:val="Compact"/>
              <w:jc w:val="left"/>
            </w:pPr>
            <w:r>
              <w:t xml:space="preserve">Cadence</w:t>
            </w:r>
          </w:p>
        </w:tc>
        <w:tc>
          <w:tcPr/>
          <w:p>
            <w:pPr>
              <w:pStyle w:val="Compact"/>
              <w:jc w:val="left"/>
            </w:pPr>
            <w:r>
              <w:t xml:space="preserve">Activity</w:t>
            </w:r>
          </w:p>
        </w:tc>
        <w:tc>
          <w:tcPr/>
          <w:p>
            <w:pPr>
              <w:pStyle w:val="Compact"/>
              <w:jc w:val="left"/>
            </w:pPr>
            <w:r>
              <w:t xml:space="preserve">Owner</w:t>
            </w:r>
          </w:p>
        </w:tc>
      </w:tr>
      <w:tr>
        <w:tc>
          <w:tcPr/>
          <w:p>
            <w:pPr>
              <w:pStyle w:val="Compact"/>
              <w:jc w:val="left"/>
            </w:pPr>
            <w:r>
              <w:t xml:space="preserve">Weekly</w:t>
            </w:r>
          </w:p>
        </w:tc>
        <w:tc>
          <w:tcPr/>
          <w:p>
            <w:pPr>
              <w:pStyle w:val="Compact"/>
              <w:jc w:val="left"/>
            </w:pPr>
            <w:r>
              <w:t xml:space="preserve">Automated cert/CMDB sync edge update</w:t>
            </w:r>
          </w:p>
        </w:tc>
        <w:tc>
          <w:tcPr/>
          <w:p>
            <w:pPr>
              <w:pStyle w:val="Compact"/>
              <w:jc w:val="left"/>
            </w:pPr>
            <w:r>
              <w:t xml:space="preserve">Platform engineering</w:t>
            </w:r>
          </w:p>
        </w:tc>
      </w:tr>
      <w:tr>
        <w:tc>
          <w:tcPr/>
          <w:p>
            <w:pPr>
              <w:pStyle w:val="Compact"/>
              <w:jc w:val="left"/>
            </w:pPr>
            <w:r>
              <w:t xml:space="preserve">Monthly</w:t>
            </w:r>
          </w:p>
        </w:tc>
        <w:tc>
          <w:tcPr/>
          <w:p>
            <w:pPr>
              <w:pStyle w:val="Compact"/>
              <w:jc w:val="left"/>
            </w:pPr>
            <w:r>
              <w:t xml:space="preserve">Blocking node fan-in review</w:t>
            </w:r>
          </w:p>
        </w:tc>
        <w:tc>
          <w:tcPr/>
          <w:p>
            <w:pPr>
              <w:pStyle w:val="Compact"/>
              <w:jc w:val="left"/>
            </w:pPr>
            <w:r>
              <w:t xml:space="preserve">Programme office</w:t>
            </w:r>
          </w:p>
        </w:tc>
      </w:tr>
      <w:tr>
        <w:tc>
          <w:tcPr/>
          <w:p>
            <w:pPr>
              <w:pStyle w:val="Compact"/>
              <w:jc w:val="left"/>
            </w:pPr>
            <w:r>
              <w:t xml:space="preserve">Quarterly</w:t>
            </w:r>
          </w:p>
        </w:tc>
        <w:tc>
          <w:tcPr/>
          <w:p>
            <w:pPr>
              <w:pStyle w:val="Compact"/>
              <w:jc w:val="left"/>
            </w:pPr>
            <w:r>
              <w:t xml:space="preserve">Full subgraph validation sample</w:t>
            </w:r>
          </w:p>
        </w:tc>
        <w:tc>
          <w:tcPr/>
          <w:p>
            <w:pPr>
              <w:pStyle w:val="Compact"/>
              <w:jc w:val="left"/>
            </w:pPr>
            <w:r>
              <w:t xml:space="preserve">Enterprise architecture</w:t>
            </w:r>
          </w:p>
        </w:tc>
      </w:tr>
      <w:tr>
        <w:tc>
          <w:tcPr/>
          <w:p>
            <w:pPr>
              <w:pStyle w:val="Compact"/>
              <w:jc w:val="left"/>
            </w:pPr>
            <w:r>
              <w:t xml:space="preserve">Per acquisition</w:t>
            </w:r>
          </w:p>
        </w:tc>
        <w:tc>
          <w:tcPr/>
          <w:p>
            <w:pPr>
              <w:pStyle w:val="Compact"/>
              <w:jc w:val="left"/>
            </w:pPr>
            <w:r>
              <w:t xml:space="preserve">Merge and deduplicate subgraph</w:t>
            </w:r>
          </w:p>
        </w:tc>
        <w:tc>
          <w:tcPr/>
          <w:p>
            <w:pPr>
              <w:pStyle w:val="Compact"/>
              <w:jc w:val="left"/>
            </w:pPr>
            <w:r>
              <w:t xml:space="preserve">M&amp;A integration</w:t>
            </w:r>
          </w:p>
        </w:tc>
      </w:tr>
    </w:tbl>
    <w:p>
      <w:pPr>
        <w:pStyle w:val="BodyText"/>
      </w:pPr>
      <w:r>
        <w:t xml:space="preserve">Meridian CDG health dashboard shared with CBOM dashboard (Chapter 7 §7.14) — single programme office view.</w:t>
      </w:r>
    </w:p>
    <w:p>
      <w:r>
        <w:pict>
          <v:rect style="width:0;height:1.5pt" o:hralign="center" o:hrstd="t" o:hr="t"/>
        </w:pict>
      </w:r>
    </w:p>
    <w:bookmarkEnd w:id="78"/>
    <w:bookmarkStart w:id="79" w:name="common-cdg-interview-questions"/>
    <w:p>
      <w:pPr>
        <w:pStyle w:val="Heading2"/>
      </w:pPr>
      <w:r>
        <w:t xml:space="preserve">8.46 Common CDG Interview Questions</w:t>
      </w:r>
    </w:p>
    <w:p>
      <w:pPr>
        <w:pStyle w:val="FirstParagraph"/>
      </w:pPr>
      <w:r>
        <w:t xml:space="preserve">Facilitators use standard prompts to elicit edges:</w:t>
      </w:r>
    </w:p>
    <w:p>
      <w:pPr>
        <w:numPr>
          <w:ilvl w:val="0"/>
          <w:numId w:val="1018"/>
        </w:numPr>
        <w:pStyle w:val="Compact"/>
      </w:pPr>
      <w:r>
        <w:rPr>
          <w:iCs/>
          <w:i/>
        </w:rPr>
        <w:t xml:space="preserve">What trust stores does this service use — JVM, OS, custom PEM bundle?</w:t>
      </w:r>
    </w:p>
    <w:p>
      <w:pPr>
        <w:numPr>
          <w:ilvl w:val="0"/>
          <w:numId w:val="1018"/>
        </w:numPr>
        <w:pStyle w:val="Compact"/>
      </w:pPr>
      <w:r>
        <w:rPr>
          <w:iCs/>
          <w:i/>
        </w:rPr>
        <w:t xml:space="preserve">Who signs your firmware/binaries — which CA, which HSM partition?</w:t>
      </w:r>
    </w:p>
    <w:p>
      <w:pPr>
        <w:numPr>
          <w:ilvl w:val="0"/>
          <w:numId w:val="1018"/>
        </w:numPr>
        <w:pStyle w:val="Compact"/>
      </w:pPr>
      <w:r>
        <w:rPr>
          <w:iCs/>
          <w:i/>
        </w:rPr>
        <w:t xml:space="preserve">What client certificates do partners present — common policy or per-partner?</w:t>
      </w:r>
    </w:p>
    <w:p>
      <w:pPr>
        <w:numPr>
          <w:ilvl w:val="0"/>
          <w:numId w:val="1018"/>
        </w:numPr>
        <w:pStyle w:val="Compact"/>
      </w:pPr>
      <w:r>
        <w:rPr>
          <w:iCs/>
          <w:i/>
        </w:rPr>
        <w:t xml:space="preserve">What breaks if we rotate issuer X tomorrow?</w:t>
      </w:r>
    </w:p>
    <w:p>
      <w:pPr>
        <w:numPr>
          <w:ilvl w:val="0"/>
          <w:numId w:val="1018"/>
        </w:numPr>
        <w:pStyle w:val="Compact"/>
      </w:pPr>
      <w:r>
        <w:rPr>
          <w:iCs/>
          <w:i/>
        </w:rPr>
        <w:t xml:space="preserve">Does DR site use same roots — any standby-only trust?</w:t>
      </w:r>
    </w:p>
    <w:p>
      <w:pPr>
        <w:pStyle w:val="FirstParagraph"/>
      </w:pPr>
      <w:r>
        <w:t xml:space="preserve">Answers map to edge types — not free-text wiki storage.</w:t>
      </w:r>
    </w:p>
    <w:p>
      <w:r>
        <w:pict>
          <v:rect style="width:0;height:1.5pt" o:hralign="center" o:hrstd="t" o:hr="t"/>
        </w:pict>
      </w:r>
    </w:p>
    <w:bookmarkEnd w:id="79"/>
    <w:bookmarkStart w:id="80" w:name="identity-provider-and-sso-federation-cdg"/>
    <w:p>
      <w:pPr>
        <w:pStyle w:val="Heading2"/>
      </w:pPr>
      <w:r>
        <w:t xml:space="preserve">8.47 Identity Provider and SSO Federation CDG</w:t>
      </w:r>
    </w:p>
    <w:p>
      <w:pPr>
        <w:pStyle w:val="FirstParagraph"/>
      </w:pPr>
      <w:r>
        <w:t xml:space="preserve">Enterprise SSO and federation introduce</w:t>
      </w:r>
      <w:r>
        <w:t xml:space="preserve"> </w:t>
      </w:r>
      <w:r>
        <w:rPr>
          <w:bCs/>
          <w:b/>
        </w:rPr>
        <w:t xml:space="preserve">identity cryptography</w:t>
      </w:r>
      <w:r>
        <w:t xml:space="preserve"> </w:t>
      </w:r>
      <w:r>
        <w:t xml:space="preserve">often absent from TLS scans:</w:t>
      </w:r>
    </w:p>
    <w:tbl>
      <w:tblPr>
        <w:tblStyle w:val="Table"/>
        <w:tblW w:type="pct" w:w="5000"/>
        <w:tblLook w:firstRow="1" w:lastRow="0" w:firstColumn="0" w:lastColumn="0" w:noHBand="0" w:noVBand="0" w:val="0020"/>
        <w:jc w:val="start"/>
      </w:tblPr>
      <w:tblGrid>
        <w:gridCol w:w="2354"/>
        <w:gridCol w:w="2354"/>
        <w:gridCol w:w="3210"/>
      </w:tblGrid>
      <w:tr>
        <w:trPr>
          <w:tblHeader w:val="true"/>
        </w:trPr>
        <w:tc>
          <w:tcPr/>
          <w:p>
            <w:pPr>
              <w:pStyle w:val="Compact"/>
              <w:jc w:val="left"/>
            </w:pPr>
            <w:r>
              <w:t xml:space="preserve">Component</w:t>
            </w:r>
          </w:p>
        </w:tc>
        <w:tc>
          <w:tcPr/>
          <w:p>
            <w:pPr>
              <w:pStyle w:val="Compact"/>
              <w:jc w:val="left"/>
            </w:pPr>
            <w:r>
              <w:t xml:space="preserve">CDG nodes</w:t>
            </w:r>
          </w:p>
        </w:tc>
        <w:tc>
          <w:tcPr/>
          <w:p>
            <w:pPr>
              <w:pStyle w:val="Compact"/>
              <w:jc w:val="left"/>
            </w:pPr>
            <w:r>
              <w:t xml:space="preserve">Typical edges</w:t>
            </w:r>
          </w:p>
        </w:tc>
      </w:tr>
      <w:tr>
        <w:tc>
          <w:tcPr/>
          <w:p>
            <w:pPr>
              <w:pStyle w:val="Compact"/>
              <w:jc w:val="left"/>
            </w:pPr>
            <w:r>
              <w:t xml:space="preserve">IdP signing key</w:t>
            </w:r>
          </w:p>
        </w:tc>
        <w:tc>
          <w:tcPr/>
          <w:p>
            <w:pPr>
              <w:pStyle w:val="Compact"/>
              <w:jc w:val="left"/>
            </w:pPr>
            <w:r>
              <w:rPr>
                <w:rStyle w:val="VerbatimChar"/>
              </w:rPr>
              <w:t xml:space="preserve">saml-signing-key</w:t>
            </w:r>
            <w:r>
              <w:t xml:space="preserve">,</w:t>
            </w:r>
            <w:r>
              <w:t xml:space="preserve"> </w:t>
            </w:r>
            <w:r>
              <w:rPr>
                <w:rStyle w:val="VerbatimChar"/>
              </w:rPr>
              <w:t xml:space="preserve">oidc-jwks</w:t>
            </w:r>
          </w:p>
        </w:tc>
        <w:tc>
          <w:tcPr/>
          <w:p>
            <w:pPr>
              <w:pStyle w:val="Compact"/>
              <w:jc w:val="left"/>
            </w:pPr>
            <w:r>
              <w:rPr>
                <w:rStyle w:val="VerbatimChar"/>
              </w:rPr>
              <w:t xml:space="preserve">signs</w:t>
            </w:r>
            <w:r>
              <w:t xml:space="preserve"> </w:t>
            </w:r>
            <w:r>
              <w:t xml:space="preserve">→ assertions/tokens</w:t>
            </w:r>
          </w:p>
        </w:tc>
      </w:tr>
      <w:tr>
        <w:tc>
          <w:tcPr/>
          <w:p>
            <w:pPr>
              <w:pStyle w:val="Compact"/>
              <w:jc w:val="left"/>
            </w:pPr>
            <w:r>
              <w:t xml:space="preserve">SP trust</w:t>
            </w:r>
          </w:p>
        </w:tc>
        <w:tc>
          <w:tcPr/>
          <w:p>
            <w:pPr>
              <w:pStyle w:val="Compact"/>
              <w:jc w:val="left"/>
            </w:pPr>
            <w:r>
              <w:t xml:space="preserve">Service provider</w:t>
            </w:r>
          </w:p>
        </w:tc>
        <w:tc>
          <w:tcPr/>
          <w:p>
            <w:pPr>
              <w:pStyle w:val="Compact"/>
              <w:jc w:val="left"/>
            </w:pPr>
            <w:r>
              <w:rPr>
                <w:rStyle w:val="VerbatimChar"/>
              </w:rPr>
              <w:t xml:space="preserve">trusts</w:t>
            </w:r>
            <w:r>
              <w:t xml:space="preserve"> </w:t>
            </w:r>
            <w:r>
              <w:t xml:space="preserve">→ IdP key</w:t>
            </w:r>
          </w:p>
        </w:tc>
      </w:tr>
      <w:tr>
        <w:tc>
          <w:tcPr/>
          <w:p>
            <w:pPr>
              <w:pStyle w:val="Compact"/>
              <w:jc w:val="left"/>
            </w:pPr>
            <w:r>
              <w:t xml:space="preserve">Federation hub</w:t>
            </w:r>
          </w:p>
        </w:tc>
        <w:tc>
          <w:tcPr/>
          <w:p>
            <w:pPr>
              <w:pStyle w:val="Compact"/>
              <w:jc w:val="left"/>
            </w:pPr>
            <w:r>
              <w:t xml:space="preserve">Partner IdP bridge</w:t>
            </w:r>
          </w:p>
        </w:tc>
        <w:tc>
          <w:tcPr/>
          <w:p>
            <w:pPr>
              <w:pStyle w:val="Compact"/>
              <w:jc w:val="left"/>
            </w:pPr>
            <w:r>
              <w:rPr>
                <w:rStyle w:val="VerbatimChar"/>
              </w:rPr>
              <w:t xml:space="preserve">trusts</w:t>
            </w:r>
            <w:r>
              <w:t xml:space="preserve"> </w:t>
            </w:r>
            <w:r>
              <w:t xml:space="preserve">external IdP anchor</w:t>
            </w:r>
          </w:p>
        </w:tc>
      </w:tr>
    </w:tbl>
    <w:p>
      <w:pPr>
        <w:pStyle w:val="BodyText"/>
      </w:pPr>
      <w:r>
        <w:t xml:space="preserve">Meridian workforce SSO migration to PQC-capable signing keys required</w:t>
      </w:r>
      <w:r>
        <w:t xml:space="preserve"> </w:t>
      </w:r>
      <w:r>
        <w:rPr>
          <w:bCs/>
          <w:b/>
        </w:rPr>
        <w:t xml:space="preserve">IdP key rotation</w:t>
      </w:r>
      <w:r>
        <w:t xml:space="preserve"> </w:t>
      </w:r>
      <w:r>
        <w:t xml:space="preserve">before 400 relying party applications updated — CDG showed IdP node fan-in 400, blocking ranking #4 after HSM and card scheme.</w:t>
      </w:r>
    </w:p>
    <w:p>
      <w:pPr>
        <w:pStyle w:val="BodyText"/>
      </w:pPr>
      <w:r>
        <w:t xml:space="preserve">GlobalSync</w:t>
      </w:r>
      <w:r>
        <w:t xml:space="preserve"> </w:t>
      </w:r>
      <w:r>
        <w:rPr>
          <w:bCs/>
          <w:b/>
        </w:rPr>
        <w:t xml:space="preserve">tenant IdP isolation</w:t>
      </w:r>
      <w:r>
        <w:t xml:space="preserve"> </w:t>
      </w:r>
      <w:r>
        <w:t xml:space="preserve">— separate subgraph per enterprise tenant on multi-tenant platform — prevented one tenant’s federation migration from blocking others.</w:t>
      </w:r>
    </w:p>
    <w:p>
      <w:r>
        <w:pict>
          <v:rect style="width:0;height:1.5pt" o:hralign="center" o:hrstd="t" o:hr="t"/>
        </w:pict>
      </w:r>
    </w:p>
    <w:bookmarkEnd w:id="80"/>
    <w:bookmarkStart w:id="81" w:name="email-document-signing-and-smime-chains"/>
    <w:p>
      <w:pPr>
        <w:pStyle w:val="Heading2"/>
      </w:pPr>
      <w:r>
        <w:t xml:space="preserve">8.48 Email, Document Signing, and S/MIME Chains</w:t>
      </w:r>
    </w:p>
    <w:p>
      <w:pPr>
        <w:pStyle w:val="FirstParagraph"/>
      </w:pPr>
      <w:r>
        <w:t xml:space="preserve">S/MIME and document signing create long-lived</w:t>
      </w:r>
      <w:r>
        <w:t xml:space="preserve"> </w:t>
      </w:r>
      <w:r>
        <w:rPr>
          <w:bCs/>
          <w:b/>
        </w:rPr>
        <w:t xml:space="preserve">user certificates</w:t>
      </w:r>
      <w:r>
        <w:t xml:space="preserve"> </w:t>
      </w:r>
      <w:r>
        <w:t xml:space="preserve">with archival verification needs:</w:t>
      </w:r>
    </w:p>
    <w:p>
      <w:pPr>
        <w:pStyle w:val="SourceCode"/>
      </w:pPr>
      <w:r>
        <w:rPr>
          <w:rStyle w:val="VerbatimChar"/>
        </w:rPr>
        <w:t xml:space="preserve">[enterprise-email-ca] --signs--&gt; [user-smime-cert] --signs--&gt; [archived-email]</w:t>
      </w:r>
    </w:p>
    <w:p>
      <w:pPr>
        <w:pStyle w:val="FirstParagraph"/>
      </w:pPr>
      <w:r>
        <w:t xml:space="preserve">Meridian legal hold archives required verifying 10-year-old S/MIME signatures — CDG</w:t>
      </w:r>
      <w:r>
        <w:t xml:space="preserve"> </w:t>
      </w:r>
      <w:r>
        <w:rPr>
          <w:rStyle w:val="VerbatimChar"/>
        </w:rPr>
        <w:t xml:space="preserve">verifies</w:t>
      </w:r>
      <w:r>
        <w:t xml:space="preserve"> </w:t>
      </w:r>
      <w:r>
        <w:t xml:space="preserve">edges from archive systems to retired CA nodes. Wave 2 PKI planning included</w:t>
      </w:r>
      <w:r>
        <w:t xml:space="preserve"> </w:t>
      </w:r>
      <w:r>
        <w:rPr>
          <w:bCs/>
          <w:b/>
        </w:rPr>
        <w:t xml:space="preserve">archival trust</w:t>
      </w:r>
      <w:r>
        <w:t xml:space="preserve"> </w:t>
      </w:r>
      <w:r>
        <w:t xml:space="preserve">— retired CA keys remain in CDG as</w:t>
      </w:r>
      <w:r>
        <w:t xml:space="preserve"> </w:t>
      </w:r>
      <w:r>
        <w:rPr>
          <w:rStyle w:val="VerbatimChar"/>
        </w:rPr>
        <w:t xml:space="preserve">status=retired-trust</w:t>
      </w:r>
      <w:r>
        <w:t xml:space="preserve"> </w:t>
      </w:r>
      <w:r>
        <w:t xml:space="preserve">until archive horizon expires.</w:t>
      </w:r>
    </w:p>
    <w:p>
      <w:r>
        <w:pict>
          <v:rect style="width:0;height:1.5pt" o:hralign="center" o:hrstd="t" o:hr="t"/>
        </w:pict>
      </w:r>
    </w:p>
    <w:bookmarkEnd w:id="81"/>
    <w:bookmarkStart w:id="82" w:name="X105755c1c4b3635e4fde3249a1bbd122cc565e3"/>
    <w:p>
      <w:pPr>
        <w:pStyle w:val="Heading2"/>
      </w:pPr>
      <w:r>
        <w:t xml:space="preserve">8.49 Wireless, IoT Radio, and Non-IP Cryptography</w:t>
      </w:r>
    </w:p>
    <w:p>
      <w:pPr>
        <w:pStyle w:val="FirstParagraph"/>
      </w:pPr>
      <w:r>
        <w:t xml:space="preserve">Northfield field sites used</w:t>
      </w:r>
      <w:r>
        <w:t xml:space="preserve"> </w:t>
      </w:r>
      <w:r>
        <w:rPr>
          <w:bCs/>
          <w:b/>
        </w:rPr>
        <w:t xml:space="preserve">proprietary radio encryption</w:t>
      </w:r>
      <w:r>
        <w:t xml:space="preserve"> </w:t>
      </w:r>
      <w:r>
        <w:t xml:space="preserve">between sensors and gateways — not IPsec, not TLS. OT extension schema field</w:t>
      </w:r>
      <w:r>
        <w:t xml:space="preserve"> </w:t>
      </w:r>
      <w:r>
        <w:rPr>
          <w:rStyle w:val="VerbatimChar"/>
        </w:rPr>
        <w:t xml:space="preserve">radio_crypto_profile</w:t>
      </w:r>
      <w:r>
        <w:t xml:space="preserve"> </w:t>
      </w:r>
      <w:r>
        <w:t xml:space="preserve">captured non-IP algorithms. CDG modelled radio layer as</w:t>
      </w:r>
      <w:r>
        <w:t xml:space="preserve"> </w:t>
      </w:r>
      <w:r>
        <w:rPr>
          <w:rStyle w:val="VerbatimChar"/>
        </w:rPr>
        <w:t xml:space="preserve">implements</w:t>
      </w:r>
      <w:r>
        <w:t xml:space="preserve"> </w:t>
      </w:r>
      <w:r>
        <w:t xml:space="preserve">edge from sensor node to profile node — separate from gateway TLS subgraph.</w:t>
      </w:r>
    </w:p>
    <w:p>
      <w:pPr>
        <w:pStyle w:val="BodyText"/>
      </w:pPr>
      <w:r>
        <w:rPr>
          <w:bCs/>
          <w:b/>
        </w:rPr>
        <w:t xml:space="preserve">Lesson:</w:t>
      </w:r>
      <w:r>
        <w:t xml:space="preserve"> </w:t>
      </w:r>
      <w:r>
        <w:t xml:space="preserve">CDG abstraction must accommodate</w:t>
      </w:r>
      <w:r>
        <w:t xml:space="preserve"> </w:t>
      </w:r>
      <w:r>
        <w:rPr>
          <w:bCs/>
          <w:b/>
        </w:rPr>
        <w:t xml:space="preserve">non-IP crypto</w:t>
      </w:r>
      <w:r>
        <w:t xml:space="preserve"> </w:t>
      </w:r>
      <w:r>
        <w:t xml:space="preserve">without forcing TLS metaphors — OT programmes stall when models assume enterprise PKI patterns.</w:t>
      </w:r>
    </w:p>
    <w:p>
      <w:r>
        <w:pict>
          <v:rect style="width:0;height:1.5pt" o:hralign="center" o:hrstd="t" o:hr="t"/>
        </w:pict>
      </w:r>
    </w:p>
    <w:bookmarkEnd w:id="82"/>
    <w:bookmarkStart w:id="83" w:name="Xa7ab95125e0d55e72c1bbc9412e2fd01a971cc0"/>
    <w:p>
      <w:pPr>
        <w:pStyle w:val="Heading2"/>
      </w:pPr>
      <w:r>
        <w:t xml:space="preserve">8.50 Blockchain and Ledger Dependencies (Meridian)</w:t>
      </w:r>
    </w:p>
    <w:p>
      <w:pPr>
        <w:pStyle w:val="FirstParagraph"/>
      </w:pPr>
      <w:r>
        <w:t xml:space="preserve">Distributed ledger pilot used</w:t>
      </w:r>
      <w:r>
        <w:t xml:space="preserve"> </w:t>
      </w:r>
      <w:r>
        <w:rPr>
          <w:bCs/>
          <w:b/>
        </w:rPr>
        <w:t xml:space="preserve">Hyperledger</w:t>
      </w:r>
      <w:r>
        <w:t xml:space="preserve"> </w:t>
      </w:r>
      <w:r>
        <w:t xml:space="preserve">with ECDSA node identities — 12 nodes, separate from payment HSM chain but sharing corporate root for some client integrations. CDG</w:t>
      </w:r>
      <w:r>
        <w:t xml:space="preserve"> </w:t>
      </w:r>
      <w:r>
        <w:rPr>
          <w:bCs/>
          <w:b/>
        </w:rPr>
        <w:t xml:space="preserve">namespace isolation</w:t>
      </w:r>
      <w:r>
        <w:t xml:space="preserve"> </w:t>
      </w:r>
      <w:r>
        <w:t xml:space="preserve">(</w:t>
      </w:r>
      <w:r>
        <w:rPr>
          <w:rStyle w:val="VerbatimChar"/>
        </w:rPr>
        <w:t xml:space="preserve">ledger-pilot</w:t>
      </w:r>
      <w:r>
        <w:t xml:space="preserve">) prevented pilot nodes from polluting production payment blocking metrics.</w:t>
      </w:r>
    </w:p>
    <w:p>
      <w:pPr>
        <w:pStyle w:val="BodyText"/>
      </w:pPr>
      <w:r>
        <w:t xml:space="preserve">Pilot MPI scored high on innovation agenda but low on production dependency — Wave 3, not Wave 0 — CDG fan-in only to pilot consumers.</w:t>
      </w:r>
    </w:p>
    <w:p>
      <w:r>
        <w:pict>
          <v:rect style="width:0;height:1.5pt" o:hralign="center" o:hrstd="t" o:hr="t"/>
        </w:pict>
      </w:r>
    </w:p>
    <w:bookmarkEnd w:id="83"/>
    <w:bookmarkStart w:id="84" w:name="quantifying-blocking-strength"/>
    <w:p>
      <w:pPr>
        <w:pStyle w:val="Heading2"/>
      </w:pPr>
      <w:r>
        <w:t xml:space="preserve">8.51 Quantifying Blocking Strength</w:t>
      </w:r>
    </w:p>
    <w:p>
      <w:pPr>
        <w:pStyle w:val="FirstParagraph"/>
      </w:pPr>
      <w:r>
        <w:t xml:space="preserve">Programme office may rank blocking nodes with</w:t>
      </w:r>
      <w:r>
        <w:t xml:space="preserve"> </w:t>
      </w:r>
      <w:r>
        <w:rPr>
          <w:bCs/>
          <w:b/>
        </w:rPr>
        <w:t xml:space="preserve">blocking strength score (BSS)</w:t>
      </w:r>
      <w:r>
        <w:t xml:space="preserve"> </w:t>
      </w:r>
      <w:r>
        <w:t xml:space="preserve">— illustrative composite:</w:t>
      </w:r>
    </w:p>
    <w:p>
      <w:pPr>
        <w:pStyle w:val="BodyText"/>
      </w:pPr>
      <w:r>
        <w:rPr>
          <w:bCs/>
          <w:b/>
        </w:rPr>
        <w:t xml:space="preserve">BSS = (fan_in × 0.4) + (A_score × 0.3) + (lead_time_months/24 × 0.3)</w:t>
      </w:r>
    </w:p>
    <w:p>
      <w:pPr>
        <w:pStyle w:val="BodyText"/>
      </w:pPr>
      <w:r>
        <w:t xml:space="preserve">Normalised to 1–5 scale for executive sorting. Partner mTLS policy: fan_in 203, A = 5, lead 14 months → high BSS. Manufacturing root: fan_in 340, A = 5, lead 12 months → highest BSS.</w:t>
      </w:r>
    </w:p>
    <w:p>
      <w:pPr>
        <w:pStyle w:val="BodyText"/>
      </w:pPr>
      <w:r>
        <w:t xml:space="preserve">BSS does not replace CDG — it</w:t>
      </w:r>
      <w:r>
        <w:t xml:space="preserve"> </w:t>
      </w:r>
      <w:r>
        <w:rPr>
          <w:bCs/>
          <w:b/>
        </w:rPr>
        <w:t xml:space="preserve">communicates</w:t>
      </w:r>
      <w:r>
        <w:t xml:space="preserve"> </w:t>
      </w:r>
      <w:r>
        <w:t xml:space="preserve">blocking severity to non-technical stakeholders. Meridian board slides showed BSS trend decreasing quarter-over-quarter as Wave 0 progressed.</w:t>
      </w:r>
    </w:p>
    <w:p>
      <w:r>
        <w:pict>
          <v:rect style="width:0;height:1.5pt" o:hralign="center" o:hrstd="t" o:hr="t"/>
        </w:pict>
      </w:r>
    </w:p>
    <w:bookmarkEnd w:id="84"/>
    <w:bookmarkStart w:id="85" w:name="cdg-tooling-comparison-non-endorsement"/>
    <w:p>
      <w:pPr>
        <w:pStyle w:val="Heading2"/>
      </w:pPr>
      <w:r>
        <w:t xml:space="preserve">8.52 CDG Tooling Comparison (Non-Endorsement)</w:t>
      </w:r>
    </w:p>
    <w:tbl>
      <w:tblPr>
        <w:tblStyle w:val="Table"/>
        <w:tblW w:type="pct" w:w="5000"/>
        <w:tblLook w:firstRow="1" w:lastRow="0" w:firstColumn="0" w:lastColumn="0" w:noHBand="0" w:noVBand="0" w:val="0020"/>
        <w:jc w:val="start"/>
      </w:tblPr>
      <w:tblGrid>
        <w:gridCol w:w="2400"/>
        <w:gridCol w:w="2640"/>
        <w:gridCol w:w="2880"/>
      </w:tblGrid>
      <w:tr>
        <w:trPr>
          <w:tblHeader w:val="true"/>
        </w:trPr>
        <w:tc>
          <w:tcPr/>
          <w:p>
            <w:pPr>
              <w:pStyle w:val="Compact"/>
              <w:jc w:val="left"/>
            </w:pPr>
            <w:r>
              <w:t xml:space="preserve">Approach</w:t>
            </w:r>
          </w:p>
        </w:tc>
        <w:tc>
          <w:tcPr/>
          <w:p>
            <w:pPr>
              <w:pStyle w:val="Compact"/>
              <w:jc w:val="left"/>
            </w:pPr>
            <w:r>
              <w:t xml:space="preserve">Strengths</w:t>
            </w:r>
          </w:p>
        </w:tc>
        <w:tc>
          <w:tcPr/>
          <w:p>
            <w:pPr>
              <w:pStyle w:val="Compact"/>
              <w:jc w:val="left"/>
            </w:pPr>
            <w:r>
              <w:t xml:space="preserve">Weaknesses</w:t>
            </w:r>
          </w:p>
        </w:tc>
      </w:tr>
      <w:tr>
        <w:tc>
          <w:tcPr/>
          <w:p>
            <w:pPr>
              <w:pStyle w:val="Compact"/>
              <w:jc w:val="left"/>
            </w:pPr>
            <w:r>
              <w:t xml:space="preserve">Graph database (Neo4j, Neptune)</w:t>
            </w:r>
          </w:p>
        </w:tc>
        <w:tc>
          <w:tcPr/>
          <w:p>
            <w:pPr>
              <w:pStyle w:val="Compact"/>
              <w:jc w:val="left"/>
            </w:pPr>
            <w:r>
              <w:t xml:space="preserve">Query flexibility, path algorithms</w:t>
            </w:r>
          </w:p>
        </w:tc>
        <w:tc>
          <w:tcPr/>
          <w:p>
            <w:pPr>
              <w:pStyle w:val="Compact"/>
              <w:jc w:val="left"/>
            </w:pPr>
            <w:r>
              <w:t xml:space="preserve">Licence, skill curve</w:t>
            </w:r>
          </w:p>
        </w:tc>
      </w:tr>
      <w:tr>
        <w:tc>
          <w:tcPr/>
          <w:p>
            <w:pPr>
              <w:pStyle w:val="Compact"/>
              <w:jc w:val="left"/>
            </w:pPr>
            <w:r>
              <w:t xml:space="preserve">Relational nodes/edges tables</w:t>
            </w:r>
          </w:p>
        </w:tc>
        <w:tc>
          <w:tcPr/>
          <w:p>
            <w:pPr>
              <w:pStyle w:val="Compact"/>
              <w:jc w:val="left"/>
            </w:pPr>
            <w:r>
              <w:t xml:space="preserve">Simple ops, SQL reporting</w:t>
            </w:r>
          </w:p>
        </w:tc>
        <w:tc>
          <w:tcPr/>
          <w:p>
            <w:pPr>
              <w:pStyle w:val="Compact"/>
              <w:jc w:val="left"/>
            </w:pPr>
            <w:r>
              <w:t xml:space="preserve">Path queries harder</w:t>
            </w:r>
          </w:p>
        </w:tc>
      </w:tr>
      <w:tr>
        <w:tc>
          <w:tcPr/>
          <w:p>
            <w:pPr>
              <w:pStyle w:val="Compact"/>
              <w:jc w:val="left"/>
            </w:pPr>
            <w:r>
              <w:t xml:space="preserve">JSON-LD in object store</w:t>
            </w:r>
          </w:p>
        </w:tc>
        <w:tc>
          <w:tcPr/>
          <w:p>
            <w:pPr>
              <w:pStyle w:val="Compact"/>
              <w:jc w:val="left"/>
            </w:pPr>
            <w:r>
              <w:t xml:space="preserve">Interop, linked data</w:t>
            </w:r>
          </w:p>
        </w:tc>
        <w:tc>
          <w:tcPr/>
          <w:p>
            <w:pPr>
              <w:pStyle w:val="Compact"/>
              <w:jc w:val="left"/>
            </w:pPr>
            <w:r>
              <w:t xml:space="preserve">Query tooling immature</w:t>
            </w:r>
          </w:p>
        </w:tc>
      </w:tr>
      <w:tr>
        <w:tc>
          <w:tcPr/>
          <w:p>
            <w:pPr>
              <w:pStyle w:val="Compact"/>
              <w:jc w:val="left"/>
            </w:pPr>
            <w:r>
              <w:t xml:space="preserve">Architecture tool (draw.io export)</w:t>
            </w:r>
          </w:p>
        </w:tc>
        <w:tc>
          <w:tcPr/>
          <w:p>
            <w:pPr>
              <w:pStyle w:val="Compact"/>
              <w:jc w:val="left"/>
            </w:pPr>
            <w:r>
              <w:t xml:space="preserve">Workshop friendly</w:t>
            </w:r>
          </w:p>
        </w:tc>
        <w:tc>
          <w:tcPr/>
          <w:p>
            <w:pPr>
              <w:pStyle w:val="Compact"/>
              <w:jc w:val="left"/>
            </w:pPr>
            <w:r>
              <w:t xml:space="preserve">Stale, not machine-queryable</w:t>
            </w:r>
          </w:p>
        </w:tc>
      </w:tr>
    </w:tbl>
    <w:p>
      <w:pPr>
        <w:pStyle w:val="BodyText"/>
      </w:pPr>
      <w:r>
        <w:rPr>
          <w:bCs/>
          <w:b/>
        </w:rPr>
        <w:t xml:space="preserve">Minimum viable:</w:t>
      </w:r>
      <w:r>
        <w:t xml:space="preserve"> </w:t>
      </w:r>
      <w:r>
        <w:t xml:space="preserve">Relational tables plus quarterly export to graph visualiser — sufficient until CDG-3 maturity (§8.14). GlobalSync built on relational store; Meridian used GRC-integrated graph module.</w:t>
      </w:r>
    </w:p>
    <w:p>
      <w:r>
        <w:pict>
          <v:rect style="width:0;height:1.5pt" o:hralign="center" o:hrstd="t" o:hr="t"/>
        </w:pict>
      </w:r>
    </w:p>
    <w:bookmarkEnd w:id="85"/>
    <w:bookmarkStart w:id="86" w:name="Xdaa0ccce2fa2d24b6b5bd0840e9596877adbae3"/>
    <w:p>
      <w:pPr>
        <w:pStyle w:val="Heading2"/>
      </w:pPr>
      <w:r>
        <w:t xml:space="preserve">8.53 Legal Hold and eDiscovery Trust Dependencies</w:t>
      </w:r>
    </w:p>
    <w:p>
      <w:pPr>
        <w:pStyle w:val="FirstParagraph"/>
      </w:pPr>
      <w:r>
        <w:t xml:space="preserve">Legal systems verifying</w:t>
      </w:r>
      <w:r>
        <w:t xml:space="preserve"> </w:t>
      </w:r>
      <w:r>
        <w:rPr>
          <w:bCs/>
          <w:b/>
        </w:rPr>
        <w:t xml:space="preserve">historical signature validity</w:t>
      </w:r>
      <w:r>
        <w:t xml:space="preserve"> </w:t>
      </w:r>
      <w:r>
        <w:t xml:space="preserve">depend on retired trust anchors:</w:t>
      </w:r>
    </w:p>
    <w:p>
      <w:pPr>
        <w:pStyle w:val="BodyText"/>
      </w:pPr>
      <w:r>
        <w:t xml:space="preserve">Meridian eDiscovery platform</w:t>
      </w:r>
      <w:r>
        <w:t xml:space="preserve"> </w:t>
      </w:r>
      <w:r>
        <w:rPr>
          <w:rStyle w:val="VerbatimChar"/>
        </w:rPr>
        <w:t xml:space="preserve">trusts</w:t>
      </w:r>
      <w:r>
        <w:t xml:space="preserve"> </w:t>
      </w:r>
      <w:r>
        <w:t xml:space="preserve">edges to</w:t>
      </w:r>
      <w:r>
        <w:t xml:space="preserve"> </w:t>
      </w:r>
      <w:r>
        <w:rPr>
          <w:bCs/>
          <w:b/>
        </w:rPr>
        <w:t xml:space="preserve">retired CA nodes</w:t>
      </w:r>
      <w:r>
        <w:t xml:space="preserve"> </w:t>
      </w:r>
      <w:r>
        <w:t xml:space="preserve">— migration must not revoke retired anchors until verification horizon ends. CDG</w:t>
      </w:r>
      <w:r>
        <w:t xml:space="preserve"> </w:t>
      </w:r>
      <w:r>
        <w:rPr>
          <w:rStyle w:val="VerbatimChar"/>
        </w:rPr>
        <w:t xml:space="preserve">retired_trust_until</w:t>
      </w:r>
      <w:r>
        <w:t xml:space="preserve"> </w:t>
      </w:r>
      <w:r>
        <w:t xml:space="preserve">attribute on CA nodes — Wave 2 PKI planning sequenced</w:t>
      </w:r>
      <w:r>
        <w:t xml:space="preserve"> </w:t>
      </w:r>
      <w:r>
        <w:rPr>
          <w:bCs/>
          <w:b/>
        </w:rPr>
        <w:t xml:space="preserve">new issuer deployment</w:t>
      </w:r>
      <w:r>
        <w:t xml:space="preserve"> </w:t>
      </w:r>
      <w:r>
        <w:t xml:space="preserve">before</w:t>
      </w:r>
      <w:r>
        <w:t xml:space="preserve"> </w:t>
      </w:r>
      <w:r>
        <w:rPr>
          <w:bCs/>
          <w:b/>
        </w:rPr>
        <w:t xml:space="preserve">retired anchor removal</w:t>
      </w:r>
      <w:r>
        <w:t xml:space="preserve"> </w:t>
      </w:r>
      <w:r>
        <w:t xml:space="preserve">— two-step edge migration.</w:t>
      </w:r>
    </w:p>
    <w:p>
      <w:pPr>
        <w:pStyle w:val="BodyText"/>
      </w:pPr>
      <w:r>
        <w:t xml:space="preserve">Legal counsel attended one CDG workshop — unusual but necessary when archive verification horizons exceeded technology refresh cycles.</w:t>
      </w:r>
    </w:p>
    <w:p>
      <w:r>
        <w:pict>
          <v:rect style="width:0;height:1.5pt" o:hralign="center" o:hrstd="t" o:hr="t"/>
        </w:pict>
      </w:r>
    </w:p>
    <w:bookmarkEnd w:id="86"/>
    <w:bookmarkStart w:id="87" w:name="northfield-ot-gateway-deep-dive"/>
    <w:p>
      <w:pPr>
        <w:pStyle w:val="Heading2"/>
      </w:pPr>
      <w:r>
        <w:t xml:space="preserve">8.54 Northfield OT Gateway Deep Dive</w:t>
      </w:r>
    </w:p>
    <w:p>
      <w:pPr>
        <w:pStyle w:val="FirstParagraph"/>
      </w:pPr>
      <w:r>
        <w:t xml:space="preserve">James Whitfield’s OT security team modelled</w:t>
      </w:r>
      <w:r>
        <w:t xml:space="preserve"> </w:t>
      </w:r>
      <w:r>
        <w:rPr>
          <w:bCs/>
          <w:b/>
        </w:rPr>
        <w:t xml:space="preserve">one gateway model, eighteen sites</w:t>
      </w:r>
      <w:r>
        <w:t xml:space="preserve"> </w:t>
      </w:r>
      <w:r>
        <w:t xml:space="preserve">as CDG meta-node</w:t>
      </w:r>
      <w:r>
        <w:t xml:space="preserve"> </w:t>
      </w:r>
      <w:r>
        <w:rPr>
          <w:rStyle w:val="VerbatimChar"/>
        </w:rPr>
        <w:t xml:space="preserve">ot-gateway-v3</w:t>
      </w:r>
      <w:r>
        <w:t xml:space="preserve"> </w:t>
      </w:r>
      <w:r>
        <w:t xml:space="preserve">with</w:t>
      </w:r>
      <w:r>
        <w:t xml:space="preserve"> </w:t>
      </w:r>
      <w:r>
        <w:rPr>
          <w:rStyle w:val="VerbatimChar"/>
        </w:rPr>
        <w:t xml:space="preserve">site</w:t>
      </w:r>
      <w:r>
        <w:t xml:space="preserve"> </w:t>
      </w:r>
      <w:r>
        <w:t xml:space="preserve">attributes on dependent PLC edges. Firmware vendor qualification for hybrid profiles required</w:t>
      </w:r>
      <w:r>
        <w:t xml:space="preserve"> </w:t>
      </w:r>
      <w:r>
        <w:rPr>
          <w:bCs/>
          <w:b/>
        </w:rPr>
        <w:t xml:space="preserve">single vendor engagement</w:t>
      </w:r>
      <w:r>
        <w:t xml:space="preserve"> </w:t>
      </w:r>
      <w:r>
        <w:t xml:space="preserve">— eighteen sites inherited same roadmap date.</w:t>
      </w:r>
    </w:p>
    <w:p>
      <w:pPr>
        <w:pStyle w:val="BodyText"/>
      </w:pPr>
      <w:r>
        <w:t xml:space="preserve">Gateway node attributes: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Value</w:t>
            </w:r>
          </w:p>
        </w:tc>
        <w:tc>
          <w:tcPr/>
          <w:p>
            <w:pPr>
              <w:pStyle w:val="Compact"/>
              <w:jc w:val="left"/>
            </w:pPr>
            <w:r>
              <w:t xml:space="preserve">Wave impact</w:t>
            </w:r>
          </w:p>
        </w:tc>
      </w:tr>
      <w:tr>
        <w:tc>
          <w:tcPr/>
          <w:p>
            <w:pPr>
              <w:pStyle w:val="Compact"/>
              <w:jc w:val="left"/>
            </w:pPr>
            <w:r>
              <w:rPr>
                <w:rStyle w:val="VerbatimChar"/>
              </w:rPr>
              <w:t xml:space="preserve">vendor_pq_ga_date</w:t>
            </w:r>
          </w:p>
        </w:tc>
        <w:tc>
          <w:tcPr/>
          <w:p>
            <w:pPr>
              <w:pStyle w:val="Compact"/>
              <w:jc w:val="left"/>
            </w:pPr>
            <w:r>
              <w:t xml:space="preserve">2027-Q3</w:t>
            </w:r>
          </w:p>
        </w:tc>
        <w:tc>
          <w:tcPr/>
          <w:p>
            <w:pPr>
              <w:pStyle w:val="Compact"/>
              <w:jc w:val="left"/>
            </w:pPr>
            <w:r>
              <w:t xml:space="preserve">Wave 0 exit gate</w:t>
            </w:r>
          </w:p>
        </w:tc>
      </w:tr>
      <w:tr>
        <w:tc>
          <w:tcPr/>
          <w:p>
            <w:pPr>
              <w:pStyle w:val="Compact"/>
              <w:jc w:val="left"/>
            </w:pPr>
            <w:r>
              <w:rPr>
                <w:rStyle w:val="VerbatimChar"/>
              </w:rPr>
              <w:t xml:space="preserve">blocking</w:t>
            </w:r>
          </w:p>
        </w:tc>
        <w:tc>
          <w:tcPr/>
          <w:p>
            <w:pPr>
              <w:pStyle w:val="Compact"/>
              <w:jc w:val="left"/>
            </w:pPr>
            <w:r>
              <w:t xml:space="preserve">true</w:t>
            </w:r>
          </w:p>
        </w:tc>
        <w:tc>
          <w:tcPr/>
          <w:p>
            <w:pPr>
              <w:pStyle w:val="Compact"/>
              <w:jc w:val="left"/>
            </w:pPr>
            <w:r>
              <w:t xml:space="preserve">WAN + field protocol</w:t>
            </w:r>
          </w:p>
        </w:tc>
      </w:tr>
      <w:tr>
        <w:tc>
          <w:tcPr/>
          <w:p>
            <w:pPr>
              <w:pStyle w:val="Compact"/>
              <w:jc w:val="left"/>
            </w:pPr>
            <w:r>
              <w:rPr>
                <w:rStyle w:val="VerbatimChar"/>
              </w:rPr>
              <w:t xml:space="preserve">fan_in</w:t>
            </w:r>
          </w:p>
        </w:tc>
        <w:tc>
          <w:tcPr/>
          <w:p>
            <w:pPr>
              <w:pStyle w:val="Compact"/>
              <w:jc w:val="left"/>
            </w:pPr>
            <w:r>
              <w:t xml:space="preserve">18 production lines</w:t>
            </w:r>
          </w:p>
        </w:tc>
        <w:tc>
          <w:tcPr/>
          <w:p>
            <w:pPr>
              <w:pStyle w:val="Compact"/>
              <w:jc w:val="left"/>
            </w:pPr>
            <w:r>
              <w:t xml:space="preserve">High BSS</w:t>
            </w:r>
          </w:p>
        </w:tc>
      </w:tr>
    </w:tbl>
    <w:p>
      <w:pPr>
        <w:pStyle w:val="BodyText"/>
      </w:pPr>
      <w:r>
        <w:t xml:space="preserve">Northfield rejected site-by-site VPN migration proposals — CDG showed identical gateway dependency;</w:t>
      </w:r>
      <w:r>
        <w:t xml:space="preserve"> </w:t>
      </w:r>
      <w:r>
        <w:rPr>
          <w:bCs/>
          <w:b/>
        </w:rPr>
        <w:t xml:space="preserve">template migration</w:t>
      </w:r>
      <w:r>
        <w:t xml:space="preserve"> </w:t>
      </w:r>
      <w:r>
        <w:t xml:space="preserve">once qualified reduced engineering from eighteen projects to one.</w:t>
      </w:r>
    </w:p>
    <w:p>
      <w:r>
        <w:pict>
          <v:rect style="width:0;height:1.5pt" o:hralign="center" o:hrstd="t" o:hr="t"/>
        </w:pict>
      </w:r>
    </w:p>
    <w:bookmarkEnd w:id="87"/>
    <w:bookmarkStart w:id="88" w:name="X3c8bc6a6680ed2df3fb7b9c6e0ce74f895a3e82"/>
    <w:p>
      <w:pPr>
        <w:pStyle w:val="Heading2"/>
      </w:pPr>
      <w:r>
        <w:t xml:space="preserve">8.55 CDG Quality Assurance Before Wave Planning</w:t>
      </w:r>
    </w:p>
    <w:p>
      <w:pPr>
        <w:pStyle w:val="FirstParagraph"/>
      </w:pPr>
      <w:r>
        <w:t xml:space="preserve">Programme office runs</w:t>
      </w:r>
      <w:r>
        <w:t xml:space="preserve"> </w:t>
      </w:r>
      <w:r>
        <w:rPr>
          <w:bCs/>
          <w:b/>
        </w:rPr>
        <w:t xml:space="preserve">CDG QA checklist</w:t>
      </w:r>
      <w:r>
        <w:t xml:space="preserve"> </w:t>
      </w:r>
      <w:r>
        <w:t xml:space="preserve">before TRADE wave workshops accept blocking flags:</w:t>
      </w:r>
    </w:p>
    <w:p>
      <w:pPr>
        <w:numPr>
          <w:ilvl w:val="0"/>
          <w:numId w:val="1019"/>
        </w:numPr>
        <w:pStyle w:val="Compact"/>
      </w:pPr>
      <w:r>
        <w:t xml:space="preserve">☐ Top 20 blocking nodes have validated fan-in counts</w:t>
      </w:r>
    </w:p>
    <w:p>
      <w:pPr>
        <w:numPr>
          <w:ilvl w:val="0"/>
          <w:numId w:val="1019"/>
        </w:numPr>
        <w:pStyle w:val="Compact"/>
      </w:pPr>
      <w:r>
        <w:t xml:space="preserve">☐ Evidence</w:t>
      </w:r>
      <w:r>
        <w:t xml:space="preserve"> </w:t>
      </w:r>
      <w:r>
        <w:rPr>
          <w:rStyle w:val="VerbatimChar"/>
        </w:rPr>
        <w:t xml:space="preserve">evidence_ref</w:t>
      </w:r>
      <w:r>
        <w:t xml:space="preserve"> </w:t>
      </w:r>
      <w:r>
        <w:t xml:space="preserve">on ≥90% of blocking edges</w:t>
      </w:r>
    </w:p>
    <w:p>
      <w:pPr>
        <w:numPr>
          <w:ilvl w:val="0"/>
          <w:numId w:val="1019"/>
        </w:numPr>
        <w:pStyle w:val="Compact"/>
      </w:pPr>
      <w:r>
        <w:t xml:space="preserve">☐ No orphan blocking nodes without owner</w:t>
      </w:r>
    </w:p>
    <w:p>
      <w:pPr>
        <w:numPr>
          <w:ilvl w:val="0"/>
          <w:numId w:val="1019"/>
        </w:numPr>
        <w:pStyle w:val="Compact"/>
      </w:pPr>
      <w:r>
        <w:t xml:space="preserve">☐ Partner external anchors modelled separately from corporate root</w:t>
      </w:r>
    </w:p>
    <w:p>
      <w:pPr>
        <w:numPr>
          <w:ilvl w:val="0"/>
          <w:numId w:val="1019"/>
        </w:numPr>
        <w:pStyle w:val="Compact"/>
      </w:pPr>
      <w:r>
        <w:t xml:space="preserve">☐ DR/active-standby pairs annotated</w:t>
      </w:r>
    </w:p>
    <w:p>
      <w:pPr>
        <w:numPr>
          <w:ilvl w:val="0"/>
          <w:numId w:val="1019"/>
        </w:numPr>
        <w:pStyle w:val="Compact"/>
      </w:pPr>
      <w:r>
        <w:t xml:space="preserve">☐ NSS/corporate subgraphs not improperly merged</w:t>
      </w:r>
    </w:p>
    <w:p>
      <w:pPr>
        <w:pStyle w:val="FirstParagraph"/>
      </w:pPr>
      <w:r>
        <w:t xml:space="preserve">Meridian failed first QA on evidence attachment — 23% blocking edges undocumented — delaying wave workshop two weeks until PKI team completed ceremony log linkage.</w:t>
      </w:r>
    </w:p>
    <w:p>
      <w:r>
        <w:pict>
          <v:rect style="width:0;height:1.5pt" o:hralign="center" o:hrstd="t" o:hr="t"/>
        </w:pict>
      </w:r>
    </w:p>
    <w:bookmarkEnd w:id="88"/>
    <w:bookmarkStart w:id="89" w:name="applying-cdg-in-regulated-assessments"/>
    <w:p>
      <w:pPr>
        <w:pStyle w:val="Heading2"/>
      </w:pPr>
      <w:r>
        <w:t xml:space="preserve">8.56 Applying CDG in Regulated Assessments</w:t>
      </w:r>
    </w:p>
    <w:p>
      <w:pPr>
        <w:pStyle w:val="FirstParagraph"/>
      </w:pPr>
      <w:r>
        <w:t xml:space="preserve">Regulated enterprises map CDG outputs to assessment frameworks: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Framework need</w:t>
            </w:r>
          </w:p>
        </w:tc>
        <w:tc>
          <w:tcPr/>
          <w:p>
            <w:pPr>
              <w:pStyle w:val="Compact"/>
              <w:jc w:val="left"/>
            </w:pPr>
            <w:r>
              <w:t xml:space="preserve">CDG artefact</w:t>
            </w:r>
          </w:p>
        </w:tc>
      </w:tr>
      <w:tr>
        <w:tc>
          <w:tcPr/>
          <w:p>
            <w:pPr>
              <w:pStyle w:val="Compact"/>
              <w:jc w:val="left"/>
            </w:pPr>
            <w:r>
              <w:t xml:space="preserve">DORA ICT risk</w:t>
            </w:r>
          </w:p>
        </w:tc>
        <w:tc>
          <w:tcPr/>
          <w:p>
            <w:pPr>
              <w:pStyle w:val="Compact"/>
              <w:jc w:val="left"/>
            </w:pPr>
            <w:r>
              <w:t xml:space="preserve">Third-party trust edges with</w:t>
            </w:r>
            <w:r>
              <w:t xml:space="preserve"> </w:t>
            </w:r>
            <w:r>
              <w:rPr>
                <w:rStyle w:val="VerbatimChar"/>
              </w:rPr>
              <w:t xml:space="preserve">partner_sla_pq_date</w:t>
            </w:r>
          </w:p>
        </w:tc>
      </w:tr>
      <w:tr>
        <w:tc>
          <w:tcPr/>
          <w:p>
            <w:pPr>
              <w:pStyle w:val="Compact"/>
              <w:jc w:val="left"/>
            </w:pPr>
            <w:r>
              <w:t xml:space="preserve">NIS2 security measures</w:t>
            </w:r>
          </w:p>
        </w:tc>
        <w:tc>
          <w:tcPr/>
          <w:p>
            <w:pPr>
              <w:pStyle w:val="Compact"/>
              <w:jc w:val="left"/>
            </w:pPr>
            <w:r>
              <w:t xml:space="preserve">OT subgraph with site segmentation</w:t>
            </w:r>
          </w:p>
        </w:tc>
      </w:tr>
      <w:tr>
        <w:tc>
          <w:tcPr/>
          <w:p>
            <w:pPr>
              <w:pStyle w:val="Compact"/>
              <w:jc w:val="left"/>
            </w:pPr>
            <w:r>
              <w:t xml:space="preserve">NSS accreditation</w:t>
            </w:r>
          </w:p>
        </w:tc>
        <w:tc>
          <w:tcPr/>
          <w:p>
            <w:pPr>
              <w:pStyle w:val="Compact"/>
              <w:jc w:val="left"/>
            </w:pPr>
            <w:r>
              <w:t xml:space="preserve">Classified subgraph with</w:t>
            </w:r>
            <w:r>
              <w:t xml:space="preserve"> </w:t>
            </w:r>
            <w:r>
              <w:rPr>
                <w:rStyle w:val="VerbatimChar"/>
              </w:rPr>
              <w:t xml:space="preserve">accreditation_id</w:t>
            </w:r>
          </w:p>
        </w:tc>
      </w:tr>
      <w:tr>
        <w:tc>
          <w:tcPr/>
          <w:p>
            <w:pPr>
              <w:pStyle w:val="Compact"/>
              <w:jc w:val="left"/>
            </w:pPr>
            <w:r>
              <w:t xml:space="preserve">PCI network segmentation</w:t>
            </w:r>
          </w:p>
        </w:tc>
        <w:tc>
          <w:tcPr/>
          <w:p>
            <w:pPr>
              <w:pStyle w:val="Compact"/>
              <w:jc w:val="left"/>
            </w:pPr>
            <w:r>
              <w:t xml:space="preserve">Cardholder data path subgraph</w:t>
            </w:r>
          </w:p>
        </w:tc>
      </w:tr>
    </w:tbl>
    <w:p>
      <w:pPr>
        <w:pStyle w:val="BodyText"/>
      </w:pPr>
      <w:r>
        <w:t xml:space="preserve">Meridian assessors received</w:t>
      </w:r>
      <w:r>
        <w:t xml:space="preserve"> </w:t>
      </w:r>
      <w:r>
        <w:rPr>
          <w:bCs/>
          <w:b/>
        </w:rPr>
        <w:t xml:space="preserve">filtered CDG export</w:t>
      </w:r>
      <w:r>
        <w:t xml:space="preserve"> </w:t>
      </w:r>
      <w:r>
        <w:t xml:space="preserve">for payment path — not full 4,800-edge graph. Filtering by</w:t>
      </w:r>
      <w:r>
        <w:t xml:space="preserve"> </w:t>
      </w:r>
      <w:r>
        <w:rPr>
          <w:rStyle w:val="VerbatimChar"/>
        </w:rPr>
        <w:t xml:space="preserve">data_classification=PCI</w:t>
      </w:r>
      <w:r>
        <w:t xml:space="preserve"> </w:t>
      </w:r>
      <w:r>
        <w:t xml:space="preserve">produced 340-edge payment subgraph — assessable scope.</w:t>
      </w:r>
    </w:p>
    <w:p>
      <w:r>
        <w:pict>
          <v:rect style="width:0;height:1.5pt" o:hralign="center" o:hrstd="t" o:hr="t"/>
        </w:pict>
      </w:r>
    </w:p>
    <w:bookmarkEnd w:id="89"/>
    <w:bookmarkStart w:id="90" w:name="X98b7065d11b45b5e0c313dc5cb9736639b9f24a"/>
    <w:p>
      <w:pPr>
        <w:pStyle w:val="Heading2"/>
      </w:pPr>
      <w:r>
        <w:t xml:space="preserve">8.57 Integrating CDG with Enterprise Architecture Repositories</w:t>
      </w:r>
    </w:p>
    <w:p>
      <w:pPr>
        <w:pStyle w:val="FirstParagraph"/>
      </w:pPr>
      <w:r>
        <w:t xml:space="preserve">Enterprises maintaining ArchiMate or similar repositories should</w:t>
      </w:r>
      <w:r>
        <w:t xml:space="preserve"> </w:t>
      </w:r>
      <w:r>
        <w:rPr>
          <w:bCs/>
          <w:b/>
        </w:rPr>
        <w:t xml:space="preserve">link</w:t>
      </w:r>
      <w:r>
        <w:t xml:space="preserve"> </w:t>
      </w:r>
      <w:r>
        <w:t xml:space="preserve">CDG nodes to architecture components — not duplicate wholesale:</w:t>
      </w:r>
    </w:p>
    <w:tbl>
      <w:tblPr>
        <w:tblStyle w:val="Table"/>
        <w:tblW w:type="pct" w:w="5000"/>
        <w:tblLook w:firstRow="1" w:lastRow="0" w:firstColumn="0" w:lastColumn="0" w:noHBand="0" w:noVBand="0" w:val="0020"/>
        <w:jc w:val="start"/>
      </w:tblPr>
      <w:tblGrid>
        <w:gridCol w:w="5544"/>
        <w:gridCol w:w="2376"/>
      </w:tblGrid>
      <w:tr>
        <w:trPr>
          <w:tblHeader w:val="true"/>
        </w:trPr>
        <w:tc>
          <w:tcPr/>
          <w:p>
            <w:pPr>
              <w:pStyle w:val="Compact"/>
              <w:jc w:val="left"/>
            </w:pPr>
            <w:r>
              <w:t xml:space="preserve">Integration pattern</w:t>
            </w:r>
          </w:p>
        </w:tc>
        <w:tc>
          <w:tcPr/>
          <w:p>
            <w:pPr>
              <w:pStyle w:val="Compact"/>
              <w:jc w:val="left"/>
            </w:pPr>
            <w:r>
              <w:t xml:space="preserve">Benefit</w:t>
            </w:r>
          </w:p>
        </w:tc>
      </w:tr>
      <w:tr>
        <w:tc>
          <w:tcPr/>
          <w:p>
            <w:pPr>
              <w:pStyle w:val="Compact"/>
              <w:jc w:val="left"/>
            </w:pPr>
            <w:r>
              <w:t xml:space="preserve">CDG node</w:t>
            </w:r>
            <w:r>
              <w:t xml:space="preserve"> </w:t>
            </w:r>
            <w:r>
              <w:rPr>
                <w:rStyle w:val="VerbatimChar"/>
              </w:rPr>
              <w:t xml:space="preserve">arch_ref</w:t>
            </w:r>
            <w:r>
              <w:t xml:space="preserve"> </w:t>
            </w:r>
            <w:r>
              <w:t xml:space="preserve">→ CMDB/EA ID</w:t>
            </w:r>
          </w:p>
        </w:tc>
        <w:tc>
          <w:tcPr/>
          <w:p>
            <w:pPr>
              <w:pStyle w:val="Compact"/>
              <w:jc w:val="left"/>
            </w:pPr>
            <w:r>
              <w:t xml:space="preserve">Traceability to business capability</w:t>
            </w:r>
          </w:p>
        </w:tc>
      </w:tr>
      <w:tr>
        <w:tc>
          <w:tcPr/>
          <w:p>
            <w:pPr>
              <w:pStyle w:val="Compact"/>
              <w:jc w:val="left"/>
            </w:pPr>
            <w:r>
              <w:t xml:space="preserve">Automated cert → application CI</w:t>
            </w:r>
          </w:p>
        </w:tc>
        <w:tc>
          <w:tcPr/>
          <w:p>
            <w:pPr>
              <w:pStyle w:val="Compact"/>
              <w:jc w:val="left"/>
            </w:pPr>
            <w:r>
              <w:t xml:space="preserve">Edge refresh on deploy</w:t>
            </w:r>
          </w:p>
        </w:tc>
      </w:tr>
      <w:tr>
        <w:tc>
          <w:tcPr/>
          <w:p>
            <w:pPr>
              <w:pStyle w:val="Compact"/>
              <w:jc w:val="left"/>
            </w:pPr>
            <w:r>
              <w:t xml:space="preserve">Blocking flag in architecture review template</w:t>
            </w:r>
          </w:p>
        </w:tc>
        <w:tc>
          <w:tcPr/>
          <w:p>
            <w:pPr>
              <w:pStyle w:val="Compact"/>
              <w:jc w:val="left"/>
            </w:pPr>
            <w:r>
              <w:t xml:space="preserve">Catch new dependencies pre-production</w:t>
            </w:r>
          </w:p>
        </w:tc>
      </w:tr>
    </w:tbl>
    <w:p>
      <w:pPr>
        <w:pStyle w:val="BodyText"/>
      </w:pPr>
      <w:r>
        <w:t xml:space="preserve">GlobalSync architecture review gate required</w:t>
      </w:r>
      <w:r>
        <w:t xml:space="preserve"> </w:t>
      </w:r>
      <w:r>
        <w:rPr>
          <w:bCs/>
          <w:b/>
        </w:rPr>
        <w:t xml:space="preserve">CDG impact field</w:t>
      </w:r>
      <w:r>
        <w:t xml:space="preserve"> </w:t>
      </w:r>
      <w:r>
        <w:t xml:space="preserve">for any change touching trust stores or signing pipelines — new microservice could not production-deploy without declaring trust edges in graph or explicit</w:t>
      </w:r>
      <w:r>
        <w:t xml:space="preserve"> </w:t>
      </w:r>
      <w:r>
        <w:t xml:space="preserve">“</w:t>
      </w:r>
      <w:r>
        <w:t xml:space="preserve">no new crypto</w:t>
      </w:r>
      <w:r>
        <w:t xml:space="preserve">”</w:t>
      </w:r>
      <w:r>
        <w:t xml:space="preserve"> </w:t>
      </w:r>
      <w:r>
        <w:t xml:space="preserve">attestation.</w:t>
      </w:r>
    </w:p>
    <w:p>
      <w:pPr>
        <w:pStyle w:val="BodyText"/>
      </w:pPr>
      <w:r>
        <w:t xml:space="preserve">Meridian linked CDG blocking nodes to</w:t>
      </w:r>
      <w:r>
        <w:t xml:space="preserve"> </w:t>
      </w:r>
      <w:r>
        <w:rPr>
          <w:bCs/>
          <w:b/>
        </w:rPr>
        <w:t xml:space="preserve">business capability map</w:t>
      </w:r>
      <w:r>
        <w:t xml:space="preserve"> </w:t>
      </w:r>
      <w:r>
        <w:t xml:space="preserve">— payment capability owned blocking nodes for payment domain, enabling business-aligned Wave 0 funding narrative.</w:t>
      </w:r>
    </w:p>
    <w:p>
      <w:pPr>
        <w:pStyle w:val="BodyText"/>
      </w:pPr>
      <w:r>
        <w:rPr>
          <w:bCs/>
          <w:b/>
        </w:rPr>
        <w:t xml:space="preserve">Anti-pattern:</w:t>
      </w:r>
      <w:r>
        <w:t xml:space="preserve"> </w:t>
      </w:r>
      <w:r>
        <w:t xml:space="preserve">Treating EA repository as substitute for CDG — architecture diagrams show intended state; CDG must reflect</w:t>
      </w:r>
      <w:r>
        <w:t xml:space="preserve"> </w:t>
      </w:r>
      <w:r>
        <w:rPr>
          <w:bCs/>
          <w:b/>
        </w:rPr>
        <w:t xml:space="preserve">production trust</w:t>
      </w:r>
      <w:r>
        <w:t xml:space="preserve"> </w:t>
      </w:r>
      <w:r>
        <w:t xml:space="preserve">validated by scan, config, or interview. Synchronise quarterly; do not merge without validation.</w:t>
      </w:r>
    </w:p>
    <w:p>
      <w:r>
        <w:pict>
          <v:rect style="width:0;height:1.5pt" o:hralign="center" o:hrstd="t" o:hr="t"/>
        </w:pict>
      </w:r>
    </w:p>
    <w:bookmarkEnd w:id="90"/>
    <w:bookmarkStart w:id="92" w:name="references-and-further-reading"/>
    <w:p>
      <w:pPr>
        <w:pStyle w:val="Heading2"/>
      </w:pPr>
      <w:r>
        <w:t xml:space="preserve">8.58 References and Further Reading</w:t>
      </w:r>
    </w:p>
    <w:p>
      <w:pPr>
        <w:numPr>
          <w:ilvl w:val="0"/>
          <w:numId w:val="1020"/>
        </w:numPr>
        <w:pStyle w:val="Compact"/>
      </w:pPr>
      <w:r>
        <w:t xml:space="preserve">CycloneDX. CBOM linkage to dependency concepts —</w:t>
      </w:r>
      <w:r>
        <w:t xml:space="preserve"> </w:t>
      </w:r>
      <w:hyperlink r:id="rId91">
        <w:r>
          <w:rPr>
            <w:rStyle w:val="Hyperlink"/>
          </w:rPr>
          <w:t xml:space="preserve">CycloneDX CBOM</w:t>
        </w:r>
      </w:hyperlink>
    </w:p>
    <w:p>
      <w:pPr>
        <w:numPr>
          <w:ilvl w:val="0"/>
          <w:numId w:val="1020"/>
        </w:numPr>
        <w:pStyle w:val="Compact"/>
      </w:pPr>
      <w:r>
        <w:t xml:space="preserve">National Institute of Standards and Technology. (2024).</w:t>
      </w:r>
      <w:r>
        <w:t xml:space="preserve"> </w:t>
      </w:r>
      <w:r>
        <w:rPr>
          <w:iCs/>
          <w:i/>
        </w:rPr>
        <w:t xml:space="preserve">SP 1800-38B</w:t>
      </w:r>
      <w:r>
        <w:t xml:space="preserve"> </w:t>
      </w:r>
      <w:r>
        <w:t xml:space="preserve">— migration planning and asset dependency themes.</w:t>
      </w:r>
    </w:p>
    <w:p>
      <w:pPr>
        <w:numPr>
          <w:ilvl w:val="0"/>
          <w:numId w:val="1020"/>
        </w:numPr>
        <w:pStyle w:val="Compact"/>
      </w:pPr>
      <w:r>
        <w:t xml:space="preserve">Internet Engineering Task Force. Post-quantum PKI architecture (drafts) — trust anchor evolution.</w:t>
      </w:r>
    </w:p>
    <w:p>
      <w:pPr>
        <w:numPr>
          <w:ilvl w:val="0"/>
          <w:numId w:val="1020"/>
        </w:numPr>
        <w:pStyle w:val="Compact"/>
      </w:pPr>
      <w:r>
        <w:t xml:space="preserve">Basescu, C., et al. (2024). Deployment considerations for secure post-quantum cryptography in practice.</w:t>
      </w:r>
      <w:r>
        <w:t xml:space="preserve"> </w:t>
      </w:r>
      <w:r>
        <w:rPr>
          <w:iCs/>
          <w:i/>
        </w:rPr>
        <w:t xml:space="preserve">USENIX Security Symposium</w:t>
      </w:r>
      <w:r>
        <w:t xml:space="preserve">.</w:t>
      </w:r>
    </w:p>
    <w:p>
      <w:pPr>
        <w:numPr>
          <w:ilvl w:val="0"/>
          <w:numId w:val="1020"/>
        </w:numPr>
        <w:pStyle w:val="Compact"/>
      </w:pPr>
      <w:r>
        <w:t xml:space="preserve">Supply chain levels for software artifacts (SLSA) — informative for code-signing CDG patterns.</w:t>
      </w:r>
    </w:p>
    <w:p>
      <w:pPr>
        <w:numPr>
          <w:ilvl w:val="0"/>
          <w:numId w:val="1020"/>
        </w:numPr>
        <w:pStyle w:val="Compact"/>
      </w:pPr>
      <w:r>
        <w:t xml:space="preserve">IBM Research. (2023). Cryptographic dependency typing for enterprise migration planning (industry reference).</w:t>
      </w:r>
    </w:p>
    <w:p>
      <w:r>
        <w:pict>
          <v:rect style="width:0;height:1.5pt" o:hralign="center" o:hrstd="t" o:hr="t"/>
        </w:pict>
      </w:r>
    </w:p>
    <w:bookmarkEnd w:id="92"/>
    <w:bookmarkStart w:id="93" w:name="chapter-summary"/>
    <w:p>
      <w:pPr>
        <w:pStyle w:val="Heading2"/>
      </w:pPr>
      <w:r>
        <w:t xml:space="preserve">8.59 Chapter Summary</w:t>
      </w:r>
    </w:p>
    <w:p>
      <w:pPr>
        <w:numPr>
          <w:ilvl w:val="0"/>
          <w:numId w:val="1021"/>
        </w:numPr>
        <w:pStyle w:val="Compact"/>
      </w:pPr>
      <w:r>
        <w:t xml:space="preserve">CDG extends CBOM from inventory to consequence —</w:t>
      </w:r>
      <w:r>
        <w:t xml:space="preserve"> </w:t>
      </w:r>
      <w:r>
        <w:rPr>
          <w:iCs/>
          <w:i/>
        </w:rPr>
        <w:t xml:space="preserve">what breaks if we change this</w:t>
      </w:r>
      <w:r>
        <w:t xml:space="preserve">.</w:t>
      </w:r>
    </w:p>
    <w:p>
      <w:pPr>
        <w:numPr>
          <w:ilvl w:val="0"/>
          <w:numId w:val="1021"/>
        </w:numPr>
        <w:pStyle w:val="Compact"/>
      </w:pPr>
      <w:r>
        <w:t xml:space="preserve">Node types (key, cert, anchor, HSM, firmware, policy) and edge types (</w:t>
      </w:r>
      <w:r>
        <w:rPr>
          <w:rStyle w:val="VerbatimChar"/>
        </w:rPr>
        <w:t xml:space="preserve">trusts</w:t>
      </w:r>
      <w:r>
        <w:t xml:space="preserve">,</w:t>
      </w:r>
      <w:r>
        <w:t xml:space="preserve"> </w:t>
      </w:r>
      <w:r>
        <w:rPr>
          <w:rStyle w:val="VerbatimChar"/>
        </w:rPr>
        <w:t xml:space="preserve">signs</w:t>
      </w:r>
      <w:r>
        <w:t xml:space="preserve">,</w:t>
      </w:r>
      <w:r>
        <w:t xml:space="preserve"> </w:t>
      </w:r>
      <w:r>
        <w:rPr>
          <w:rStyle w:val="VerbatimChar"/>
        </w:rPr>
        <w:t xml:space="preserve">terminates</w:t>
      </w:r>
      <w:r>
        <w:t xml:space="preserve">,</w:t>
      </w:r>
      <w:r>
        <w:t xml:space="preserve"> </w:t>
      </w:r>
      <w:r>
        <w:rPr>
          <w:rStyle w:val="VerbatimChar"/>
        </w:rPr>
        <w:t xml:space="preserve">verifies</w:t>
      </w:r>
      <w:r>
        <w:t xml:space="preserve">,</w:t>
      </w:r>
      <w:r>
        <w:t xml:space="preserve"> </w:t>
      </w:r>
      <w:r>
        <w:rPr>
          <w:rStyle w:val="VerbatimChar"/>
        </w:rPr>
        <w:t xml:space="preserve">inherits</w:t>
      </w:r>
      <w:r>
        <w:t xml:space="preserve">) form the modelling vocabulary.</w:t>
      </w:r>
    </w:p>
    <w:p>
      <w:pPr>
        <w:numPr>
          <w:ilvl w:val="0"/>
          <w:numId w:val="1021"/>
        </w:numPr>
        <w:pStyle w:val="Compact"/>
      </w:pPr>
      <w:r>
        <w:t xml:space="preserve">Blocking nodes have structural fan-in — GlobalSync partner mTLS policy, Meridian HSM firmware chain, Northfield VPN concentrators.</w:t>
      </w:r>
    </w:p>
    <w:p>
      <w:pPr>
        <w:numPr>
          <w:ilvl w:val="0"/>
          <w:numId w:val="1021"/>
        </w:numPr>
        <w:pStyle w:val="Compact"/>
      </w:pPr>
      <w:r>
        <w:t xml:space="preserve">PKI roll-up compresses noise while preserving blocking hubs; 847,000 edges became 4,800 in Meridian executive view.</w:t>
      </w:r>
    </w:p>
    <w:p>
      <w:pPr>
        <w:numPr>
          <w:ilvl w:val="0"/>
          <w:numId w:val="1021"/>
        </w:numPr>
        <w:pStyle w:val="Compact"/>
      </w:pPr>
      <w:r>
        <w:t xml:space="preserve">Evidence attachments on edges support audit; stale edge detection ties to cert lifecycle.</w:t>
      </w:r>
    </w:p>
    <w:p>
      <w:pPr>
        <w:numPr>
          <w:ilvl w:val="0"/>
          <w:numId w:val="1021"/>
        </w:numPr>
        <w:pStyle w:val="Compact"/>
      </w:pPr>
      <w:r>
        <w:t xml:space="preserve">CDG maturity CDG-0 through CDG-4 sets programme expectations.</w:t>
      </w:r>
    </w:p>
    <w:p>
      <w:pPr>
        <w:numPr>
          <w:ilvl w:val="0"/>
          <w:numId w:val="1021"/>
        </w:numPr>
        <w:pStyle w:val="Compact"/>
      </w:pPr>
      <w:r>
        <w:t xml:space="preserve">Parallel trust periods must carry sunset annotations on graph edges.</w:t>
      </w:r>
    </w:p>
    <w:p>
      <w:pPr>
        <w:numPr>
          <w:ilvl w:val="0"/>
          <w:numId w:val="1021"/>
        </w:numPr>
        <w:pStyle w:val="Compact"/>
      </w:pPr>
      <w:r>
        <w:t xml:space="preserve">Chapter 9 consumes blocking flags and TRADE scores into migration waves.</w:t>
      </w:r>
    </w:p>
    <w:p>
      <w:pPr>
        <w:pStyle w:val="FirstParagraph"/>
      </w:pPr>
      <w:r>
        <w:rPr>
          <w:bCs/>
          <w:b/>
        </w:rPr>
        <w:t xml:space="preserve">Next:</w:t>
      </w:r>
      <w:r>
        <w:t xml:space="preserve"> </w:t>
      </w:r>
      <w:r>
        <w:t xml:space="preserve">Chapter 9 converts CDG topology and TRADE scoring into board-approved migration waves.</w:t>
      </w:r>
    </w:p>
    <w:p>
      <w:r>
        <w:pict>
          <v:rect style="width:0;height:1.5pt" o:hralign="center" o:hrstd="t" o:hr="t"/>
        </w:pict>
      </w:r>
    </w:p>
    <w:p>
      <w:pPr>
        <w:pStyle w:val="FirstParagraph"/>
      </w:pPr>
      <w:r>
        <w:rPr>
          <w:iCs/>
          <w:i/>
        </w:rPr>
        <w:t xml:space="preserve">Proceed to Chapter 9: Risk Tiering and Migration Wave Planning.</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1" Target="https://cyclonedx.org/capabilities/cbom/" TargetMode="External" /></Relationships>
</file>

<file path=word/_rels/footnotes.xml.rels><?xml version="1.0" encoding="UTF-8"?><Relationships xmlns="http://schemas.openxmlformats.org/package/2006/relationships"><Relationship Type="http://schemas.openxmlformats.org/officeDocument/2006/relationships/hyperlink" Id="rId91" Target="https://cyclonedx.org/capabilities/cb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2026-06-12T10:03:13Z</dcterms:created>
  <dcterms:modified xsi:type="dcterms:W3CDTF">2026-06-12T10:03:13Z</dcterms:modified>
</cp:coreProperties>
</file>

<file path=docProps/custom.xml><?xml version="1.0" encoding="utf-8"?>
<Properties xmlns="http://schemas.openxmlformats.org/officeDocument/2006/custom-properties" xmlns:vt="http://schemas.openxmlformats.org/officeDocument/2006/docPropsVTypes"/>
</file>