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9"/>
    <w:p>
      <w:pPr>
        <w:pStyle w:val="Heading1"/>
      </w:pPr>
      <w:r>
        <w:t xml:space="preserve">Chapter 9</w:t>
      </w:r>
    </w:p>
    <w:bookmarkEnd w:id="20"/>
    <w:bookmarkStart w:id="89" w:name="risk-tiering-and-migration-wave-planning"/>
    <w:p>
      <w:pPr>
        <w:pStyle w:val="Heading1"/>
      </w:pPr>
      <w:r>
        <w:t xml:space="preserve">Risk Tiering and Migration Wave Planning</w:t>
      </w:r>
    </w:p>
    <w:p>
      <w:r>
        <w:pict>
          <v:rect style="width:0;height:1.5pt" o:hralign="center" o:hrstd="t" o:hr="t"/>
        </w:pict>
      </w:r>
    </w:p>
    <w:p>
      <w:pPr>
        <w:pStyle w:val="FirstParagraph"/>
      </w:pPr>
      <w:r>
        <w:t xml:space="preserve">Apex Defense Technologies’ board risk committee received a migration plan in March 2026 that did not sort systems alphabetically, did not mirror NIST dates verbatim, and did not claim every workload would be PQC-native by 2028. Priya Nair presented</w:t>
      </w:r>
      <w:r>
        <w:t xml:space="preserve"> </w:t>
      </w:r>
      <w:r>
        <w:rPr>
          <w:bCs/>
          <w:b/>
        </w:rPr>
        <w:t xml:space="preserve">four migration waves</w:t>
      </w:r>
      <w:r>
        <w:t xml:space="preserve"> </w:t>
      </w:r>
      <w:r>
        <w:t xml:space="preserve">with explicit dependency gates, TRADE scores, contract renewal alignment, and a documented list of systems that would</w:t>
      </w:r>
      <w:r>
        <w:t xml:space="preserve"> </w:t>
      </w:r>
      <w:r>
        <w:rPr>
          <w:bCs/>
          <w:b/>
        </w:rPr>
        <w:t xml:space="preserve">not</w:t>
      </w:r>
      <w:r>
        <w:t xml:space="preserve"> </w:t>
      </w:r>
      <w:r>
        <w:t xml:space="preserve">migrate in Wave 1 despite executive visibility.</w:t>
      </w:r>
    </w:p>
    <w:p>
      <w:pPr>
        <w:pStyle w:val="BodyText"/>
      </w:pPr>
      <w:r>
        <w:t xml:space="preserve">The committee approved the plan in one session. The differentiator was not slide design — it was</w:t>
      </w:r>
      <w:r>
        <w:t xml:space="preserve"> </w:t>
      </w:r>
      <w:r>
        <w:rPr>
          <w:bCs/>
          <w:b/>
        </w:rPr>
        <w:t xml:space="preserve">defensible multi-dimensional prioritisation</w:t>
      </w:r>
      <w:r>
        <w:t xml:space="preserve"> </w:t>
      </w:r>
      <w:r>
        <w:t xml:space="preserve">backed by CBOM rows, CDG blocking nodes, and scored trade-offs the board could audit.</w:t>
      </w:r>
    </w:p>
    <w:p>
      <w:pPr>
        <w:pStyle w:val="BodyText"/>
      </w:pPr>
      <w:r>
        <w:t xml:space="preserve">A board member asked why a visible customer portal ranked Wave 3 while an obscure HSM ranked Wave 0. Priya walked the CDG fan-in slide — 2,400 verifiers, contract clauses, CNSA floor — in three minutes. The portal had high visibility and moderate MPI; the HSM had structural blocking. That exchange is the pedagogical goal of this chapter: make sequencing legible to non-specialists without dumbing down cryptography.</w:t>
      </w:r>
    </w:p>
    <w:p>
      <w:pPr>
        <w:pStyle w:val="BodyText"/>
      </w:pPr>
      <w:r>
        <w:t xml:space="preserve">This chapter teaches readers to produce the same artefact: a board-approved migration wave plan that survives supervisory review, vendor reality, and dependency topology.</w:t>
      </w:r>
    </w:p>
    <w:p>
      <w:r>
        <w:pict>
          <v:rect style="width:0;height:1.5pt" o:hralign="center" o:hrstd="t" o:hr="t"/>
        </w:pict>
      </w:r>
    </w:p>
    <w:bookmarkStart w:id="21" w:name="from-inventory-to-action"/>
    <w:p>
      <w:pPr>
        <w:pStyle w:val="Heading2"/>
      </w:pPr>
      <w:r>
        <w:t xml:space="preserve">9.1 From Inventory to Action</w:t>
      </w:r>
    </w:p>
    <w:p>
      <w:pPr>
        <w:pStyle w:val="FirstParagraph"/>
      </w:pPr>
      <w:r>
        <w:t xml:space="preserve">Priya Nair told Apex’s programme director:</w:t>
      </w:r>
      <w:r>
        <w:t xml:space="preserve"> </w:t>
      </w:r>
      <w:r>
        <w:rPr>
          <w:iCs/>
          <w:i/>
        </w:rPr>
        <w:t xml:space="preserve">“</w:t>
      </w:r>
      <w:r>
        <w:rPr>
          <w:iCs/>
          <w:i/>
        </w:rPr>
        <w:t xml:space="preserve">We have standards from Part II and inventory from Part III. The board will not fund fourteen thousand migrations — they will fund a wave plan they can defend.</w:t>
      </w:r>
      <w:r>
        <w:rPr>
          <w:iCs/>
          <w:i/>
        </w:rPr>
        <w:t xml:space="preserve">”</w:t>
      </w:r>
      <w:r>
        <w:t xml:space="preserve"> </w:t>
      </w:r>
      <w:r>
        <w:t xml:space="preserve">Chapter 9 is that defensibility layer.</w:t>
      </w:r>
    </w:p>
    <w:p>
      <w:pPr>
        <w:pStyle w:val="BodyText"/>
      </w:pPr>
      <w:r>
        <w:t xml:space="preserve">Parts I and II established urgency and standards. Chapters 7 and 8 produced visibility — CBOM and CDG. Chapter 9 converts visibility into</w:t>
      </w:r>
      <w:r>
        <w:t xml:space="preserve"> </w:t>
      </w:r>
      <w:r>
        <w:rPr>
          <w:bCs/>
          <w:b/>
        </w:rPr>
        <w:t xml:space="preserve">sequenced action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Artefact</w:t>
            </w:r>
          </w:p>
        </w:tc>
        <w:tc>
          <w:tcPr/>
          <w:p>
            <w:pPr>
              <w:pStyle w:val="Compact"/>
              <w:jc w:val="left"/>
            </w:pPr>
            <w:r>
              <w:t xml:space="preserve">Question answered</w:t>
            </w:r>
          </w:p>
        </w:tc>
        <w:tc>
          <w:tcPr/>
          <w:p>
            <w:pPr>
              <w:pStyle w:val="Compact"/>
              <w:jc w:val="left"/>
            </w:pPr>
            <w:r>
              <w:t xml:space="preserve">Chapter</w:t>
            </w:r>
          </w:p>
        </w:tc>
      </w:tr>
      <w:tr>
        <w:tc>
          <w:tcPr/>
          <w:p>
            <w:pPr>
              <w:pStyle w:val="Compact"/>
              <w:jc w:val="left"/>
            </w:pPr>
            <w:r>
              <w:t xml:space="preserve">CBOM</w:t>
            </w:r>
          </w:p>
        </w:tc>
        <w:tc>
          <w:tcPr/>
          <w:p>
            <w:pPr>
              <w:pStyle w:val="Compact"/>
              <w:jc w:val="left"/>
            </w:pPr>
            <w:r>
              <w:t xml:space="preserve">What cryptography exists?</w:t>
            </w:r>
          </w:p>
        </w:tc>
        <w:tc>
          <w:tcPr/>
          <w:p>
            <w:pPr>
              <w:pStyle w:val="Compact"/>
              <w:jc w:val="left"/>
            </w:pPr>
            <w:r>
              <w:t xml:space="preserve">7</w:t>
            </w:r>
          </w:p>
        </w:tc>
      </w:tr>
      <w:tr>
        <w:tc>
          <w:tcPr/>
          <w:p>
            <w:pPr>
              <w:pStyle w:val="Compact"/>
              <w:jc w:val="left"/>
            </w:pPr>
            <w:r>
              <w:t xml:space="preserve">CDG</w:t>
            </w:r>
          </w:p>
        </w:tc>
        <w:tc>
          <w:tcPr/>
          <w:p>
            <w:pPr>
              <w:pStyle w:val="Compact"/>
              <w:jc w:val="left"/>
            </w:pPr>
            <w:r>
              <w:t xml:space="preserve">What breaks if we change it?</w:t>
            </w:r>
          </w:p>
        </w:tc>
        <w:tc>
          <w:tcPr/>
          <w:p>
            <w:pPr>
              <w:pStyle w:val="Compact"/>
              <w:jc w:val="left"/>
            </w:pPr>
            <w:r>
              <w:t xml:space="preserve">8</w:t>
            </w:r>
          </w:p>
        </w:tc>
      </w:tr>
      <w:tr>
        <w:tc>
          <w:tcPr/>
          <w:p>
            <w:pPr>
              <w:pStyle w:val="Compact"/>
              <w:jc w:val="left"/>
            </w:pPr>
            <w:r>
              <w:t xml:space="preserve">TRADE-scored register</w:t>
            </w:r>
          </w:p>
        </w:tc>
        <w:tc>
          <w:tcPr/>
          <w:p>
            <w:pPr>
              <w:pStyle w:val="Compact"/>
              <w:jc w:val="left"/>
            </w:pPr>
            <w:r>
              <w:t xml:space="preserve">How urgent is each workload?</w:t>
            </w:r>
          </w:p>
        </w:tc>
        <w:tc>
          <w:tcPr/>
          <w:p>
            <w:pPr>
              <w:pStyle w:val="Compact"/>
              <w:jc w:val="left"/>
            </w:pPr>
            <w:r>
              <w:t xml:space="preserve">9</w:t>
            </w:r>
          </w:p>
        </w:tc>
      </w:tr>
      <w:tr>
        <w:tc>
          <w:tcPr/>
          <w:p>
            <w:pPr>
              <w:pStyle w:val="Compact"/>
              <w:jc w:val="left"/>
            </w:pPr>
            <w:r>
              <w:t xml:space="preserve">Wave plan</w:t>
            </w:r>
          </w:p>
        </w:tc>
        <w:tc>
          <w:tcPr/>
          <w:p>
            <w:pPr>
              <w:pStyle w:val="Compact"/>
              <w:jc w:val="left"/>
            </w:pPr>
            <w:r>
              <w:t xml:space="preserve">What moves when, and why?</w:t>
            </w:r>
          </w:p>
        </w:tc>
        <w:tc>
          <w:tcPr/>
          <w:p>
            <w:pPr>
              <w:pStyle w:val="Compact"/>
              <w:jc w:val="left"/>
            </w:pPr>
            <w:r>
              <w:t xml:space="preserve">9</w:t>
            </w:r>
          </w:p>
        </w:tc>
      </w:tr>
    </w:tbl>
    <w:p>
      <w:pPr>
        <w:pStyle w:val="BodyText"/>
      </w:pPr>
      <w:r>
        <w:t xml:space="preserve">Without wave planning, enterprises default to:</w:t>
      </w:r>
    </w:p>
    <w:p>
      <w:pPr>
        <w:numPr>
          <w:ilvl w:val="0"/>
          <w:numId w:val="1001"/>
        </w:numPr>
        <w:pStyle w:val="Compact"/>
      </w:pPr>
      <w:r>
        <w:rPr>
          <w:bCs/>
          <w:b/>
        </w:rPr>
        <w:t xml:space="preserve">Visibility-driven migration</w:t>
      </w:r>
      <w:r>
        <w:t xml:space="preserve"> </w:t>
      </w:r>
      <w:r>
        <w:t xml:space="preserve">— external TLS first because scans are easy</w:t>
      </w:r>
    </w:p>
    <w:p>
      <w:pPr>
        <w:numPr>
          <w:ilvl w:val="0"/>
          <w:numId w:val="1001"/>
        </w:numPr>
        <w:pStyle w:val="Compact"/>
      </w:pPr>
      <w:r>
        <w:rPr>
          <w:bCs/>
          <w:b/>
        </w:rPr>
        <w:t xml:space="preserve">Vendor-driven migration</w:t>
      </w:r>
      <w:r>
        <w:t xml:space="preserve"> </w:t>
      </w:r>
      <w:r>
        <w:t xml:space="preserve">— whatever the HSM vendor ships next quarter</w:t>
      </w:r>
    </w:p>
    <w:p>
      <w:pPr>
        <w:numPr>
          <w:ilvl w:val="0"/>
          <w:numId w:val="1001"/>
        </w:numPr>
        <w:pStyle w:val="Compact"/>
      </w:pPr>
      <w:r>
        <w:rPr>
          <w:bCs/>
          <w:b/>
        </w:rPr>
        <w:t xml:space="preserve">Calendar-driven migration</w:t>
      </w:r>
      <w:r>
        <w:t xml:space="preserve"> </w:t>
      </w:r>
      <w:r>
        <w:t xml:space="preserve">— NIST 2035 copied into project plans without dependency analysis</w:t>
      </w:r>
    </w:p>
    <w:p>
      <w:pPr>
        <w:pStyle w:val="FirstParagraph"/>
      </w:pPr>
      <w:r>
        <w:t xml:space="preserve">Each default fails. This chapter replaces defaults with the</w:t>
      </w:r>
      <w:r>
        <w:t xml:space="preserve"> </w:t>
      </w:r>
      <w:r>
        <w:rPr>
          <w:bCs/>
          <w:b/>
        </w:rPr>
        <w:t xml:space="preserve">TRADE Decision Engine</w:t>
      </w:r>
      <w:r>
        <w:t xml:space="preserve"> </w:t>
      </w:r>
      <w:r>
        <w:t xml:space="preserve">and explicit wave governance.</w:t>
      </w:r>
    </w:p>
    <w:p>
      <w:pPr>
        <w:pStyle w:val="BlockText"/>
      </w:pPr>
      <w:r>
        <w:rPr>
          <w:bCs/>
          <w:b/>
        </w:rPr>
        <w:t xml:space="preserve">Migration Moment</w:t>
      </w:r>
    </w:p>
    <w:p>
      <w:pPr>
        <w:pStyle w:val="BlockText"/>
      </w:pPr>
      <w:r>
        <w:rPr>
          <w:iCs/>
          <w:i/>
        </w:rPr>
        <w:t xml:space="preserve">“</w:t>
      </w:r>
      <w:r>
        <w:rPr>
          <w:iCs/>
          <w:i/>
        </w:rPr>
        <w:t xml:space="preserve">We have 14,200 assets. Just start with the most critical.</w:t>
      </w:r>
      <w:r>
        <w:rPr>
          <w:iCs/>
          <w:i/>
        </w:rPr>
        <w:t xml:space="preserve">”</w:t>
      </w:r>
    </w:p>
    <w:p>
      <w:pPr>
        <w:pStyle w:val="BlockText"/>
      </w:pPr>
      <w:r>
        <w:t xml:space="preserve">“</w:t>
      </w:r>
      <w:r>
        <w:t xml:space="preserve">Critical</w:t>
      </w:r>
      <w:r>
        <w:t xml:space="preserve">”</w:t>
      </w:r>
      <w:r>
        <w:t xml:space="preserve"> </w:t>
      </w:r>
      <w:r>
        <w:t xml:space="preserve">is multidimensional. Meridian’s customer PII KMS is critical on Threat, Regulatory, and Data longevity — but Ecosystem readiness gated production until 2027. GlobalSync’s partner mTLS policy is moderate on Threat but</w:t>
      </w:r>
      <w:r>
        <w:t xml:space="preserve"> </w:t>
      </w:r>
      <w:r>
        <w:rPr>
          <w:bCs/>
          <w:b/>
        </w:rPr>
        <w:t xml:space="preserve">blocking</w:t>
      </w:r>
      <w:r>
        <w:t xml:space="preserve"> </w:t>
      </w:r>
      <w:r>
        <w:t xml:space="preserve">for 200 microservices. Single-dimension sorting produces wrong wave membership.</w:t>
      </w:r>
    </w:p>
    <w:p>
      <w:r>
        <w:pict>
          <v:rect style="width:0;height:1.5pt" o:hralign="center" o:hrstd="t" o:hr="t"/>
        </w:pict>
      </w:r>
    </w:p>
    <w:bookmarkEnd w:id="21"/>
    <w:bookmarkStart w:id="24" w:name="Xdd262b3af0e41183bc946da9d2af1ff63f1bb83"/>
    <w:p>
      <w:pPr>
        <w:pStyle w:val="Heading2"/>
      </w:pPr>
      <w:r>
        <w:t xml:space="preserve">9.2 The TRADE Decision Engine (Full Specification)</w:t>
      </w:r>
    </w:p>
    <w:p>
      <w:pPr>
        <w:pStyle w:val="FirstParagraph"/>
      </w:pPr>
      <w:r>
        <w:t xml:space="preserve">Chapter 2 introduced TRADE and developed the</w:t>
      </w:r>
      <w:r>
        <w:t xml:space="preserve"> </w:t>
      </w:r>
      <w:r>
        <w:rPr>
          <w:bCs/>
          <w:b/>
        </w:rPr>
        <w:t xml:space="preserve">Threat (T)</w:t>
      </w:r>
      <w:r>
        <w:t xml:space="preserve"> </w:t>
      </w:r>
      <w:r>
        <w:t xml:space="preserve">dimension. Chapter 8 previewed</w:t>
      </w:r>
      <w:r>
        <w:t xml:space="preserve"> </w:t>
      </w:r>
      <w:r>
        <w:rPr>
          <w:bCs/>
          <w:b/>
        </w:rPr>
        <w:t xml:space="preserve">Architectural dependency (A)</w:t>
      </w:r>
      <w:r>
        <w:t xml:space="preserve"> </w:t>
      </w:r>
      <w:r>
        <w:t xml:space="preserve">via CDG. This section completes all five dimensions.</w:t>
      </w:r>
    </w:p>
    <w:p>
      <w:pPr>
        <w:pStyle w:val="BodyText"/>
      </w:pPr>
      <w:r>
        <w:rPr>
          <w:bCs/>
          <w:b/>
        </w:rPr>
        <w:t xml:space="preserve">TRADE</w:t>
      </w:r>
      <w:r>
        <w:t xml:space="preserve"> </w:t>
      </w:r>
      <w:r>
        <w:t xml:space="preserve">scores each in-scope system or workload on five dimensions, each</w:t>
      </w:r>
      <w:r>
        <w:t xml:space="preserve"> </w:t>
      </w:r>
      <w:r>
        <w:rPr>
          <w:bCs/>
          <w:b/>
        </w:rPr>
        <w:t xml:space="preserve">1–5</w:t>
      </w:r>
      <w:r>
        <w:t xml:space="preserve"> </w:t>
      </w:r>
      <w:r>
        <w:t xml:space="preserve">(5 = highest urgency or friction as defined per dimension):</w:t>
      </w:r>
    </w:p>
    <w:tbl>
      <w:tblPr>
        <w:tblStyle w:val="Table"/>
        <w:tblW w:type="pct" w:w="5000"/>
        <w:tblLook w:firstRow="1" w:lastRow="0" w:firstColumn="0" w:lastColumn="0" w:noHBand="0" w:noVBand="0" w:val="0020"/>
        <w:jc w:val="start"/>
      </w:tblPr>
      <w:tblGrid>
        <w:gridCol w:w="1613"/>
        <w:gridCol w:w="1173"/>
        <w:gridCol w:w="2786"/>
        <w:gridCol w:w="2346"/>
      </w:tblGrid>
      <w:tr>
        <w:trPr>
          <w:tblHeader w:val="true"/>
        </w:trPr>
        <w:tc>
          <w:tcPr/>
          <w:p>
            <w:pPr>
              <w:pStyle w:val="Compact"/>
              <w:jc w:val="left"/>
            </w:pPr>
            <w:r>
              <w:t xml:space="preserve">Dimension</w:t>
            </w:r>
          </w:p>
        </w:tc>
        <w:tc>
          <w:tcPr/>
          <w:p>
            <w:pPr>
              <w:pStyle w:val="Compact"/>
              <w:jc w:val="left"/>
            </w:pPr>
            <w:r>
              <w:t xml:space="preserve">Symbol</w:t>
            </w:r>
          </w:p>
        </w:tc>
        <w:tc>
          <w:tcPr/>
          <w:p>
            <w:pPr>
              <w:pStyle w:val="Compact"/>
              <w:jc w:val="left"/>
            </w:pPr>
            <w:r>
              <w:t xml:space="preserve">Scores high when…</w:t>
            </w:r>
          </w:p>
        </w:tc>
        <w:tc>
          <w:tcPr/>
          <w:p>
            <w:pPr>
              <w:pStyle w:val="Compact"/>
              <w:jc w:val="left"/>
            </w:pPr>
            <w:r>
              <w:t xml:space="preserve">Primary inputs</w:t>
            </w:r>
          </w:p>
        </w:tc>
      </w:tr>
      <w:tr>
        <w:tc>
          <w:tcPr/>
          <w:p>
            <w:pPr>
              <w:pStyle w:val="Compact"/>
              <w:jc w:val="left"/>
            </w:pPr>
            <w:r>
              <w:rPr>
                <w:bCs/>
                <w:b/>
              </w:rPr>
              <w:t xml:space="preserve">Threat exposure</w:t>
            </w:r>
          </w:p>
        </w:tc>
        <w:tc>
          <w:tcPr/>
          <w:p>
            <w:pPr>
              <w:pStyle w:val="Compact"/>
              <w:jc w:val="left"/>
            </w:pPr>
            <w:r>
              <w:t xml:space="preserve">T</w:t>
            </w:r>
          </w:p>
        </w:tc>
        <w:tc>
          <w:tcPr/>
          <w:p>
            <w:pPr>
              <w:pStyle w:val="Compact"/>
              <w:jc w:val="left"/>
            </w:pPr>
            <w:r>
              <w:t xml:space="preserve">Long confidentiality horizon; high-value data; integrity-critical signing</w:t>
            </w:r>
          </w:p>
        </w:tc>
        <w:tc>
          <w:tcPr/>
          <w:p>
            <w:pPr>
              <w:pStyle w:val="Compact"/>
              <w:jc w:val="left"/>
            </w:pPr>
            <w:r>
              <w:t xml:space="preserve">Threat models, HNDL analysis, TES</w:t>
            </w:r>
          </w:p>
        </w:tc>
      </w:tr>
      <w:tr>
        <w:tc>
          <w:tcPr/>
          <w:p>
            <w:pPr>
              <w:pStyle w:val="Compact"/>
              <w:jc w:val="left"/>
            </w:pPr>
            <w:r>
              <w:rPr>
                <w:bCs/>
                <w:b/>
              </w:rPr>
              <w:t xml:space="preserve">Regulatory obligation</w:t>
            </w:r>
          </w:p>
        </w:tc>
        <w:tc>
          <w:tcPr/>
          <w:p>
            <w:pPr>
              <w:pStyle w:val="Compact"/>
              <w:jc w:val="left"/>
            </w:pPr>
            <w:r>
              <w:t xml:space="preserve">R</w:t>
            </w:r>
          </w:p>
        </w:tc>
        <w:tc>
          <w:tcPr/>
          <w:p>
            <w:pPr>
              <w:pStyle w:val="Compact"/>
              <w:jc w:val="left"/>
            </w:pPr>
            <w:r>
              <w:t xml:space="preserve">Supervisory mandate, contract flow-down, sector rules</w:t>
            </w:r>
          </w:p>
        </w:tc>
        <w:tc>
          <w:tcPr/>
          <w:p>
            <w:pPr>
              <w:pStyle w:val="Compact"/>
              <w:jc w:val="left"/>
            </w:pPr>
            <w:r>
              <w:t xml:space="preserve">DORA, CNSA, NIS2, contracts</w:t>
            </w:r>
          </w:p>
        </w:tc>
      </w:tr>
      <w:tr>
        <w:tc>
          <w:tcPr/>
          <w:p>
            <w:pPr>
              <w:pStyle w:val="Compact"/>
              <w:jc w:val="left"/>
            </w:pPr>
            <w:r>
              <w:rPr>
                <w:bCs/>
                <w:b/>
              </w:rPr>
              <w:t xml:space="preserve">Architectural dependency</w:t>
            </w:r>
          </w:p>
        </w:tc>
        <w:tc>
          <w:tcPr/>
          <w:p>
            <w:pPr>
              <w:pStyle w:val="Compact"/>
              <w:jc w:val="left"/>
            </w:pPr>
            <w:r>
              <w:t xml:space="preserve">A</w:t>
            </w:r>
          </w:p>
        </w:tc>
        <w:tc>
          <w:tcPr/>
          <w:p>
            <w:pPr>
              <w:pStyle w:val="Compact"/>
              <w:jc w:val="left"/>
            </w:pPr>
            <w:r>
              <w:t xml:space="preserve">Blocking node; many dependents; programme leverage</w:t>
            </w:r>
          </w:p>
        </w:tc>
        <w:tc>
          <w:tcPr/>
          <w:p>
            <w:pPr>
              <w:pStyle w:val="Compact"/>
              <w:jc w:val="left"/>
            </w:pPr>
            <w:r>
              <w:t xml:space="preserve">CDG fan-in, blocking flags</w:t>
            </w:r>
          </w:p>
        </w:tc>
      </w:tr>
      <w:tr>
        <w:tc>
          <w:tcPr/>
          <w:p>
            <w:pPr>
              <w:pStyle w:val="Compact"/>
              <w:jc w:val="left"/>
            </w:pPr>
            <w:r>
              <w:rPr>
                <w:bCs/>
                <w:b/>
              </w:rPr>
              <w:t xml:space="preserve">Data longevity</w:t>
            </w:r>
          </w:p>
        </w:tc>
        <w:tc>
          <w:tcPr/>
          <w:p>
            <w:pPr>
              <w:pStyle w:val="Compact"/>
              <w:jc w:val="left"/>
            </w:pPr>
            <w:r>
              <w:t xml:space="preserve">D</w:t>
            </w:r>
          </w:p>
        </w:tc>
        <w:tc>
          <w:tcPr/>
          <w:p>
            <w:pPr>
              <w:pStyle w:val="Compact"/>
              <w:jc w:val="left"/>
            </w:pPr>
            <w:r>
              <w:t xml:space="preserve">Data must remain confidential many years post-migration</w:t>
            </w:r>
          </w:p>
        </w:tc>
        <w:tc>
          <w:tcPr/>
          <w:p>
            <w:pPr>
              <w:pStyle w:val="Compact"/>
              <w:jc w:val="left"/>
            </w:pPr>
            <w:r>
              <w:t xml:space="preserve">Classification, retention</w:t>
            </w:r>
          </w:p>
        </w:tc>
      </w:tr>
      <w:tr>
        <w:tc>
          <w:tcPr/>
          <w:p>
            <w:pPr>
              <w:pStyle w:val="Compact"/>
              <w:jc w:val="left"/>
            </w:pPr>
            <w:r>
              <w:rPr>
                <w:bCs/>
                <w:b/>
              </w:rPr>
              <w:t xml:space="preserve">Ecosystem readiness</w:t>
            </w:r>
          </w:p>
        </w:tc>
        <w:tc>
          <w:tcPr/>
          <w:p>
            <w:pPr>
              <w:pStyle w:val="Compact"/>
              <w:jc w:val="left"/>
            </w:pPr>
            <w:r>
              <w:t xml:space="preserve">E</w:t>
            </w:r>
          </w:p>
        </w:tc>
        <w:tc>
          <w:tcPr/>
          <w:p>
            <w:pPr>
              <w:pStyle w:val="Compact"/>
              <w:jc w:val="left"/>
            </w:pPr>
            <w:r>
              <w:rPr>
                <w:iCs/>
                <w:i/>
              </w:rPr>
              <w:t xml:space="preserve">Low</w:t>
            </w:r>
            <w:r>
              <w:t xml:space="preserve"> </w:t>
            </w:r>
            <w:r>
              <w:t xml:space="preserve">score = immature vendor/partner/protocol support</w:t>
            </w:r>
          </w:p>
        </w:tc>
        <w:tc>
          <w:tcPr/>
          <w:p>
            <w:pPr>
              <w:pStyle w:val="Compact"/>
              <w:jc w:val="left"/>
            </w:pPr>
            <w:r>
              <w:t xml:space="preserve">Vendor roadmaps, partner SLAs</w:t>
            </w:r>
          </w:p>
        </w:tc>
      </w:tr>
    </w:tbl>
    <w:p>
      <w:pPr>
        <w:pStyle w:val="BodyText"/>
      </w:pPr>
      <w:r>
        <w:rPr>
          <w:bCs/>
          <w:b/>
        </w:rPr>
        <w:t xml:space="preserve">Note on E:</w:t>
      </w:r>
      <w:r>
        <w:t xml:space="preserve"> </w:t>
      </w:r>
      <w:r>
        <w:t xml:space="preserve">Ecosystem readiness is inverted in interpretation —</w:t>
      </w:r>
      <w:r>
        <w:t xml:space="preserve"> </w:t>
      </w:r>
      <w:r>
        <w:rPr>
          <w:bCs/>
          <w:b/>
        </w:rPr>
        <w:t xml:space="preserve">low E (1–2) gates production deployment</w:t>
      </w:r>
      <w:r>
        <w:t xml:space="preserve"> </w:t>
      </w:r>
      <w:r>
        <w:t xml:space="preserve">but does not reduce planning priority. High T with low E means</w:t>
      </w:r>
      <w:r>
        <w:t xml:space="preserve"> </w:t>
      </w:r>
      <w:r>
        <w:rPr>
          <w:iCs/>
          <w:i/>
        </w:rPr>
        <w:t xml:space="preserve">start vendor escalation and architecture now; deploy when ready.</w:t>
      </w:r>
    </w:p>
    <w:bookmarkStart w:id="22" w:name="default-mpi-weights"/>
    <w:p>
      <w:pPr>
        <w:pStyle w:val="Heading3"/>
      </w:pPr>
      <w:r>
        <w:t xml:space="preserve">Default MPI weights</w:t>
      </w:r>
    </w:p>
    <w:p>
      <w:pPr>
        <w:pStyle w:val="FirstParagraph"/>
      </w:pPr>
      <w:r>
        <w:rPr>
          <w:bCs/>
          <w:b/>
        </w:rPr>
        <w:t xml:space="preserve">Migration Priority Index (MPI):</w:t>
      </w:r>
    </w:p>
    <w:p>
      <w:pPr>
        <w:pStyle w:val="BodyText"/>
      </w:pPr>
      <w:r>
        <w:rPr>
          <w:bCs/>
          <w:b/>
        </w:rPr>
        <w:t xml:space="preserve">MPI = (wT×T + wR×R + wA×A + wD×D + wE×E) / (wT + wR + wA + wD + wE)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Symbol</w:t>
            </w:r>
          </w:p>
        </w:tc>
        <w:tc>
          <w:tcPr/>
          <w:p>
            <w:pPr>
              <w:pStyle w:val="Compact"/>
              <w:jc w:val="left"/>
            </w:pPr>
            <w:r>
              <w:t xml:space="preserve">Default weight</w:t>
            </w:r>
          </w:p>
        </w:tc>
        <w:tc>
          <w:tcPr/>
          <w:p>
            <w:pPr>
              <w:pStyle w:val="Compact"/>
              <w:jc w:val="left"/>
            </w:pPr>
            <w:r>
              <w:t xml:space="preserve">Rationale</w:t>
            </w:r>
          </w:p>
        </w:tc>
      </w:tr>
      <w:tr>
        <w:tc>
          <w:tcPr/>
          <w:p>
            <w:pPr>
              <w:pStyle w:val="Compact"/>
              <w:jc w:val="left"/>
            </w:pPr>
            <w:r>
              <w:t xml:space="preserve">Threat</w:t>
            </w:r>
          </w:p>
        </w:tc>
        <w:tc>
          <w:tcPr/>
          <w:p>
            <w:pPr>
              <w:pStyle w:val="Compact"/>
              <w:jc w:val="left"/>
            </w:pPr>
            <w:r>
              <w:t xml:space="preserve">wT</w:t>
            </w:r>
          </w:p>
        </w:tc>
        <w:tc>
          <w:tcPr/>
          <w:p>
            <w:pPr>
              <w:pStyle w:val="Compact"/>
              <w:jc w:val="left"/>
            </w:pPr>
            <w:r>
              <w:t xml:space="preserve">1.5</w:t>
            </w:r>
          </w:p>
        </w:tc>
        <w:tc>
          <w:tcPr/>
          <w:p>
            <w:pPr>
              <w:pStyle w:val="Compact"/>
              <w:jc w:val="left"/>
            </w:pPr>
            <w:r>
              <w:t xml:space="preserve">Primary driver for HNDL</w:t>
            </w:r>
          </w:p>
        </w:tc>
      </w:tr>
      <w:tr>
        <w:tc>
          <w:tcPr/>
          <w:p>
            <w:pPr>
              <w:pStyle w:val="Compact"/>
              <w:jc w:val="left"/>
            </w:pPr>
            <w:r>
              <w:t xml:space="preserve">Regulatory</w:t>
            </w:r>
          </w:p>
        </w:tc>
        <w:tc>
          <w:tcPr/>
          <w:p>
            <w:pPr>
              <w:pStyle w:val="Compact"/>
              <w:jc w:val="left"/>
            </w:pPr>
            <w:r>
              <w:t xml:space="preserve">wR</w:t>
            </w:r>
          </w:p>
        </w:tc>
        <w:tc>
          <w:tcPr/>
          <w:p>
            <w:pPr>
              <w:pStyle w:val="Compact"/>
              <w:jc w:val="left"/>
            </w:pPr>
            <w:r>
              <w:t xml:space="preserve">1.25</w:t>
            </w:r>
          </w:p>
        </w:tc>
        <w:tc>
          <w:tcPr/>
          <w:p>
            <w:pPr>
              <w:pStyle w:val="Compact"/>
              <w:jc w:val="left"/>
            </w:pPr>
            <w:r>
              <w:t xml:space="preserve">Compliance forcing function</w:t>
            </w:r>
          </w:p>
        </w:tc>
      </w:tr>
      <w:tr>
        <w:tc>
          <w:tcPr/>
          <w:p>
            <w:pPr>
              <w:pStyle w:val="Compact"/>
              <w:jc w:val="left"/>
            </w:pPr>
            <w:r>
              <w:t xml:space="preserve">Architectural dependency</w:t>
            </w:r>
          </w:p>
        </w:tc>
        <w:tc>
          <w:tcPr/>
          <w:p>
            <w:pPr>
              <w:pStyle w:val="Compact"/>
              <w:jc w:val="left"/>
            </w:pPr>
            <w:r>
              <w:t xml:space="preserve">wA</w:t>
            </w:r>
          </w:p>
        </w:tc>
        <w:tc>
          <w:tcPr/>
          <w:p>
            <w:pPr>
              <w:pStyle w:val="Compact"/>
              <w:jc w:val="left"/>
            </w:pPr>
            <w:r>
              <w:t xml:space="preserve">1.25</w:t>
            </w:r>
          </w:p>
        </w:tc>
        <w:tc>
          <w:tcPr/>
          <w:p>
            <w:pPr>
              <w:pStyle w:val="Compact"/>
              <w:jc w:val="left"/>
            </w:pPr>
            <w:r>
              <w:t xml:space="preserve">Blocking leverage</w:t>
            </w:r>
          </w:p>
        </w:tc>
      </w:tr>
      <w:tr>
        <w:tc>
          <w:tcPr/>
          <w:p>
            <w:pPr>
              <w:pStyle w:val="Compact"/>
              <w:jc w:val="left"/>
            </w:pPr>
            <w:r>
              <w:t xml:space="preserve">Data longevity</w:t>
            </w:r>
          </w:p>
        </w:tc>
        <w:tc>
          <w:tcPr/>
          <w:p>
            <w:pPr>
              <w:pStyle w:val="Compact"/>
              <w:jc w:val="left"/>
            </w:pPr>
            <w:r>
              <w:t xml:space="preserve">wD</w:t>
            </w:r>
          </w:p>
        </w:tc>
        <w:tc>
          <w:tcPr/>
          <w:p>
            <w:pPr>
              <w:pStyle w:val="Compact"/>
              <w:jc w:val="left"/>
            </w:pPr>
            <w:r>
              <w:t xml:space="preserve">1.0</w:t>
            </w:r>
          </w:p>
        </w:tc>
        <w:tc>
          <w:tcPr/>
          <w:p>
            <w:pPr>
              <w:pStyle w:val="Compact"/>
              <w:jc w:val="left"/>
            </w:pPr>
            <w:r>
              <w:t xml:space="preserve">Reinforces HNDL</w:t>
            </w:r>
          </w:p>
        </w:tc>
      </w:tr>
      <w:tr>
        <w:tc>
          <w:tcPr/>
          <w:p>
            <w:pPr>
              <w:pStyle w:val="Compact"/>
              <w:jc w:val="left"/>
            </w:pPr>
            <w:r>
              <w:t xml:space="preserve">Ecosystem readiness</w:t>
            </w:r>
          </w:p>
        </w:tc>
        <w:tc>
          <w:tcPr/>
          <w:p>
            <w:pPr>
              <w:pStyle w:val="Compact"/>
              <w:jc w:val="left"/>
            </w:pPr>
            <w:r>
              <w:t xml:space="preserve">wE</w:t>
            </w:r>
          </w:p>
        </w:tc>
        <w:tc>
          <w:tcPr/>
          <w:p>
            <w:pPr>
              <w:pStyle w:val="Compact"/>
              <w:jc w:val="left"/>
            </w:pPr>
            <w:r>
              <w:t xml:space="preserve">0.75</w:t>
            </w:r>
          </w:p>
        </w:tc>
        <w:tc>
          <w:tcPr/>
          <w:p>
            <w:pPr>
              <w:pStyle w:val="Compact"/>
              <w:jc w:val="left"/>
            </w:pPr>
            <w:r>
              <w:t xml:space="preserve">Gates execution timing</w:t>
            </w:r>
          </w:p>
        </w:tc>
      </w:tr>
    </w:tbl>
    <w:p>
      <w:pPr>
        <w:pStyle w:val="BodyText"/>
      </w:pPr>
      <w:r>
        <w:t xml:space="preserve">Sector overlays (Part VI) modify weights — defence increases wR; SaaS increases wE.</w:t>
      </w:r>
      <w:r>
        <w:t xml:space="preserve"> </w:t>
      </w:r>
      <w:r>
        <w:rPr>
          <w:bCs/>
          <w:b/>
        </w:rPr>
        <w:t xml:space="preserve">Document weights</w:t>
      </w:r>
      <w:r>
        <w:t xml:space="preserve"> </w:t>
      </w:r>
      <w:r>
        <w:t xml:space="preserve">in programme charter; auditors will compare scores year-over-year.</w:t>
      </w:r>
    </w:p>
    <w:bookmarkEnd w:id="22"/>
    <w:bookmarkStart w:id="23" w:name="mpi-interpretation-bands"/>
    <w:p>
      <w:pPr>
        <w:pStyle w:val="Heading3"/>
      </w:pPr>
      <w:r>
        <w:t xml:space="preserve">MPI interpretation bands</w:t>
      </w:r>
    </w:p>
    <w:tbl>
      <w:tblPr>
        <w:tblStyle w:val="Table"/>
        <w:tblW w:type="pct" w:w="5000"/>
        <w:tblLook w:firstRow="1" w:lastRow="0" w:firstColumn="0" w:lastColumn="0" w:noHBand="0" w:noVBand="0" w:val="0020"/>
        <w:jc w:val="start"/>
      </w:tblPr>
      <w:tblGrid>
        <w:gridCol w:w="2489"/>
        <w:gridCol w:w="1357"/>
        <w:gridCol w:w="4073"/>
      </w:tblGrid>
      <w:tr>
        <w:trPr>
          <w:tblHeader w:val="true"/>
        </w:trPr>
        <w:tc>
          <w:tcPr/>
          <w:p>
            <w:pPr>
              <w:pStyle w:val="Compact"/>
              <w:jc w:val="left"/>
            </w:pPr>
            <w:r>
              <w:t xml:space="preserve">MPI range</w:t>
            </w:r>
          </w:p>
        </w:tc>
        <w:tc>
          <w:tcPr/>
          <w:p>
            <w:pPr>
              <w:pStyle w:val="Compact"/>
              <w:jc w:val="left"/>
            </w:pPr>
            <w:r>
              <w:t xml:space="preserve">Tier</w:t>
            </w:r>
          </w:p>
        </w:tc>
        <w:tc>
          <w:tcPr/>
          <w:p>
            <w:pPr>
              <w:pStyle w:val="Compact"/>
              <w:jc w:val="left"/>
            </w:pPr>
            <w:r>
              <w:t xml:space="preserve">Programme action</w:t>
            </w:r>
          </w:p>
        </w:tc>
      </w:tr>
      <w:tr>
        <w:tc>
          <w:tcPr/>
          <w:p>
            <w:pPr>
              <w:pStyle w:val="Compact"/>
              <w:jc w:val="left"/>
            </w:pPr>
            <w:r>
              <w:t xml:space="preserve">≥ 4.0</w:t>
            </w:r>
          </w:p>
        </w:tc>
        <w:tc>
          <w:tcPr/>
          <w:p>
            <w:pPr>
              <w:pStyle w:val="Compact"/>
              <w:jc w:val="left"/>
            </w:pPr>
            <w:r>
              <w:rPr>
                <w:bCs/>
                <w:b/>
              </w:rPr>
              <w:t xml:space="preserve">Immediate planning</w:t>
            </w:r>
          </w:p>
        </w:tc>
        <w:tc>
          <w:tcPr/>
          <w:p>
            <w:pPr>
              <w:pStyle w:val="Compact"/>
              <w:jc w:val="left"/>
            </w:pPr>
            <w:r>
              <w:t xml:space="preserve">Wave 0–1 candidate; executive visibility</w:t>
            </w:r>
          </w:p>
        </w:tc>
      </w:tr>
      <w:tr>
        <w:tc>
          <w:tcPr/>
          <w:p>
            <w:pPr>
              <w:pStyle w:val="Compact"/>
              <w:jc w:val="left"/>
            </w:pPr>
            <w:r>
              <w:t xml:space="preserve">3.2 – 3.9</w:t>
            </w:r>
          </w:p>
        </w:tc>
        <w:tc>
          <w:tcPr/>
          <w:p>
            <w:pPr>
              <w:pStyle w:val="Compact"/>
              <w:jc w:val="left"/>
            </w:pPr>
            <w:r>
              <w:rPr>
                <w:bCs/>
                <w:b/>
              </w:rPr>
              <w:t xml:space="preserve">High</w:t>
            </w:r>
          </w:p>
        </w:tc>
        <w:tc>
          <w:tcPr/>
          <w:p>
            <w:pPr>
              <w:pStyle w:val="Compact"/>
              <w:jc w:val="left"/>
            </w:pPr>
            <w:r>
              <w:t xml:space="preserve">Wave 1–2; resource allocation</w:t>
            </w:r>
          </w:p>
        </w:tc>
      </w:tr>
      <w:tr>
        <w:tc>
          <w:tcPr/>
          <w:p>
            <w:pPr>
              <w:pStyle w:val="Compact"/>
              <w:jc w:val="left"/>
            </w:pPr>
            <w:r>
              <w:t xml:space="preserve">2.5 – 3.1</w:t>
            </w:r>
          </w:p>
        </w:tc>
        <w:tc>
          <w:tcPr/>
          <w:p>
            <w:pPr>
              <w:pStyle w:val="Compact"/>
              <w:jc w:val="left"/>
            </w:pPr>
            <w:r>
              <w:rPr>
                <w:bCs/>
                <w:b/>
              </w:rPr>
              <w:t xml:space="preserve">Moderate</w:t>
            </w:r>
          </w:p>
        </w:tc>
        <w:tc>
          <w:tcPr/>
          <w:p>
            <w:pPr>
              <w:pStyle w:val="Compact"/>
              <w:jc w:val="left"/>
            </w:pPr>
            <w:r>
              <w:t xml:space="preserve">Wave 2–3; align refresh cycles</w:t>
            </w:r>
          </w:p>
        </w:tc>
      </w:tr>
      <w:tr>
        <w:tc>
          <w:tcPr/>
          <w:p>
            <w:pPr>
              <w:pStyle w:val="Compact"/>
              <w:jc w:val="left"/>
            </w:pPr>
            <w:r>
              <w:t xml:space="preserve">&lt; 2.5</w:t>
            </w:r>
          </w:p>
        </w:tc>
        <w:tc>
          <w:tcPr/>
          <w:p>
            <w:pPr>
              <w:pStyle w:val="Compact"/>
              <w:jc w:val="left"/>
            </w:pPr>
            <w:r>
              <w:rPr>
                <w:bCs/>
                <w:b/>
              </w:rPr>
              <w:t xml:space="preserve">Low</w:t>
            </w:r>
          </w:p>
        </w:tc>
        <w:tc>
          <w:tcPr/>
          <w:p>
            <w:pPr>
              <w:pStyle w:val="Compact"/>
              <w:jc w:val="left"/>
            </w:pPr>
            <w:r>
              <w:t xml:space="preserve">Defer to natural refresh or decommission</w:t>
            </w:r>
          </w:p>
        </w:tc>
      </w:tr>
    </w:tbl>
    <w:p>
      <w:pPr>
        <w:pStyle w:val="BodyText"/>
      </w:pPr>
      <w:r>
        <w:t xml:space="preserve">MPI informs priority;</w:t>
      </w:r>
      <w:r>
        <w:t xml:space="preserve"> </w:t>
      </w:r>
      <w:r>
        <w:rPr>
          <w:bCs/>
          <w:b/>
        </w:rPr>
        <w:t xml:space="preserve">CDG blocking overrides</w:t>
      </w:r>
      <w:r>
        <w:t xml:space="preserve"> </w:t>
      </w:r>
      <w:r>
        <w:t xml:space="preserve">pure MPI ordering when a low-MPI consumer depends on a high-blocker anchor.</w:t>
      </w:r>
    </w:p>
    <w:p>
      <w:r>
        <w:pict>
          <v:rect style="width:0;height:1.5pt" o:hralign="center" o:hrstd="t" o:hr="t"/>
        </w:pict>
      </w:r>
    </w:p>
    <w:bookmarkEnd w:id="23"/>
    <w:bookmarkEnd w:id="24"/>
    <w:bookmarkStart w:id="30" w:name="dimension-scoring-rubrics"/>
    <w:p>
      <w:pPr>
        <w:pStyle w:val="Heading2"/>
      </w:pPr>
      <w:r>
        <w:t xml:space="preserve">9.3 Dimension Scoring Rubrics</w:t>
      </w:r>
    </w:p>
    <w:bookmarkStart w:id="25" w:name="threat-exposure-t"/>
    <w:p>
      <w:pPr>
        <w:pStyle w:val="Heading3"/>
      </w:pPr>
      <w:r>
        <w:t xml:space="preserve">9.3.1 Threat exposure (T)</w:t>
      </w:r>
    </w:p>
    <w:tbl>
      <w:tblPr>
        <w:tblStyle w:val="Table"/>
        <w:tblW w:type="pct" w:w="5000"/>
        <w:tblLook w:firstRow="1" w:lastRow="0" w:firstColumn="0" w:lastColumn="0" w:noHBand="0" w:noVBand="0" w:val="0020"/>
        <w:jc w:val="start"/>
      </w:tblPr>
      <w:tblGrid>
        <w:gridCol w:w="3261"/>
        <w:gridCol w:w="4658"/>
      </w:tblGrid>
      <w:tr>
        <w:trPr>
          <w:tblHeader w:val="true"/>
        </w:trPr>
        <w:tc>
          <w:tcPr/>
          <w:p>
            <w:pPr>
              <w:pStyle w:val="Compact"/>
              <w:jc w:val="left"/>
            </w:pPr>
            <w:r>
              <w:t xml:space="preserve">Score</w:t>
            </w:r>
          </w:p>
        </w:tc>
        <w:tc>
          <w:tcPr/>
          <w:p>
            <w:pPr>
              <w:pStyle w:val="Compact"/>
              <w:jc w:val="left"/>
            </w:pPr>
            <w:r>
              <w:t xml:space="preserve">Criteria</w:t>
            </w:r>
          </w:p>
        </w:tc>
      </w:tr>
      <w:tr>
        <w:tc>
          <w:tcPr/>
          <w:p>
            <w:pPr>
              <w:pStyle w:val="Compact"/>
              <w:jc w:val="left"/>
            </w:pPr>
            <w:r>
              <w:t xml:space="preserve">5</w:t>
            </w:r>
          </w:p>
        </w:tc>
        <w:tc>
          <w:tcPr/>
          <w:p>
            <w:pPr>
              <w:pStyle w:val="Compact"/>
              <w:jc w:val="left"/>
            </w:pPr>
            <w:r>
              <w:t xml:space="preserve">TES 5; nation-state HNDL concern; long-horizon classified or PCI/PII at scale</w:t>
            </w:r>
          </w:p>
        </w:tc>
      </w:tr>
      <w:tr>
        <w:tc>
          <w:tcPr/>
          <w:p>
            <w:pPr>
              <w:pStyle w:val="Compact"/>
              <w:jc w:val="left"/>
            </w:pPr>
            <w:r>
              <w:t xml:space="preserve">4</w:t>
            </w:r>
          </w:p>
        </w:tc>
        <w:tc>
          <w:tcPr/>
          <w:p>
            <w:pPr>
              <w:pStyle w:val="Compact"/>
              <w:jc w:val="left"/>
            </w:pPr>
            <w:r>
              <w:t xml:space="preserve">TES 4; regulated financial or health data; integrity-critical firmware</w:t>
            </w:r>
          </w:p>
        </w:tc>
      </w:tr>
      <w:tr>
        <w:tc>
          <w:tcPr/>
          <w:p>
            <w:pPr>
              <w:pStyle w:val="Compact"/>
              <w:jc w:val="left"/>
            </w:pPr>
            <w:r>
              <w:t xml:space="preserve">3</w:t>
            </w:r>
          </w:p>
        </w:tc>
        <w:tc>
          <w:tcPr/>
          <w:p>
            <w:pPr>
              <w:pStyle w:val="Compact"/>
              <w:jc w:val="left"/>
            </w:pPr>
            <w:r>
              <w:t xml:space="preserve">TES 3; standard enterprise confidential data</w:t>
            </w:r>
          </w:p>
        </w:tc>
      </w:tr>
      <w:tr>
        <w:tc>
          <w:tcPr/>
          <w:p>
            <w:pPr>
              <w:pStyle w:val="Compact"/>
              <w:jc w:val="left"/>
            </w:pPr>
            <w:r>
              <w:t xml:space="preserve">2</w:t>
            </w:r>
          </w:p>
        </w:tc>
        <w:tc>
          <w:tcPr/>
          <w:p>
            <w:pPr>
              <w:pStyle w:val="Compact"/>
              <w:jc w:val="left"/>
            </w:pPr>
            <w:r>
              <w:t xml:space="preserve">TES 2; internal operational data, short horizon</w:t>
            </w:r>
          </w:p>
        </w:tc>
      </w:tr>
      <w:tr>
        <w:tc>
          <w:tcPr/>
          <w:p>
            <w:pPr>
              <w:pStyle w:val="Compact"/>
              <w:jc w:val="left"/>
            </w:pPr>
            <w:r>
              <w:t xml:space="preserve">1</w:t>
            </w:r>
          </w:p>
        </w:tc>
        <w:tc>
          <w:tcPr/>
          <w:p>
            <w:pPr>
              <w:pStyle w:val="Compact"/>
              <w:jc w:val="left"/>
            </w:pPr>
            <w:r>
              <w:t xml:space="preserve">TES 1; public or ephemeral data</w:t>
            </w:r>
          </w:p>
        </w:tc>
      </w:tr>
    </w:tbl>
    <w:p>
      <w:pPr>
        <w:pStyle w:val="BodyText"/>
      </w:pPr>
      <w:r>
        <w:rPr>
          <w:iCs/>
          <w:i/>
        </w:rPr>
        <w:t xml:space="preserve">See Chapter 2 for TES workshop methodology.</w:t>
      </w:r>
    </w:p>
    <w:p>
      <w:pPr>
        <w:pStyle w:val="BodyText"/>
      </w:pPr>
      <w:r>
        <w:rPr>
          <w:bCs/>
          <w:b/>
        </w:rPr>
        <w:t xml:space="preserve">Scoring discipline:</w:t>
      </w:r>
      <w:r>
        <w:t xml:space="preserve"> </w:t>
      </w:r>
      <w:r>
        <w:t xml:space="preserve">Threat scores require documented threat actor assumptions. Meridian worksheet field</w:t>
      </w:r>
      <w:r>
        <w:t xml:space="preserve"> </w:t>
      </w:r>
      <w:r>
        <w:rPr>
          <w:rStyle w:val="VerbatimChar"/>
        </w:rPr>
        <w:t xml:space="preserve">threat_actor_basis</w:t>
      </w:r>
      <w:r>
        <w:t xml:space="preserve"> </w:t>
      </w:r>
      <w:r>
        <w:t xml:space="preserve">mandatory for T ≥ 4. Apex NSS systems default T ≥ 4 without workshop — policy floor documented in methodology.</w:t>
      </w:r>
    </w:p>
    <w:p>
      <w:pPr>
        <w:pStyle w:val="BodyText"/>
      </w:pPr>
      <w:r>
        <w:rPr>
          <w:bCs/>
          <w:b/>
        </w:rPr>
        <w:t xml:space="preserve">Integrity vs confidentiality:</w:t>
      </w:r>
      <w:r>
        <w:t xml:space="preserve"> </w:t>
      </w:r>
      <w:r>
        <w:t xml:space="preserve">Payment HSM firmware scores T = 5 on</w:t>
      </w:r>
      <w:r>
        <w:t xml:space="preserve"> </w:t>
      </w:r>
      <w:r>
        <w:rPr>
          <w:bCs/>
          <w:b/>
        </w:rPr>
        <w:t xml:space="preserve">integrity</w:t>
      </w:r>
      <w:r>
        <w:t xml:space="preserve"> </w:t>
      </w:r>
      <w:r>
        <w:t xml:space="preserve">even when firmware binary is not confidential — forged firmware exceeds decryption risk (Chapter 2). Worksheet separates</w:t>
      </w:r>
      <w:r>
        <w:t xml:space="preserve"> </w:t>
      </w:r>
      <w:r>
        <w:rPr>
          <w:rStyle w:val="VerbatimChar"/>
        </w:rPr>
        <w:t xml:space="preserve">tes_confidentiality</w:t>
      </w:r>
      <w:r>
        <w:t xml:space="preserve"> </w:t>
      </w:r>
      <w:r>
        <w:t xml:space="preserve">and</w:t>
      </w:r>
      <w:r>
        <w:t xml:space="preserve"> </w:t>
      </w:r>
      <w:r>
        <w:rPr>
          <w:rStyle w:val="VerbatimChar"/>
        </w:rPr>
        <w:t xml:space="preserve">tes_integrity</w:t>
      </w:r>
      <w:r>
        <w:t xml:space="preserve">; T dimension uses maximum of the two.</w:t>
      </w:r>
    </w:p>
    <w:bookmarkEnd w:id="25"/>
    <w:bookmarkStart w:id="26" w:name="regulatory-obligation-r"/>
    <w:p>
      <w:pPr>
        <w:pStyle w:val="Heading3"/>
      </w:pPr>
      <w:r>
        <w:t xml:space="preserve">9.3.2 Regulatory obligation (R)</w:t>
      </w:r>
    </w:p>
    <w:tbl>
      <w:tblPr>
        <w:tblStyle w:val="Table"/>
        <w:tblW w:type="pct" w:w="5000"/>
        <w:tblLook w:firstRow="1" w:lastRow="0" w:firstColumn="0" w:lastColumn="0" w:noHBand="0" w:noVBand="0" w:val="0020"/>
        <w:jc w:val="start"/>
      </w:tblPr>
      <w:tblGrid>
        <w:gridCol w:w="3261"/>
        <w:gridCol w:w="4658"/>
      </w:tblGrid>
      <w:tr>
        <w:trPr>
          <w:tblHeader w:val="true"/>
        </w:trPr>
        <w:tc>
          <w:tcPr/>
          <w:p>
            <w:pPr>
              <w:pStyle w:val="Compact"/>
              <w:jc w:val="left"/>
            </w:pPr>
            <w:r>
              <w:t xml:space="preserve">Score</w:t>
            </w:r>
          </w:p>
        </w:tc>
        <w:tc>
          <w:tcPr/>
          <w:p>
            <w:pPr>
              <w:pStyle w:val="Compact"/>
              <w:jc w:val="left"/>
            </w:pPr>
            <w:r>
              <w:t xml:space="preserve">Criteria</w:t>
            </w:r>
          </w:p>
        </w:tc>
      </w:tr>
      <w:tr>
        <w:tc>
          <w:tcPr/>
          <w:p>
            <w:pPr>
              <w:pStyle w:val="Compact"/>
              <w:jc w:val="left"/>
            </w:pPr>
            <w:r>
              <w:t xml:space="preserve">5</w:t>
            </w:r>
          </w:p>
        </w:tc>
        <w:tc>
          <w:tcPr/>
          <w:p>
            <w:pPr>
              <w:pStyle w:val="Compact"/>
              <w:jc w:val="left"/>
            </w:pPr>
            <w:r>
              <w:t xml:space="preserve">NSS/CNSA binding; explicit supervisory order; contract penalty clause</w:t>
            </w:r>
          </w:p>
        </w:tc>
      </w:tr>
      <w:tr>
        <w:tc>
          <w:tcPr/>
          <w:p>
            <w:pPr>
              <w:pStyle w:val="Compact"/>
              <w:jc w:val="left"/>
            </w:pPr>
            <w:r>
              <w:t xml:space="preserve">4</w:t>
            </w:r>
          </w:p>
        </w:tc>
        <w:tc>
          <w:tcPr/>
          <w:p>
            <w:pPr>
              <w:pStyle w:val="Compact"/>
              <w:jc w:val="left"/>
            </w:pPr>
            <w:r>
              <w:t xml:space="preserve">DORA/NIS2 essential entity measures; PCI DSS crypto requirements</w:t>
            </w:r>
          </w:p>
        </w:tc>
      </w:tr>
      <w:tr>
        <w:tc>
          <w:tcPr/>
          <w:p>
            <w:pPr>
              <w:pStyle w:val="Compact"/>
              <w:jc w:val="left"/>
            </w:pPr>
            <w:r>
              <w:t xml:space="preserve">3</w:t>
            </w:r>
          </w:p>
        </w:tc>
        <w:tc>
          <w:tcPr/>
          <w:p>
            <w:pPr>
              <w:pStyle w:val="Compact"/>
              <w:jc w:val="left"/>
            </w:pPr>
            <w:r>
              <w:t xml:space="preserve">Industry guidance with supervisory expectation; customer contract</w:t>
            </w:r>
          </w:p>
        </w:tc>
      </w:tr>
      <w:tr>
        <w:tc>
          <w:tcPr/>
          <w:p>
            <w:pPr>
              <w:pStyle w:val="Compact"/>
              <w:jc w:val="left"/>
            </w:pPr>
            <w:r>
              <w:t xml:space="preserve">2</w:t>
            </w:r>
          </w:p>
        </w:tc>
        <w:tc>
          <w:tcPr/>
          <w:p>
            <w:pPr>
              <w:pStyle w:val="Compact"/>
              <w:jc w:val="left"/>
            </w:pPr>
            <w:r>
              <w:t xml:space="preserve">Best practice alignment; voluntary frameworks</w:t>
            </w:r>
          </w:p>
        </w:tc>
      </w:tr>
      <w:tr>
        <w:tc>
          <w:tcPr/>
          <w:p>
            <w:pPr>
              <w:pStyle w:val="Compact"/>
              <w:jc w:val="left"/>
            </w:pPr>
            <w:r>
              <w:t xml:space="preserve">1</w:t>
            </w:r>
          </w:p>
        </w:tc>
        <w:tc>
          <w:tcPr/>
          <w:p>
            <w:pPr>
              <w:pStyle w:val="Compact"/>
              <w:jc w:val="left"/>
            </w:pPr>
            <w:r>
              <w:t xml:space="preserve">No applicable regulatory driver</w:t>
            </w:r>
          </w:p>
        </w:tc>
      </w:tr>
    </w:tbl>
    <w:p>
      <w:pPr>
        <w:pStyle w:val="BodyText"/>
      </w:pPr>
      <w:r>
        <w:t xml:space="preserve">Apex NSS workloads default R ≥ 4 regardless of other dimensions.</w:t>
      </w:r>
    </w:p>
    <w:bookmarkEnd w:id="26"/>
    <w:bookmarkStart w:id="27" w:name="architectural-dependency-a"/>
    <w:p>
      <w:pPr>
        <w:pStyle w:val="Heading3"/>
      </w:pPr>
      <w:r>
        <w:t xml:space="preserve">9.3.3 Architectural dependency (A)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Score</w:t>
            </w:r>
          </w:p>
        </w:tc>
        <w:tc>
          <w:tcPr/>
          <w:p>
            <w:pPr>
              <w:pStyle w:val="Compact"/>
              <w:jc w:val="left"/>
            </w:pPr>
            <w:r>
              <w:t xml:space="preserve">Criteria</w:t>
            </w:r>
          </w:p>
        </w:tc>
      </w:tr>
      <w:tr>
        <w:tc>
          <w:tcPr/>
          <w:p>
            <w:pPr>
              <w:pStyle w:val="Compact"/>
              <w:jc w:val="left"/>
            </w:pPr>
            <w:r>
              <w:t xml:space="preserve">5</w:t>
            </w:r>
          </w:p>
        </w:tc>
        <w:tc>
          <w:tcPr/>
          <w:p>
            <w:pPr>
              <w:pStyle w:val="Compact"/>
              <w:jc w:val="left"/>
            </w:pPr>
            <w:r>
              <w:t xml:space="preserve">CDG blocking node; fan-in &gt; 50 dependents</w:t>
            </w:r>
          </w:p>
        </w:tc>
      </w:tr>
      <w:tr>
        <w:tc>
          <w:tcPr/>
          <w:p>
            <w:pPr>
              <w:pStyle w:val="Compact"/>
              <w:jc w:val="left"/>
            </w:pPr>
            <w:r>
              <w:t xml:space="preserve">4</w:t>
            </w:r>
          </w:p>
        </w:tc>
        <w:tc>
          <w:tcPr/>
          <w:p>
            <w:pPr>
              <w:pStyle w:val="Compact"/>
              <w:jc w:val="left"/>
            </w:pPr>
            <w:r>
              <w:t xml:space="preserve">Major PKI issuer; HSM root; partner policy hub</w:t>
            </w:r>
          </w:p>
        </w:tc>
      </w:tr>
      <w:tr>
        <w:tc>
          <w:tcPr/>
          <w:p>
            <w:pPr>
              <w:pStyle w:val="Compact"/>
              <w:jc w:val="left"/>
            </w:pPr>
            <w:r>
              <w:t xml:space="preserve">3</w:t>
            </w:r>
          </w:p>
        </w:tc>
        <w:tc>
          <w:tcPr/>
          <w:p>
            <w:pPr>
              <w:pStyle w:val="Compact"/>
              <w:jc w:val="left"/>
            </w:pPr>
            <w:r>
              <w:t xml:space="preserve">Shared KMS partition; multi-team dependency</w:t>
            </w:r>
          </w:p>
        </w:tc>
      </w:tr>
      <w:tr>
        <w:tc>
          <w:tcPr/>
          <w:p>
            <w:pPr>
              <w:pStyle w:val="Compact"/>
              <w:jc w:val="left"/>
            </w:pPr>
            <w:r>
              <w:t xml:space="preserve">2</w:t>
            </w:r>
          </w:p>
        </w:tc>
        <w:tc>
          <w:tcPr/>
          <w:p>
            <w:pPr>
              <w:pStyle w:val="Compact"/>
              <w:jc w:val="left"/>
            </w:pPr>
            <w:r>
              <w:t xml:space="preserve">Limited shared infrastructure</w:t>
            </w:r>
          </w:p>
        </w:tc>
      </w:tr>
      <w:tr>
        <w:tc>
          <w:tcPr/>
          <w:p>
            <w:pPr>
              <w:pStyle w:val="Compact"/>
              <w:jc w:val="left"/>
            </w:pPr>
            <w:r>
              <w:t xml:space="preserve">1</w:t>
            </w:r>
          </w:p>
        </w:tc>
        <w:tc>
          <w:tcPr/>
          <w:p>
            <w:pPr>
              <w:pStyle w:val="Compact"/>
              <w:jc w:val="left"/>
            </w:pPr>
            <w:r>
              <w:t xml:space="preserve">Isolated leaf system</w:t>
            </w:r>
          </w:p>
        </w:tc>
      </w:tr>
    </w:tbl>
    <w:p>
      <w:pPr>
        <w:pStyle w:val="BodyText"/>
      </w:pPr>
      <w:r>
        <w:t xml:space="preserve">Chapter 8 blocking flags map directly to A ≥ 4.</w:t>
      </w:r>
    </w:p>
    <w:bookmarkEnd w:id="27"/>
    <w:bookmarkStart w:id="28" w:name="data-longevity-d"/>
    <w:p>
      <w:pPr>
        <w:pStyle w:val="Heading3"/>
      </w:pPr>
      <w:r>
        <w:t xml:space="preserve">9.3.4 Data longevity (D)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Score</w:t>
            </w:r>
          </w:p>
        </w:tc>
        <w:tc>
          <w:tcPr/>
          <w:p>
            <w:pPr>
              <w:pStyle w:val="Compact"/>
              <w:jc w:val="left"/>
            </w:pPr>
            <w:r>
              <w:t xml:space="preserve">Criteria</w:t>
            </w:r>
          </w:p>
        </w:tc>
      </w:tr>
      <w:tr>
        <w:tc>
          <w:tcPr/>
          <w:p>
            <w:pPr>
              <w:pStyle w:val="Compact"/>
              <w:jc w:val="left"/>
            </w:pPr>
            <w:r>
              <w:t xml:space="preserve">5</w:t>
            </w:r>
          </w:p>
        </w:tc>
        <w:tc>
          <w:tcPr/>
          <w:p>
            <w:pPr>
              <w:pStyle w:val="Compact"/>
              <w:jc w:val="left"/>
            </w:pPr>
            <w:r>
              <w:t xml:space="preserve">Confidentiality horizon &gt; 15 years</w:t>
            </w:r>
          </w:p>
        </w:tc>
      </w:tr>
      <w:tr>
        <w:tc>
          <w:tcPr/>
          <w:p>
            <w:pPr>
              <w:pStyle w:val="Compact"/>
              <w:jc w:val="left"/>
            </w:pPr>
            <w:r>
              <w:t xml:space="preserve">4</w:t>
            </w:r>
          </w:p>
        </w:tc>
        <w:tc>
          <w:tcPr/>
          <w:p>
            <w:pPr>
              <w:pStyle w:val="Compact"/>
              <w:jc w:val="left"/>
            </w:pPr>
            <w:r>
              <w:t xml:space="preserve">10–15 years</w:t>
            </w:r>
          </w:p>
        </w:tc>
      </w:tr>
      <w:tr>
        <w:tc>
          <w:tcPr/>
          <w:p>
            <w:pPr>
              <w:pStyle w:val="Compact"/>
              <w:jc w:val="left"/>
            </w:pPr>
            <w:r>
              <w:t xml:space="preserve">3</w:t>
            </w:r>
          </w:p>
        </w:tc>
        <w:tc>
          <w:tcPr/>
          <w:p>
            <w:pPr>
              <w:pStyle w:val="Compact"/>
              <w:jc w:val="left"/>
            </w:pPr>
            <w:r>
              <w:t xml:space="preserve">5–10 years</w:t>
            </w:r>
          </w:p>
        </w:tc>
      </w:tr>
      <w:tr>
        <w:tc>
          <w:tcPr/>
          <w:p>
            <w:pPr>
              <w:pStyle w:val="Compact"/>
              <w:jc w:val="left"/>
            </w:pPr>
            <w:r>
              <w:t xml:space="preserve">2</w:t>
            </w:r>
          </w:p>
        </w:tc>
        <w:tc>
          <w:tcPr/>
          <w:p>
            <w:pPr>
              <w:pStyle w:val="Compact"/>
              <w:jc w:val="left"/>
            </w:pPr>
            <w:r>
              <w:t xml:space="preserve">1–5 years</w:t>
            </w:r>
          </w:p>
        </w:tc>
      </w:tr>
      <w:tr>
        <w:tc>
          <w:tcPr/>
          <w:p>
            <w:pPr>
              <w:pStyle w:val="Compact"/>
              <w:jc w:val="left"/>
            </w:pPr>
            <w:r>
              <w:t xml:space="preserve">1</w:t>
            </w:r>
          </w:p>
        </w:tc>
        <w:tc>
          <w:tcPr/>
          <w:p>
            <w:pPr>
              <w:pStyle w:val="Compact"/>
              <w:jc w:val="left"/>
            </w:pPr>
            <w:r>
              <w:t xml:space="preserve">&lt; 1 year or no long-term confidentiality</w:t>
            </w:r>
          </w:p>
        </w:tc>
      </w:tr>
    </w:tbl>
    <w:p>
      <w:pPr>
        <w:pStyle w:val="BodyText"/>
      </w:pPr>
      <w:r>
        <w:t xml:space="preserve">Aligns with HNDL analysis (Chapter 2).</w:t>
      </w:r>
    </w:p>
    <w:bookmarkEnd w:id="28"/>
    <w:bookmarkStart w:id="29" w:name="ecosystem-readiness-e"/>
    <w:p>
      <w:pPr>
        <w:pStyle w:val="Heading3"/>
      </w:pPr>
      <w:r>
        <w:t xml:space="preserve">9.3.5 Ecosystem readiness (E)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Score</w:t>
            </w:r>
          </w:p>
        </w:tc>
        <w:tc>
          <w:tcPr/>
          <w:p>
            <w:pPr>
              <w:pStyle w:val="Compact"/>
              <w:jc w:val="left"/>
            </w:pPr>
            <w:r>
              <w:t xml:space="preserve">Criteria</w:t>
            </w:r>
          </w:p>
        </w:tc>
      </w:tr>
      <w:tr>
        <w:tc>
          <w:tcPr/>
          <w:p>
            <w:pPr>
              <w:pStyle w:val="Compact"/>
              <w:jc w:val="left"/>
            </w:pPr>
            <w:r>
              <w:t xml:space="preserve">5</w:t>
            </w:r>
          </w:p>
        </w:tc>
        <w:tc>
          <w:tcPr/>
          <w:p>
            <w:pPr>
              <w:pStyle w:val="Compact"/>
              <w:jc w:val="left"/>
            </w:pPr>
            <w:r>
              <w:t xml:space="preserve">PQC-native production validated; partners aligned</w:t>
            </w:r>
          </w:p>
        </w:tc>
      </w:tr>
      <w:tr>
        <w:tc>
          <w:tcPr/>
          <w:p>
            <w:pPr>
              <w:pStyle w:val="Compact"/>
              <w:jc w:val="left"/>
            </w:pPr>
            <w:r>
              <w:t xml:space="preserve">4</w:t>
            </w:r>
          </w:p>
        </w:tc>
        <w:tc>
          <w:tcPr/>
          <w:p>
            <w:pPr>
              <w:pStyle w:val="Compact"/>
              <w:jc w:val="left"/>
            </w:pPr>
            <w:r>
              <w:t xml:space="preserve">Hybrid production-ready; vendor GA</w:t>
            </w:r>
          </w:p>
        </w:tc>
      </w:tr>
      <w:tr>
        <w:tc>
          <w:tcPr/>
          <w:p>
            <w:pPr>
              <w:pStyle w:val="Compact"/>
              <w:jc w:val="left"/>
            </w:pPr>
            <w:r>
              <w:t xml:space="preserve">3</w:t>
            </w:r>
          </w:p>
        </w:tc>
        <w:tc>
          <w:tcPr/>
          <w:p>
            <w:pPr>
              <w:pStyle w:val="Compact"/>
              <w:jc w:val="left"/>
            </w:pPr>
            <w:r>
              <w:t xml:space="preserve">Pilot available; partial partner support</w:t>
            </w:r>
          </w:p>
        </w:tc>
      </w:tr>
      <w:tr>
        <w:tc>
          <w:tcPr/>
          <w:p>
            <w:pPr>
              <w:pStyle w:val="Compact"/>
              <w:jc w:val="left"/>
            </w:pPr>
            <w:r>
              <w:t xml:space="preserve">2</w:t>
            </w:r>
          </w:p>
        </w:tc>
        <w:tc>
          <w:tcPr/>
          <w:p>
            <w:pPr>
              <w:pStyle w:val="Compact"/>
              <w:jc w:val="left"/>
            </w:pPr>
            <w:r>
              <w:t xml:space="preserve">Roadmap only; partner undefined</w:t>
            </w:r>
          </w:p>
        </w:tc>
      </w:tr>
      <w:tr>
        <w:tc>
          <w:tcPr/>
          <w:p>
            <w:pPr>
              <w:pStyle w:val="Compact"/>
              <w:jc w:val="left"/>
            </w:pPr>
            <w:r>
              <w:t xml:space="preserve">1</w:t>
            </w:r>
          </w:p>
        </w:tc>
        <w:tc>
          <w:tcPr/>
          <w:p>
            <w:pPr>
              <w:pStyle w:val="Compact"/>
              <w:jc w:val="left"/>
            </w:pPr>
            <w:r>
              <w:t xml:space="preserve">No vendor or partner path</w:t>
            </w:r>
          </w:p>
        </w:tc>
      </w:tr>
    </w:tbl>
    <w:p>
      <w:pPr>
        <w:pStyle w:val="BodyText"/>
      </w:pPr>
      <w:r>
        <w:rPr>
          <w:bCs/>
          <w:b/>
        </w:rPr>
        <w:t xml:space="preserve">Production gate:</w:t>
      </w:r>
      <w:r>
        <w:t xml:space="preserve"> </w:t>
      </w:r>
      <w:r>
        <w:t xml:space="preserve">E &lt; 3 typically blocks production PQC deployment without risk acceptance.</w:t>
      </w:r>
    </w:p>
    <w:p>
      <w:r>
        <w:pict>
          <v:rect style="width:0;height:1.5pt" o:hralign="center" o:hrstd="t" o:hr="t"/>
        </w:pict>
      </w:r>
    </w:p>
    <w:bookmarkEnd w:id="29"/>
    <w:bookmarkEnd w:id="30"/>
    <w:bookmarkStart w:id="35" w:name="worked-mpi-examples"/>
    <w:p>
      <w:pPr>
        <w:pStyle w:val="Heading2"/>
      </w:pPr>
      <w:r>
        <w:t xml:space="preserve">9.4 Worked MPI Examples</w:t>
      </w:r>
    </w:p>
    <w:bookmarkStart w:id="31" w:name="Xaf9fa2529bf454868dccc95a1a20ee2f9952829"/>
    <w:p>
      <w:pPr>
        <w:pStyle w:val="Heading3"/>
      </w:pPr>
      <w:r>
        <w:t xml:space="preserve">Example 1 — Meridian customer PII KMS (Chapter 2 recap)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Weighted</w:t>
            </w:r>
          </w:p>
        </w:tc>
      </w:tr>
      <w:tr>
        <w:tc>
          <w:tcPr/>
          <w:p>
            <w:pPr>
              <w:pStyle w:val="Compact"/>
              <w:jc w:val="left"/>
            </w:pPr>
            <w:r>
              <w:t xml:space="preserve">T</w:t>
            </w:r>
          </w:p>
        </w:tc>
        <w:tc>
          <w:tcPr/>
          <w:p>
            <w:pPr>
              <w:pStyle w:val="Compact"/>
              <w:jc w:val="left"/>
            </w:pPr>
            <w:r>
              <w:t xml:space="preserve">5</w:t>
            </w:r>
          </w:p>
        </w:tc>
        <w:tc>
          <w:tcPr/>
          <w:p>
            <w:pPr>
              <w:pStyle w:val="Compact"/>
              <w:jc w:val="left"/>
            </w:pPr>
            <w:r>
              <w:t xml:space="preserve">7.5</w:t>
            </w:r>
          </w:p>
        </w:tc>
      </w:tr>
      <w:tr>
        <w:tc>
          <w:tcPr/>
          <w:p>
            <w:pPr>
              <w:pStyle w:val="Compact"/>
              <w:jc w:val="left"/>
            </w:pPr>
            <w:r>
              <w:t xml:space="preserve">R</w:t>
            </w:r>
          </w:p>
        </w:tc>
        <w:tc>
          <w:tcPr/>
          <w:p>
            <w:pPr>
              <w:pStyle w:val="Compact"/>
              <w:jc w:val="left"/>
            </w:pPr>
            <w:r>
              <w:t xml:space="preserve">5</w:t>
            </w:r>
          </w:p>
        </w:tc>
        <w:tc>
          <w:tcPr/>
          <w:p>
            <w:pPr>
              <w:pStyle w:val="Compact"/>
              <w:jc w:val="left"/>
            </w:pPr>
            <w:r>
              <w:t xml:space="preserve">6.25</w:t>
            </w:r>
          </w:p>
        </w:tc>
      </w:tr>
      <w:tr>
        <w:tc>
          <w:tcPr/>
          <w:p>
            <w:pPr>
              <w:pStyle w:val="Compact"/>
              <w:jc w:val="left"/>
            </w:pPr>
            <w:r>
              <w:t xml:space="preserve">A</w:t>
            </w:r>
          </w:p>
        </w:tc>
        <w:tc>
          <w:tcPr/>
          <w:p>
            <w:pPr>
              <w:pStyle w:val="Compact"/>
              <w:jc w:val="left"/>
            </w:pPr>
            <w:r>
              <w:t xml:space="preserve">4</w:t>
            </w:r>
          </w:p>
        </w:tc>
        <w:tc>
          <w:tcPr/>
          <w:p>
            <w:pPr>
              <w:pStyle w:val="Compact"/>
              <w:jc w:val="left"/>
            </w:pPr>
            <w:r>
              <w:t xml:space="preserve">5.0</w:t>
            </w:r>
          </w:p>
        </w:tc>
      </w:tr>
      <w:tr>
        <w:tc>
          <w:tcPr/>
          <w:p>
            <w:pPr>
              <w:pStyle w:val="Compact"/>
              <w:jc w:val="left"/>
            </w:pPr>
            <w:r>
              <w:t xml:space="preserve">D</w:t>
            </w:r>
          </w:p>
        </w:tc>
        <w:tc>
          <w:tcPr/>
          <w:p>
            <w:pPr>
              <w:pStyle w:val="Compact"/>
              <w:jc w:val="left"/>
            </w:pPr>
            <w:r>
              <w:t xml:space="preserve">5</w:t>
            </w:r>
          </w:p>
        </w:tc>
        <w:tc>
          <w:tcPr/>
          <w:p>
            <w:pPr>
              <w:pStyle w:val="Compact"/>
              <w:jc w:val="left"/>
            </w:pPr>
            <w:r>
              <w:t xml:space="preserve">5.0</w:t>
            </w:r>
          </w:p>
        </w:tc>
      </w:tr>
      <w:tr>
        <w:tc>
          <w:tcPr/>
          <w:p>
            <w:pPr>
              <w:pStyle w:val="Compact"/>
              <w:jc w:val="left"/>
            </w:pPr>
            <w:r>
              <w:t xml:space="preserve">E</w:t>
            </w:r>
          </w:p>
        </w:tc>
        <w:tc>
          <w:tcPr/>
          <w:p>
            <w:pPr>
              <w:pStyle w:val="Compact"/>
              <w:jc w:val="left"/>
            </w:pPr>
            <w:r>
              <w:t xml:space="preserve">2</w:t>
            </w:r>
          </w:p>
        </w:tc>
        <w:tc>
          <w:tcPr/>
          <w:p>
            <w:pPr>
              <w:pStyle w:val="Compact"/>
              <w:jc w:val="left"/>
            </w:pPr>
            <w:r>
              <w:t xml:space="preserve">1.5</w:t>
            </w:r>
          </w:p>
        </w:tc>
      </w:tr>
    </w:tbl>
    <w:p>
      <w:pPr>
        <w:pStyle w:val="BodyText"/>
      </w:pPr>
      <w:r>
        <w:t xml:space="preserve">MPI = 25.25 / 5.75 =</w:t>
      </w:r>
      <w:r>
        <w:t xml:space="preserve"> </w:t>
      </w:r>
      <w:r>
        <w:rPr>
          <w:bCs/>
          <w:b/>
        </w:rPr>
        <w:t xml:space="preserve">4.39</w:t>
      </w:r>
      <w:r>
        <w:t xml:space="preserve"> </w:t>
      </w:r>
      <w:r>
        <w:t xml:space="preserve">→ Immediate planning; production gated by E = 2.</w:t>
      </w:r>
    </w:p>
    <w:bookmarkEnd w:id="31"/>
    <w:bookmarkStart w:id="32" w:name="Xc714ea08969b3edd7f203012718c85e5dbc9663"/>
    <w:p>
      <w:pPr>
        <w:pStyle w:val="Heading3"/>
      </w:pPr>
      <w:r>
        <w:t xml:space="preserve">Example 2 — GlobalSync partner mTLS policy (blocking hub)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Weighted</w:t>
            </w:r>
          </w:p>
        </w:tc>
      </w:tr>
      <w:tr>
        <w:tc>
          <w:tcPr/>
          <w:p>
            <w:pPr>
              <w:pStyle w:val="Compact"/>
              <w:jc w:val="left"/>
            </w:pPr>
            <w:r>
              <w:t xml:space="preserve">T</w:t>
            </w:r>
          </w:p>
        </w:tc>
        <w:tc>
          <w:tcPr/>
          <w:p>
            <w:pPr>
              <w:pStyle w:val="Compact"/>
              <w:jc w:val="left"/>
            </w:pPr>
            <w:r>
              <w:t xml:space="preserve">3</w:t>
            </w:r>
          </w:p>
        </w:tc>
        <w:tc>
          <w:tcPr/>
          <w:p>
            <w:pPr>
              <w:pStyle w:val="Compact"/>
              <w:jc w:val="left"/>
            </w:pPr>
            <w:r>
              <w:t xml:space="preserve">4.5</w:t>
            </w:r>
          </w:p>
        </w:tc>
      </w:tr>
      <w:tr>
        <w:tc>
          <w:tcPr/>
          <w:p>
            <w:pPr>
              <w:pStyle w:val="Compact"/>
              <w:jc w:val="left"/>
            </w:pPr>
            <w:r>
              <w:t xml:space="preserve">R</w:t>
            </w:r>
          </w:p>
        </w:tc>
        <w:tc>
          <w:tcPr/>
          <w:p>
            <w:pPr>
              <w:pStyle w:val="Compact"/>
              <w:jc w:val="left"/>
            </w:pPr>
            <w:r>
              <w:t xml:space="preserve">3</w:t>
            </w:r>
          </w:p>
        </w:tc>
        <w:tc>
          <w:tcPr/>
          <w:p>
            <w:pPr>
              <w:pStyle w:val="Compact"/>
              <w:jc w:val="left"/>
            </w:pPr>
            <w:r>
              <w:t xml:space="preserve">3.75</w:t>
            </w:r>
          </w:p>
        </w:tc>
      </w:tr>
      <w:tr>
        <w:tc>
          <w:tcPr/>
          <w:p>
            <w:pPr>
              <w:pStyle w:val="Compact"/>
              <w:jc w:val="left"/>
            </w:pPr>
            <w:r>
              <w:t xml:space="preserve">A</w:t>
            </w:r>
          </w:p>
        </w:tc>
        <w:tc>
          <w:tcPr/>
          <w:p>
            <w:pPr>
              <w:pStyle w:val="Compact"/>
              <w:jc w:val="left"/>
            </w:pPr>
            <w:r>
              <w:t xml:space="preserve">5</w:t>
            </w:r>
          </w:p>
        </w:tc>
        <w:tc>
          <w:tcPr/>
          <w:p>
            <w:pPr>
              <w:pStyle w:val="Compact"/>
              <w:jc w:val="left"/>
            </w:pPr>
            <w:r>
              <w:t xml:space="preserve">6.25</w:t>
            </w:r>
          </w:p>
        </w:tc>
      </w:tr>
      <w:tr>
        <w:tc>
          <w:tcPr/>
          <w:p>
            <w:pPr>
              <w:pStyle w:val="Compact"/>
              <w:jc w:val="left"/>
            </w:pPr>
            <w:r>
              <w:t xml:space="preserve">D</w:t>
            </w:r>
          </w:p>
        </w:tc>
        <w:tc>
          <w:tcPr/>
          <w:p>
            <w:pPr>
              <w:pStyle w:val="Compact"/>
              <w:jc w:val="left"/>
            </w:pPr>
            <w:r>
              <w:t xml:space="preserve">2</w:t>
            </w:r>
          </w:p>
        </w:tc>
        <w:tc>
          <w:tcPr/>
          <w:p>
            <w:pPr>
              <w:pStyle w:val="Compact"/>
              <w:jc w:val="left"/>
            </w:pPr>
            <w:r>
              <w:t xml:space="preserve">2.0</w:t>
            </w:r>
          </w:p>
        </w:tc>
      </w:tr>
      <w:tr>
        <w:tc>
          <w:tcPr/>
          <w:p>
            <w:pPr>
              <w:pStyle w:val="Compact"/>
              <w:jc w:val="left"/>
            </w:pPr>
            <w:r>
              <w:t xml:space="preserve">E</w:t>
            </w:r>
          </w:p>
        </w:tc>
        <w:tc>
          <w:tcPr/>
          <w:p>
            <w:pPr>
              <w:pStyle w:val="Compact"/>
              <w:jc w:val="left"/>
            </w:pPr>
            <w:r>
              <w:t xml:space="preserve">2</w:t>
            </w:r>
          </w:p>
        </w:tc>
        <w:tc>
          <w:tcPr/>
          <w:p>
            <w:pPr>
              <w:pStyle w:val="Compact"/>
              <w:jc w:val="left"/>
            </w:pPr>
            <w:r>
              <w:t xml:space="preserve">1.5</w:t>
            </w:r>
          </w:p>
        </w:tc>
      </w:tr>
    </w:tbl>
    <w:p>
      <w:pPr>
        <w:pStyle w:val="BodyText"/>
      </w:pPr>
      <w:r>
        <w:t xml:space="preserve">MPI = 18.0 / 5.75 =</w:t>
      </w:r>
      <w:r>
        <w:t xml:space="preserve"> </w:t>
      </w:r>
      <w:r>
        <w:rPr>
          <w:bCs/>
          <w:b/>
        </w:rPr>
        <w:t xml:space="preserve">3.13</w:t>
      </w:r>
      <w:r>
        <w:t xml:space="preserve"> </w:t>
      </w:r>
      <w:r>
        <w:t xml:space="preserve">→ Moderate by MPI alone — but</w:t>
      </w:r>
      <w:r>
        <w:t xml:space="preserve"> </w:t>
      </w:r>
      <w:r>
        <w:rPr>
          <w:bCs/>
          <w:b/>
        </w:rPr>
        <w:t xml:space="preserve">Wave 0 mandatory</w:t>
      </w:r>
      <w:r>
        <w:t xml:space="preserve"> </w:t>
      </w:r>
      <w:r>
        <w:t xml:space="preserve">due to blocking (200 microservices). CDG override documented in wave plan.</w:t>
      </w:r>
    </w:p>
    <w:bookmarkEnd w:id="32"/>
    <w:bookmarkStart w:id="33" w:name="example-3-northfield-historian-archive"/>
    <w:p>
      <w:pPr>
        <w:pStyle w:val="Heading3"/>
      </w:pPr>
      <w:r>
        <w:t xml:space="preserve">Example 3 — Northfield historian archive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Weighted</w:t>
            </w:r>
          </w:p>
        </w:tc>
      </w:tr>
      <w:tr>
        <w:tc>
          <w:tcPr/>
          <w:p>
            <w:pPr>
              <w:pStyle w:val="Compact"/>
              <w:jc w:val="left"/>
            </w:pPr>
            <w:r>
              <w:t xml:space="preserve">T</w:t>
            </w:r>
          </w:p>
        </w:tc>
        <w:tc>
          <w:tcPr/>
          <w:p>
            <w:pPr>
              <w:pStyle w:val="Compact"/>
              <w:jc w:val="left"/>
            </w:pPr>
            <w:r>
              <w:t xml:space="preserve">5</w:t>
            </w:r>
          </w:p>
        </w:tc>
        <w:tc>
          <w:tcPr/>
          <w:p>
            <w:pPr>
              <w:pStyle w:val="Compact"/>
              <w:jc w:val="left"/>
            </w:pPr>
            <w:r>
              <w:t xml:space="preserve">7.5</w:t>
            </w:r>
          </w:p>
        </w:tc>
      </w:tr>
      <w:tr>
        <w:tc>
          <w:tcPr/>
          <w:p>
            <w:pPr>
              <w:pStyle w:val="Compact"/>
              <w:jc w:val="left"/>
            </w:pPr>
            <w:r>
              <w:t xml:space="preserve">R</w:t>
            </w:r>
          </w:p>
        </w:tc>
        <w:tc>
          <w:tcPr/>
          <w:p>
            <w:pPr>
              <w:pStyle w:val="Compact"/>
              <w:jc w:val="left"/>
            </w:pPr>
            <w:r>
              <w:t xml:space="preserve">4</w:t>
            </w:r>
          </w:p>
        </w:tc>
        <w:tc>
          <w:tcPr/>
          <w:p>
            <w:pPr>
              <w:pStyle w:val="Compact"/>
              <w:jc w:val="left"/>
            </w:pPr>
            <w:r>
              <w:t xml:space="preserve">5.0</w:t>
            </w:r>
          </w:p>
        </w:tc>
      </w:tr>
      <w:tr>
        <w:tc>
          <w:tcPr/>
          <w:p>
            <w:pPr>
              <w:pStyle w:val="Compact"/>
              <w:jc w:val="left"/>
            </w:pPr>
            <w:r>
              <w:t xml:space="preserve">A</w:t>
            </w:r>
          </w:p>
        </w:tc>
        <w:tc>
          <w:tcPr/>
          <w:p>
            <w:pPr>
              <w:pStyle w:val="Compact"/>
              <w:jc w:val="left"/>
            </w:pPr>
            <w:r>
              <w:t xml:space="preserve">2</w:t>
            </w:r>
          </w:p>
        </w:tc>
        <w:tc>
          <w:tcPr/>
          <w:p>
            <w:pPr>
              <w:pStyle w:val="Compact"/>
              <w:jc w:val="left"/>
            </w:pPr>
            <w:r>
              <w:t xml:space="preserve">2.5</w:t>
            </w:r>
          </w:p>
        </w:tc>
      </w:tr>
      <w:tr>
        <w:tc>
          <w:tcPr/>
          <w:p>
            <w:pPr>
              <w:pStyle w:val="Compact"/>
              <w:jc w:val="left"/>
            </w:pPr>
            <w:r>
              <w:t xml:space="preserve">D</w:t>
            </w:r>
          </w:p>
        </w:tc>
        <w:tc>
          <w:tcPr/>
          <w:p>
            <w:pPr>
              <w:pStyle w:val="Compact"/>
              <w:jc w:val="left"/>
            </w:pPr>
            <w:r>
              <w:t xml:space="preserve">5</w:t>
            </w:r>
          </w:p>
        </w:tc>
        <w:tc>
          <w:tcPr/>
          <w:p>
            <w:pPr>
              <w:pStyle w:val="Compact"/>
              <w:jc w:val="left"/>
            </w:pPr>
            <w:r>
              <w:t xml:space="preserve">5.0</w:t>
            </w:r>
          </w:p>
        </w:tc>
      </w:tr>
      <w:tr>
        <w:tc>
          <w:tcPr/>
          <w:p>
            <w:pPr>
              <w:pStyle w:val="Compact"/>
              <w:jc w:val="left"/>
            </w:pPr>
            <w:r>
              <w:t xml:space="preserve">E</w:t>
            </w:r>
          </w:p>
        </w:tc>
        <w:tc>
          <w:tcPr/>
          <w:p>
            <w:pPr>
              <w:pStyle w:val="Compact"/>
              <w:jc w:val="left"/>
            </w:pPr>
            <w:r>
              <w:t xml:space="preserve">3</w:t>
            </w:r>
          </w:p>
        </w:tc>
        <w:tc>
          <w:tcPr/>
          <w:p>
            <w:pPr>
              <w:pStyle w:val="Compact"/>
              <w:jc w:val="left"/>
            </w:pPr>
            <w:r>
              <w:t xml:space="preserve">2.25</w:t>
            </w:r>
          </w:p>
        </w:tc>
      </w:tr>
    </w:tbl>
    <w:p>
      <w:pPr>
        <w:pStyle w:val="BodyText"/>
      </w:pPr>
      <w:r>
        <w:t xml:space="preserve">MPI = 22.25 / 5.75 =</w:t>
      </w:r>
      <w:r>
        <w:t xml:space="preserve"> </w:t>
      </w:r>
      <w:r>
        <w:rPr>
          <w:bCs/>
          <w:b/>
        </w:rPr>
        <w:t xml:space="preserve">3.87</w:t>
      </w:r>
      <w:r>
        <w:t xml:space="preserve"> </w:t>
      </w:r>
      <w:r>
        <w:t xml:space="preserve">→ High; Wave 1 threat-immediate (Chapter 2) — but WAN concentrator Wave 0 may gate delivery path.</w:t>
      </w:r>
    </w:p>
    <w:bookmarkEnd w:id="33"/>
    <w:bookmarkStart w:id="34" w:name="Xcfde39308eccfb894e5131d9efd9b2487d8128a"/>
    <w:p>
      <w:pPr>
        <w:pStyle w:val="Heading3"/>
      </w:pPr>
      <w:r>
        <w:t xml:space="preserve">Example 4 — Apex NSS firmware signing module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Weighted</w:t>
            </w:r>
          </w:p>
        </w:tc>
      </w:tr>
      <w:tr>
        <w:tc>
          <w:tcPr/>
          <w:p>
            <w:pPr>
              <w:pStyle w:val="Compact"/>
              <w:jc w:val="left"/>
            </w:pPr>
            <w:r>
              <w:t xml:space="preserve">T</w:t>
            </w:r>
          </w:p>
        </w:tc>
        <w:tc>
          <w:tcPr/>
          <w:p>
            <w:pPr>
              <w:pStyle w:val="Compact"/>
              <w:jc w:val="left"/>
            </w:pPr>
            <w:r>
              <w:t xml:space="preserve">4</w:t>
            </w:r>
          </w:p>
        </w:tc>
        <w:tc>
          <w:tcPr/>
          <w:p>
            <w:pPr>
              <w:pStyle w:val="Compact"/>
              <w:jc w:val="left"/>
            </w:pPr>
            <w:r>
              <w:t xml:space="preserve">6.0</w:t>
            </w:r>
          </w:p>
        </w:tc>
      </w:tr>
      <w:tr>
        <w:tc>
          <w:tcPr/>
          <w:p>
            <w:pPr>
              <w:pStyle w:val="Compact"/>
              <w:jc w:val="left"/>
            </w:pPr>
            <w:r>
              <w:t xml:space="preserve">R</w:t>
            </w:r>
          </w:p>
        </w:tc>
        <w:tc>
          <w:tcPr/>
          <w:p>
            <w:pPr>
              <w:pStyle w:val="Compact"/>
              <w:jc w:val="left"/>
            </w:pPr>
            <w:r>
              <w:t xml:space="preserve">5</w:t>
            </w:r>
          </w:p>
        </w:tc>
        <w:tc>
          <w:tcPr/>
          <w:p>
            <w:pPr>
              <w:pStyle w:val="Compact"/>
              <w:jc w:val="left"/>
            </w:pPr>
            <w:r>
              <w:t xml:space="preserve">6.25</w:t>
            </w:r>
          </w:p>
        </w:tc>
      </w:tr>
      <w:tr>
        <w:tc>
          <w:tcPr/>
          <w:p>
            <w:pPr>
              <w:pStyle w:val="Compact"/>
              <w:jc w:val="left"/>
            </w:pPr>
            <w:r>
              <w:t xml:space="preserve">A</w:t>
            </w:r>
          </w:p>
        </w:tc>
        <w:tc>
          <w:tcPr/>
          <w:p>
            <w:pPr>
              <w:pStyle w:val="Compact"/>
              <w:jc w:val="left"/>
            </w:pPr>
            <w:r>
              <w:t xml:space="preserve">5</w:t>
            </w:r>
          </w:p>
        </w:tc>
        <w:tc>
          <w:tcPr/>
          <w:p>
            <w:pPr>
              <w:pStyle w:val="Compact"/>
              <w:jc w:val="left"/>
            </w:pPr>
            <w:r>
              <w:t xml:space="preserve">6.25</w:t>
            </w:r>
          </w:p>
        </w:tc>
      </w:tr>
      <w:tr>
        <w:tc>
          <w:tcPr/>
          <w:p>
            <w:pPr>
              <w:pStyle w:val="Compact"/>
              <w:jc w:val="left"/>
            </w:pPr>
            <w:r>
              <w:t xml:space="preserve">D</w:t>
            </w:r>
          </w:p>
        </w:tc>
        <w:tc>
          <w:tcPr/>
          <w:p>
            <w:pPr>
              <w:pStyle w:val="Compact"/>
              <w:jc w:val="left"/>
            </w:pPr>
            <w:r>
              <w:t xml:space="preserve">3</w:t>
            </w:r>
          </w:p>
        </w:tc>
        <w:tc>
          <w:tcPr/>
          <w:p>
            <w:pPr>
              <w:pStyle w:val="Compact"/>
              <w:jc w:val="left"/>
            </w:pPr>
            <w:r>
              <w:t xml:space="preserve">3.0</w:t>
            </w:r>
          </w:p>
        </w:tc>
      </w:tr>
      <w:tr>
        <w:tc>
          <w:tcPr/>
          <w:p>
            <w:pPr>
              <w:pStyle w:val="Compact"/>
              <w:jc w:val="left"/>
            </w:pPr>
            <w:r>
              <w:t xml:space="preserve">E</w:t>
            </w:r>
          </w:p>
        </w:tc>
        <w:tc>
          <w:tcPr/>
          <w:p>
            <w:pPr>
              <w:pStyle w:val="Compact"/>
              <w:jc w:val="left"/>
            </w:pPr>
            <w:r>
              <w:t xml:space="preserve">2</w:t>
            </w:r>
          </w:p>
        </w:tc>
        <w:tc>
          <w:tcPr/>
          <w:p>
            <w:pPr>
              <w:pStyle w:val="Compact"/>
              <w:jc w:val="left"/>
            </w:pPr>
            <w:r>
              <w:t xml:space="preserve">1.5</w:t>
            </w:r>
          </w:p>
        </w:tc>
      </w:tr>
    </w:tbl>
    <w:p>
      <w:pPr>
        <w:pStyle w:val="BodyText"/>
      </w:pPr>
      <w:r>
        <w:t xml:space="preserve">MPI = 23.0 / 5.75 =</w:t>
      </w:r>
      <w:r>
        <w:t xml:space="preserve"> </w:t>
      </w:r>
      <w:r>
        <w:rPr>
          <w:bCs/>
          <w:b/>
        </w:rPr>
        <w:t xml:space="preserve">4.00</w:t>
      </w:r>
      <w:r>
        <w:t xml:space="preserve"> </w:t>
      </w:r>
      <w:r>
        <w:t xml:space="preserve">→ Immediate; Wave 0 with CNSA 2030 firmware anchor.</w:t>
      </w:r>
    </w:p>
    <w:p>
      <w:r>
        <w:pict>
          <v:rect style="width:0;height:1.5pt" o:hralign="center" o:hrstd="t" o:hr="t"/>
        </w:pict>
      </w:r>
    </w:p>
    <w:bookmarkEnd w:id="34"/>
    <w:bookmarkEnd w:id="35"/>
    <w:bookmarkStart w:id="36" w:name="wave-taxonomy"/>
    <w:p>
      <w:pPr>
        <w:pStyle w:val="Heading2"/>
      </w:pPr>
      <w:r>
        <w:t xml:space="preserve">9.5 Wave Taxonomy</w:t>
      </w:r>
    </w:p>
    <w:p>
      <w:pPr>
        <w:pStyle w:val="FirstParagraph"/>
      </w:pPr>
      <w:r>
        <w:t xml:space="preserve">Migration waves are</w:t>
      </w:r>
      <w:r>
        <w:t xml:space="preserve"> </w:t>
      </w:r>
      <w:r>
        <w:rPr>
          <w:bCs/>
          <w:b/>
        </w:rPr>
        <w:t xml:space="preserve">programme containers</w:t>
      </w:r>
      <w:r>
        <w:t xml:space="preserve"> </w:t>
      </w:r>
      <w:r>
        <w:t xml:space="preserve">— not arbitrary calendar quarters. Standard taxonomy:</w:t>
      </w:r>
    </w:p>
    <w:tbl>
      <w:tblPr>
        <w:tblStyle w:val="Table"/>
        <w:tblW w:type="pct" w:w="5000"/>
        <w:tblLook w:firstRow="1" w:lastRow="0" w:firstColumn="0" w:lastColumn="0" w:noHBand="0" w:noVBand="0" w:val="0020"/>
        <w:jc w:val="start"/>
      </w:tblPr>
      <w:tblGrid>
        <w:gridCol w:w="1188"/>
        <w:gridCol w:w="1188"/>
        <w:gridCol w:w="3564"/>
        <w:gridCol w:w="1980"/>
      </w:tblGrid>
      <w:tr>
        <w:trPr>
          <w:tblHeader w:val="true"/>
        </w:trPr>
        <w:tc>
          <w:tcPr/>
          <w:p>
            <w:pPr>
              <w:pStyle w:val="Compact"/>
              <w:jc w:val="left"/>
            </w:pPr>
            <w:r>
              <w:t xml:space="preserve">Wave</w:t>
            </w:r>
          </w:p>
        </w:tc>
        <w:tc>
          <w:tcPr/>
          <w:p>
            <w:pPr>
              <w:pStyle w:val="Compact"/>
              <w:jc w:val="left"/>
            </w:pPr>
            <w:r>
              <w:t xml:space="preserve">Name</w:t>
            </w:r>
          </w:p>
        </w:tc>
        <w:tc>
          <w:tcPr/>
          <w:p>
            <w:pPr>
              <w:pStyle w:val="Compact"/>
              <w:jc w:val="left"/>
            </w:pPr>
            <w:r>
              <w:t xml:space="preserve">Typical contents</w:t>
            </w:r>
          </w:p>
        </w:tc>
        <w:tc>
          <w:tcPr/>
          <w:p>
            <w:pPr>
              <w:pStyle w:val="Compact"/>
              <w:jc w:val="left"/>
            </w:pPr>
            <w:r>
              <w:t xml:space="preserve">Duration</w:t>
            </w:r>
          </w:p>
        </w:tc>
      </w:tr>
      <w:tr>
        <w:tc>
          <w:tcPr/>
          <w:p>
            <w:pPr>
              <w:pStyle w:val="Compact"/>
              <w:jc w:val="left"/>
            </w:pPr>
            <w:r>
              <w:rPr>
                <w:bCs/>
                <w:b/>
              </w:rPr>
              <w:t xml:space="preserve">Wave 0</w:t>
            </w:r>
          </w:p>
        </w:tc>
        <w:tc>
          <w:tcPr/>
          <w:p>
            <w:pPr>
              <w:pStyle w:val="Compact"/>
              <w:jc w:val="left"/>
            </w:pPr>
            <w:r>
              <w:t xml:space="preserve">Structural unblockers</w:t>
            </w:r>
          </w:p>
        </w:tc>
        <w:tc>
          <w:tcPr/>
          <w:p>
            <w:pPr>
              <w:pStyle w:val="Compact"/>
              <w:jc w:val="left"/>
            </w:pPr>
            <w:r>
              <w:t xml:space="preserve">Blocking nodes: roots, HSM firmware, partner policy, VPN concentrators</w:t>
            </w:r>
          </w:p>
        </w:tc>
        <w:tc>
          <w:tcPr/>
          <w:p>
            <w:pPr>
              <w:pStyle w:val="Compact"/>
              <w:jc w:val="left"/>
            </w:pPr>
            <w:r>
              <w:t xml:space="preserve">12–24 months</w:t>
            </w:r>
          </w:p>
        </w:tc>
      </w:tr>
      <w:tr>
        <w:tc>
          <w:tcPr/>
          <w:p>
            <w:pPr>
              <w:pStyle w:val="Compact"/>
              <w:jc w:val="left"/>
            </w:pPr>
            <w:r>
              <w:rPr>
                <w:bCs/>
                <w:b/>
              </w:rPr>
              <w:t xml:space="preserve">Wave 1</w:t>
            </w:r>
          </w:p>
        </w:tc>
        <w:tc>
          <w:tcPr/>
          <w:p>
            <w:pPr>
              <w:pStyle w:val="Compact"/>
              <w:jc w:val="left"/>
            </w:pPr>
            <w:r>
              <w:t xml:space="preserve">Threat-immediate</w:t>
            </w:r>
          </w:p>
        </w:tc>
        <w:tc>
          <w:tcPr/>
          <w:p>
            <w:pPr>
              <w:pStyle w:val="Compact"/>
              <w:jc w:val="left"/>
            </w:pPr>
            <w:r>
              <w:t xml:space="preserve">TES 5 / MPI ≥ 4.0 systems not blocked by Wave 0 gaps</w:t>
            </w:r>
          </w:p>
        </w:tc>
        <w:tc>
          <w:tcPr/>
          <w:p>
            <w:pPr>
              <w:pStyle w:val="Compact"/>
              <w:jc w:val="left"/>
            </w:pPr>
            <w:r>
              <w:t xml:space="preserve">12–18 months</w:t>
            </w:r>
          </w:p>
        </w:tc>
      </w:tr>
      <w:tr>
        <w:tc>
          <w:tcPr/>
          <w:p>
            <w:pPr>
              <w:pStyle w:val="Compact"/>
              <w:jc w:val="left"/>
            </w:pPr>
            <w:r>
              <w:rPr>
                <w:bCs/>
                <w:b/>
              </w:rPr>
              <w:t xml:space="preserve">Wave 2</w:t>
            </w:r>
          </w:p>
        </w:tc>
        <w:tc>
          <w:tcPr/>
          <w:p>
            <w:pPr>
              <w:pStyle w:val="Compact"/>
              <w:jc w:val="left"/>
            </w:pPr>
            <w:r>
              <w:t xml:space="preserve">Enterprise PKI and shared services</w:t>
            </w:r>
          </w:p>
        </w:tc>
        <w:tc>
          <w:tcPr/>
          <w:p>
            <w:pPr>
              <w:pStyle w:val="Compact"/>
              <w:jc w:val="left"/>
            </w:pPr>
            <w:r>
              <w:t xml:space="preserve">Issuing CAs, shared KMS, API gateways</w:t>
            </w:r>
          </w:p>
        </w:tc>
        <w:tc>
          <w:tcPr/>
          <w:p>
            <w:pPr>
              <w:pStyle w:val="Compact"/>
              <w:jc w:val="left"/>
            </w:pPr>
            <w:r>
              <w:t xml:space="preserve">18–24 months</w:t>
            </w:r>
          </w:p>
        </w:tc>
      </w:tr>
      <w:tr>
        <w:tc>
          <w:tcPr/>
          <w:p>
            <w:pPr>
              <w:pStyle w:val="Compact"/>
              <w:jc w:val="left"/>
            </w:pPr>
            <w:r>
              <w:rPr>
                <w:bCs/>
                <w:b/>
              </w:rPr>
              <w:t xml:space="preserve">Wave 3</w:t>
            </w:r>
          </w:p>
        </w:tc>
        <w:tc>
          <w:tcPr/>
          <w:p>
            <w:pPr>
              <w:pStyle w:val="Compact"/>
              <w:jc w:val="left"/>
            </w:pPr>
            <w:r>
              <w:t xml:space="preserve">General IT application estate</w:t>
            </w:r>
          </w:p>
        </w:tc>
        <w:tc>
          <w:tcPr/>
          <w:p>
            <w:pPr>
              <w:pStyle w:val="Compact"/>
              <w:jc w:val="left"/>
            </w:pPr>
            <w:r>
              <w:t xml:space="preserve">Line-of-business apps, internal TLS</w:t>
            </w:r>
          </w:p>
        </w:tc>
        <w:tc>
          <w:tcPr/>
          <w:p>
            <w:pPr>
              <w:pStyle w:val="Compact"/>
              <w:jc w:val="left"/>
            </w:pPr>
            <w:r>
              <w:t xml:space="preserve">24–36 months</w:t>
            </w:r>
          </w:p>
        </w:tc>
      </w:tr>
      <w:tr>
        <w:tc>
          <w:tcPr/>
          <w:p>
            <w:pPr>
              <w:pStyle w:val="Compact"/>
              <w:jc w:val="left"/>
            </w:pPr>
            <w:r>
              <w:rPr>
                <w:bCs/>
                <w:b/>
              </w:rPr>
              <w:t xml:space="preserve">Wave 4</w:t>
            </w:r>
          </w:p>
        </w:tc>
        <w:tc>
          <w:tcPr/>
          <w:p>
            <w:pPr>
              <w:pStyle w:val="Compact"/>
              <w:jc w:val="left"/>
            </w:pPr>
            <w:r>
              <w:t xml:space="preserve">OT / embedded / long-tail</w:t>
            </w:r>
          </w:p>
        </w:tc>
        <w:tc>
          <w:tcPr/>
          <w:p>
            <w:pPr>
              <w:pStyle w:val="Compact"/>
              <w:jc w:val="left"/>
            </w:pPr>
            <w:r>
              <w:t xml:space="preserve">Firmware, PLCs, partner long-tail</w:t>
            </w:r>
          </w:p>
        </w:tc>
        <w:tc>
          <w:tcPr/>
          <w:p>
            <w:pPr>
              <w:pStyle w:val="Compact"/>
              <w:jc w:val="left"/>
            </w:pPr>
            <w:r>
              <w:t xml:space="preserve">36–60+ months</w:t>
            </w:r>
          </w:p>
        </w:tc>
      </w:tr>
    </w:tbl>
    <w:p>
      <w:pPr>
        <w:pStyle w:val="BodyText"/>
      </w:pPr>
      <w:r>
        <w:t xml:space="preserve">Waves are</w:t>
      </w:r>
      <w:r>
        <w:t xml:space="preserve"> </w:t>
      </w:r>
      <w:r>
        <w:rPr>
          <w:bCs/>
          <w:b/>
        </w:rPr>
        <w:t xml:space="preserve">overlapping</w:t>
      </w:r>
      <w:r>
        <w:t xml:space="preserve">, not serial waterfalls — Wave 1 planning starts while Wave 0 executes. Overlap requires capacity planning (§9.8).</w:t>
      </w:r>
    </w:p>
    <w:p>
      <w:pPr>
        <w:pStyle w:val="BodyText"/>
      </w:pPr>
      <w:r>
        <w:rPr>
          <w:bCs/>
          <w:b/>
        </w:rPr>
        <w:t xml:space="preserve">Quick wins</w:t>
      </w:r>
      <w:r>
        <w:t xml:space="preserve"> </w:t>
      </w:r>
      <w:r>
        <w:t xml:space="preserve">— systems with high MPI, low A, E ≥ 3 — may execute in parallel with Wave 0 for morale and learning, but must not divert Wave 0 funding.</w:t>
      </w:r>
    </w:p>
    <w:p>
      <w:r>
        <w:pict>
          <v:rect style="width:0;height:1.5pt" o:hralign="center" o:hrstd="t" o:hr="t"/>
        </w:pict>
      </w:r>
    </w:p>
    <w:bookmarkEnd w:id="36"/>
    <w:bookmarkStart w:id="37" w:name="sequencing-rules"/>
    <w:p>
      <w:pPr>
        <w:pStyle w:val="Heading2"/>
      </w:pPr>
      <w:r>
        <w:t xml:space="preserve">9.6 Sequencing Rules</w:t>
      </w:r>
    </w:p>
    <w:p>
      <w:pPr>
        <w:pStyle w:val="FirstParagraph"/>
      </w:pPr>
      <w:r>
        <w:t xml:space="preserve">Apply rules in order; document exceptions in risk register.</w:t>
      </w:r>
    </w:p>
    <w:p>
      <w:pPr>
        <w:pStyle w:val="BodyText"/>
      </w:pPr>
      <w:r>
        <w:rPr>
          <w:bCs/>
          <w:b/>
        </w:rPr>
        <w:t xml:space="preserve">Rule 1 — Blocking first:</w:t>
      </w:r>
      <w:r>
        <w:t xml:space="preserve"> </w:t>
      </w:r>
      <w:r>
        <w:t xml:space="preserve">CDG</w:t>
      </w:r>
      <w:r>
        <w:t xml:space="preserve"> </w:t>
      </w:r>
      <w:r>
        <w:rPr>
          <w:rStyle w:val="VerbatimChar"/>
        </w:rPr>
        <w:t xml:space="preserve">blocking: true</w:t>
      </w:r>
      <w:r>
        <w:t xml:space="preserve"> </w:t>
      </w:r>
      <w:r>
        <w:t xml:space="preserve">nodes enter Wave 0 unless risk acceptance approved at board level.</w:t>
      </w:r>
    </w:p>
    <w:p>
      <w:pPr>
        <w:pStyle w:val="BodyText"/>
      </w:pPr>
      <w:r>
        <w:rPr>
          <w:bCs/>
          <w:b/>
        </w:rPr>
        <w:t xml:space="preserve">Rule 2 — MPI orders within wave:</w:t>
      </w:r>
      <w:r>
        <w:t xml:space="preserve"> </w:t>
      </w:r>
      <w:r>
        <w:t xml:space="preserve">Sort wave candidates by MPI descending.</w:t>
      </w:r>
    </w:p>
    <w:p>
      <w:pPr>
        <w:pStyle w:val="BodyText"/>
      </w:pPr>
      <w:r>
        <w:rPr>
          <w:bCs/>
          <w:b/>
        </w:rPr>
        <w:t xml:space="preserve">Rule 3 — Ecosystem gate:</w:t>
      </w:r>
      <w:r>
        <w:t xml:space="preserve"> </w:t>
      </w:r>
      <w:r>
        <w:t xml:space="preserve">No production PQC deploy when E &lt; 3 without documented risk acceptance.</w:t>
      </w:r>
    </w:p>
    <w:p>
      <w:pPr>
        <w:pStyle w:val="BodyText"/>
      </w:pPr>
      <w:r>
        <w:rPr>
          <w:bCs/>
          <w:b/>
        </w:rPr>
        <w:t xml:space="preserve">Rule 4 — HLM alignment:</w:t>
      </w:r>
      <w:r>
        <w:t xml:space="preserve"> </w:t>
      </w:r>
      <w:r>
        <w:t xml:space="preserve">Hybrid deployments require</w:t>
      </w:r>
      <w:r>
        <w:t xml:space="preserve"> </w:t>
      </w:r>
      <w:r>
        <w:rPr>
          <w:rStyle w:val="VerbatimChar"/>
        </w:rPr>
        <w:t xml:space="preserve">h2_trigger_value</w:t>
      </w:r>
      <w:r>
        <w:t xml:space="preserve"> </w:t>
      </w:r>
      <w:r>
        <w:t xml:space="preserve">in CBOM (Chapter 5).</w:t>
      </w:r>
    </w:p>
    <w:p>
      <w:pPr>
        <w:pStyle w:val="BodyText"/>
      </w:pPr>
      <w:r>
        <w:rPr>
          <w:bCs/>
          <w:b/>
        </w:rPr>
        <w:t xml:space="preserve">Rule 5 — Partner before consumer:</w:t>
      </w:r>
      <w:r>
        <w:t xml:space="preserve"> </w:t>
      </w:r>
      <w:r>
        <w:t xml:space="preserve">Partner trust policy migrates before dependent microservices (GlobalSync).</w:t>
      </w:r>
    </w:p>
    <w:p>
      <w:pPr>
        <w:pStyle w:val="BodyText"/>
      </w:pPr>
      <w:r>
        <w:rPr>
          <w:bCs/>
          <w:b/>
        </w:rPr>
        <w:t xml:space="preserve">Rule 6 — Signing before verify:</w:t>
      </w:r>
      <w:r>
        <w:t xml:space="preserve"> </w:t>
      </w:r>
      <w:r>
        <w:t xml:space="preserve">Issuer migrates before verifiers accept new algorithms — or dual-trust period explicit on CDG.</w:t>
      </w:r>
    </w:p>
    <w:p>
      <w:pPr>
        <w:pStyle w:val="BodyText"/>
      </w:pPr>
      <w:r>
        <w:rPr>
          <w:bCs/>
          <w:b/>
        </w:rPr>
        <w:t xml:space="preserve">Rule 7 — Contract alignment:</w:t>
      </w:r>
      <w:r>
        <w:t xml:space="preserve"> </w:t>
      </w:r>
      <w:r>
        <w:t xml:space="preserve">Systems with renewal clauses referencing cryptography align wave timing to renewal (Apex).</w:t>
      </w:r>
    </w:p>
    <w:p>
      <w:pPr>
        <w:pStyle w:val="BodyText"/>
      </w:pPr>
      <w:r>
        <w:rPr>
          <w:bCs/>
          <w:b/>
        </w:rPr>
        <w:t xml:space="preserve">Rule 8 — Decommission bypass:</w:t>
      </w:r>
      <w:r>
        <w:t xml:space="preserve"> </w:t>
      </w:r>
      <w:r>
        <w:t xml:space="preserve">Systems retiring before 2028 deprecation may</w:t>
      </w:r>
      <w:r>
        <w:t xml:space="preserve"> </w:t>
      </w:r>
      <w:r>
        <w:rPr>
          <w:bCs/>
          <w:b/>
        </w:rPr>
        <w:t xml:space="preserve">not migrate</w:t>
      </w:r>
      <w:r>
        <w:t xml:space="preserve"> </w:t>
      </w:r>
      <w:r>
        <w:t xml:space="preserve">— document decommission instead (§9.7).</w:t>
      </w:r>
    </w:p>
    <w:p>
      <w:pPr>
        <w:pStyle w:val="BodyText"/>
      </w:pPr>
      <w:r>
        <w:rPr>
          <w:bCs/>
          <w:b/>
        </w:rPr>
        <w:t xml:space="preserve">Figure 9.1 — Migration Wave Gantt with Dependency Gates</w:t>
      </w:r>
    </w:p>
    <w:p>
      <w:pPr>
        <w:pStyle w:val="SourceCode"/>
      </w:pPr>
      <w:r>
        <w:rPr>
          <w:rStyle w:val="VerbatimChar"/>
        </w:rPr>
        <w:t xml:space="preserve">2026        2027        2028        2029        2030</w:t>
      </w:r>
      <w:r>
        <w:br/>
      </w:r>
      <w:r>
        <w:rPr>
          <w:rStyle w:val="VerbatimChar"/>
        </w:rPr>
        <w:t xml:space="preserve">  |           |           |           |           |</w:t>
      </w:r>
      <w:r>
        <w:br/>
      </w:r>
      <w:r>
        <w:rPr>
          <w:rStyle w:val="VerbatimChar"/>
        </w:rPr>
        <w:t xml:space="preserve">  [==== Wave 0: blocking nodes ====]</w:t>
      </w:r>
      <w:r>
        <w:br/>
      </w:r>
      <w:r>
        <w:rPr>
          <w:rStyle w:val="VerbatimChar"/>
        </w:rPr>
        <w:t xml:space="preserve">       [==== Wave 1: threat-immediate ====]</w:t>
      </w:r>
      <w:r>
        <w:br/>
      </w:r>
      <w:r>
        <w:rPr>
          <w:rStyle w:val="VerbatimChar"/>
        </w:rPr>
        <w:t xml:space="preserve">            [======== Wave 2: PKI / shared ========]</w:t>
      </w:r>
      <w:r>
        <w:br/>
      </w:r>
      <w:r>
        <w:rPr>
          <w:rStyle w:val="VerbatimChar"/>
        </w:rPr>
        <w:t xml:space="preserve">                 [============= Wave 3: general IT =============]</w:t>
      </w:r>
      <w:r>
        <w:br/>
      </w:r>
      <w:r>
        <w:rPr>
          <w:rStyle w:val="VerbatimChar"/>
        </w:rPr>
        <w:t xml:space="preserve">                      [================ Wave 4: OT / long-tail ========&gt;]</w:t>
      </w:r>
      <w:r>
        <w:br/>
      </w:r>
      <w:r>
        <w:rPr>
          <w:rStyle w:val="VerbatimChar"/>
        </w:rPr>
        <w:t xml:space="preserve">  |           |           |           |           |</w:t>
      </w:r>
      <w:r>
        <w:br/>
      </w:r>
      <w:r>
        <w:rPr>
          <w:rStyle w:val="VerbatimChar"/>
        </w:rPr>
        <w:t xml:space="preserve">  Gate A      Gate B      NIST        Gate C      Deprecation</w:t>
      </w:r>
      <w:r>
        <w:br/>
      </w:r>
      <w:r>
        <w:rPr>
          <w:rStyle w:val="VerbatimChar"/>
        </w:rPr>
        <w:t xml:space="preserve">  partner     HSM fw      deprecation anchor      anchor</w:t>
      </w:r>
      <w:r>
        <w:br/>
      </w:r>
      <w:r>
        <w:rPr>
          <w:rStyle w:val="VerbatimChar"/>
        </w:rPr>
        <w:t xml:space="preserve">  policy      dual-sig                review</w:t>
      </w:r>
    </w:p>
    <w:p>
      <w:pPr>
        <w:pStyle w:val="FirstParagraph"/>
      </w:pPr>
      <w:r>
        <w:rPr>
          <w:bCs/>
          <w:b/>
        </w:rPr>
        <w:t xml:space="preserve">Production brief — Figure 9.1:</w:t>
      </w:r>
      <w:r>
        <w:t xml:space="preserve"> </w:t>
      </w:r>
      <w:r>
        <w:t xml:space="preserve">Gantt with dependency gates labelled (partner policy, HSM firmware, PKI root). Distinguish planning start from production deploy. Overlay NIST 2030 deprecation anchor as vertical line.</w:t>
      </w:r>
    </w:p>
    <w:p>
      <w:r>
        <w:pict>
          <v:rect style="width:0;height:1.5pt" o:hralign="center" o:hrstd="t" o:hr="t"/>
        </w:pict>
      </w:r>
    </w:p>
    <w:bookmarkEnd w:id="37"/>
    <w:bookmarkStart w:id="38" w:name="do-not-migrate-yet-conditions"/>
    <w:p>
      <w:pPr>
        <w:pStyle w:val="Heading2"/>
      </w:pPr>
      <w:r>
        <w:t xml:space="preserve">9.7</w:t>
      </w:r>
      <w:r>
        <w:t xml:space="preserve"> </w:t>
      </w:r>
      <w:r>
        <w:t xml:space="preserve">“</w:t>
      </w:r>
      <w:r>
        <w:t xml:space="preserve">Do Not Migrate Yet</w:t>
      </w:r>
      <w:r>
        <w:t xml:space="preserve">”</w:t>
      </w:r>
      <w:r>
        <w:t xml:space="preserve"> </w:t>
      </w:r>
      <w:r>
        <w:t xml:space="preserve">Conditions</w:t>
      </w:r>
    </w:p>
    <w:p>
      <w:pPr>
        <w:pStyle w:val="FirstParagraph"/>
      </w:pPr>
      <w:r>
        <w:t xml:space="preserve">Explicit</w:t>
      </w:r>
      <w:r>
        <w:t xml:space="preserve"> </w:t>
      </w:r>
      <w:r>
        <w:rPr>
          <w:bCs/>
          <w:b/>
        </w:rPr>
        <w:t xml:space="preserve">deferral</w:t>
      </w:r>
      <w:r>
        <w:t xml:space="preserve"> </w:t>
      </w:r>
      <w:r>
        <w:t xml:space="preserve">prevents wasted engineering on systems that cannot or should not move now.</w:t>
      </w:r>
    </w:p>
    <w:tbl>
      <w:tblPr>
        <w:tblStyle w:val="Table"/>
        <w:tblW w:type="pct" w:w="5000"/>
        <w:tblLook w:firstRow="1" w:lastRow="0" w:firstColumn="0" w:lastColumn="0" w:noHBand="0" w:noVBand="0" w:val="0020"/>
        <w:jc w:val="start"/>
      </w:tblPr>
      <w:tblGrid>
        <w:gridCol w:w="2178"/>
        <w:gridCol w:w="2178"/>
        <w:gridCol w:w="3564"/>
      </w:tblGrid>
      <w:tr>
        <w:trPr>
          <w:tblHeader w:val="true"/>
        </w:trPr>
        <w:tc>
          <w:tcPr/>
          <w:p>
            <w:pPr>
              <w:pStyle w:val="Compact"/>
              <w:jc w:val="left"/>
            </w:pPr>
            <w:r>
              <w:t xml:space="preserve">Condition</w:t>
            </w:r>
          </w:p>
        </w:tc>
        <w:tc>
          <w:tcPr/>
          <w:p>
            <w:pPr>
              <w:pStyle w:val="Compact"/>
              <w:jc w:val="left"/>
            </w:pPr>
            <w:r>
              <w:t xml:space="preserve">Rationale</w:t>
            </w:r>
          </w:p>
        </w:tc>
        <w:tc>
          <w:tcPr/>
          <w:p>
            <w:pPr>
              <w:pStyle w:val="Compact"/>
              <w:jc w:val="left"/>
            </w:pPr>
            <w:r>
              <w:t xml:space="preserve">Programme action</w:t>
            </w:r>
          </w:p>
        </w:tc>
      </w:tr>
      <w:tr>
        <w:tc>
          <w:tcPr/>
          <w:p>
            <w:pPr>
              <w:pStyle w:val="Compact"/>
              <w:jc w:val="left"/>
            </w:pPr>
            <w:r>
              <w:t xml:space="preserve">E &lt; 3 and no hybrid path</w:t>
            </w:r>
          </w:p>
        </w:tc>
        <w:tc>
          <w:tcPr/>
          <w:p>
            <w:pPr>
              <w:pStyle w:val="Compact"/>
              <w:jc w:val="left"/>
            </w:pPr>
            <w:r>
              <w:t xml:space="preserve">Production deploy unsafe</w:t>
            </w:r>
          </w:p>
        </w:tc>
        <w:tc>
          <w:tcPr/>
          <w:p>
            <w:pPr>
              <w:pStyle w:val="Compact"/>
              <w:jc w:val="left"/>
            </w:pPr>
            <w:r>
              <w:t xml:space="preserve">Vendor escalation; architecture only</w:t>
            </w:r>
          </w:p>
        </w:tc>
      </w:tr>
      <w:tr>
        <w:tc>
          <w:tcPr/>
          <w:p>
            <w:pPr>
              <w:pStyle w:val="Compact"/>
              <w:jc w:val="left"/>
            </w:pPr>
            <w:r>
              <w:t xml:space="preserve">Blocking ancestor not in Wave 0 plan</w:t>
            </w:r>
          </w:p>
        </w:tc>
        <w:tc>
          <w:tcPr/>
          <w:p>
            <w:pPr>
              <w:pStyle w:val="Compact"/>
              <w:jc w:val="left"/>
            </w:pPr>
            <w:r>
              <w:t xml:space="preserve">Migration would fail integration test</w:t>
            </w:r>
          </w:p>
        </w:tc>
        <w:tc>
          <w:tcPr/>
          <w:p>
            <w:pPr>
              <w:pStyle w:val="Compact"/>
              <w:jc w:val="left"/>
            </w:pPr>
            <w:r>
              <w:t xml:space="preserve">CDG sequencing</w:t>
            </w:r>
          </w:p>
        </w:tc>
      </w:tr>
      <w:tr>
        <w:tc>
          <w:tcPr/>
          <w:p>
            <w:pPr>
              <w:pStyle w:val="Compact"/>
              <w:jc w:val="left"/>
            </w:pPr>
            <w:r>
              <w:t xml:space="preserve">Decommission before deprecation</w:t>
            </w:r>
          </w:p>
        </w:tc>
        <w:tc>
          <w:tcPr/>
          <w:p>
            <w:pPr>
              <w:pStyle w:val="Compact"/>
              <w:jc w:val="left"/>
            </w:pPr>
            <w:r>
              <w:t xml:space="preserve">Migration cost &gt; retirement value</w:t>
            </w:r>
          </w:p>
        </w:tc>
        <w:tc>
          <w:tcPr/>
          <w:p>
            <w:pPr>
              <w:pStyle w:val="Compact"/>
              <w:jc w:val="left"/>
            </w:pPr>
            <w:r>
              <w:t xml:space="preserve">Document retirement date</w:t>
            </w:r>
          </w:p>
        </w:tc>
      </w:tr>
      <w:tr>
        <w:tc>
          <w:tcPr/>
          <w:p>
            <w:pPr>
              <w:pStyle w:val="Compact"/>
              <w:jc w:val="left"/>
            </w:pPr>
            <w:r>
              <w:t xml:space="preserve">OT device cannot accept ML-DSA chain</w:t>
            </w:r>
          </w:p>
        </w:tc>
        <w:tc>
          <w:tcPr/>
          <w:p>
            <w:pPr>
              <w:pStyle w:val="Compact"/>
              <w:jc w:val="left"/>
            </w:pPr>
            <w:r>
              <w:t xml:space="preserve">Physical constraint</w:t>
            </w:r>
          </w:p>
        </w:tc>
        <w:tc>
          <w:tcPr/>
          <w:p>
            <w:pPr>
              <w:pStyle w:val="Compact"/>
              <w:jc w:val="left"/>
            </w:pPr>
            <w:r>
              <w:t xml:space="preserve">Compensating control; refresh cycle</w:t>
            </w:r>
          </w:p>
        </w:tc>
      </w:tr>
      <w:tr>
        <w:tc>
          <w:tcPr/>
          <w:p>
            <w:pPr>
              <w:pStyle w:val="Compact"/>
              <w:jc w:val="left"/>
            </w:pPr>
            <w:r>
              <w:t xml:space="preserve">Partner prohibits PQC until date X</w:t>
            </w:r>
          </w:p>
        </w:tc>
        <w:tc>
          <w:tcPr/>
          <w:p>
            <w:pPr>
              <w:pStyle w:val="Compact"/>
              <w:jc w:val="left"/>
            </w:pPr>
            <w:r>
              <w:t xml:space="preserve">Contractual</w:t>
            </w:r>
          </w:p>
        </w:tc>
        <w:tc>
          <w:tcPr/>
          <w:p>
            <w:pPr>
              <w:pStyle w:val="Compact"/>
              <w:jc w:val="left"/>
            </w:pPr>
            <w:r>
              <w:t xml:space="preserve">Partner programme; contractual amendment</w:t>
            </w:r>
          </w:p>
        </w:tc>
      </w:tr>
      <w:tr>
        <w:tc>
          <w:tcPr/>
          <w:p>
            <w:pPr>
              <w:pStyle w:val="Compact"/>
              <w:jc w:val="left"/>
            </w:pPr>
            <w:r>
              <w:t xml:space="preserve">NSS accreditation artefact pending</w:t>
            </w:r>
          </w:p>
        </w:tc>
        <w:tc>
          <w:tcPr/>
          <w:p>
            <w:pPr>
              <w:pStyle w:val="Compact"/>
              <w:jc w:val="left"/>
            </w:pPr>
            <w:r>
              <w:t xml:space="preserve">Authority to operate</w:t>
            </w:r>
          </w:p>
        </w:tc>
        <w:tc>
          <w:tcPr/>
          <w:p>
            <w:pPr>
              <w:pStyle w:val="Compact"/>
              <w:jc w:val="left"/>
            </w:pPr>
            <w:r>
              <w:t xml:space="preserve">Apex waiver path</w:t>
            </w:r>
          </w:p>
        </w:tc>
      </w:tr>
      <w:tr>
        <w:tc>
          <w:tcPr/>
          <w:p>
            <w:pPr>
              <w:pStyle w:val="Compact"/>
              <w:jc w:val="left"/>
            </w:pPr>
            <w:r>
              <w:t xml:space="preserve">Unknown CBOM confidence</w:t>
            </w:r>
          </w:p>
        </w:tc>
        <w:tc>
          <w:tcPr/>
          <w:p>
            <w:pPr>
              <w:pStyle w:val="Compact"/>
              <w:jc w:val="left"/>
            </w:pPr>
            <w:r>
              <w:t xml:space="preserve">Cannot score TRADE accurately</w:t>
            </w:r>
          </w:p>
        </w:tc>
        <w:tc>
          <w:tcPr/>
          <w:p>
            <w:pPr>
              <w:pStyle w:val="Compact"/>
              <w:jc w:val="left"/>
            </w:pPr>
            <w:r>
              <w:t xml:space="preserve">Discovery tranche first</w:t>
            </w:r>
          </w:p>
        </w:tc>
      </w:tr>
    </w:tbl>
    <w:p>
      <w:pPr>
        <w:pStyle w:val="BodyText"/>
      </w:pPr>
      <w:r>
        <w:rPr>
          <w:bCs/>
          <w:b/>
        </w:rPr>
        <w:t xml:space="preserve">Anti-pattern:</w:t>
      </w:r>
      <w:r>
        <w:t xml:space="preserve"> </w:t>
      </w:r>
      <w:r>
        <w:t xml:space="preserve">“</w:t>
      </w:r>
      <w:r>
        <w:t xml:space="preserve">Do not migrate yet</w:t>
      </w:r>
      <w:r>
        <w:t xml:space="preserve">”</w:t>
      </w:r>
      <w:r>
        <w:t xml:space="preserve"> </w:t>
      </w:r>
      <w:r>
        <w:t xml:space="preserve">without owner and review date — becomes permanent deferral. Every deferral requires risk acceptance with</w:t>
      </w:r>
      <w:r>
        <w:t xml:space="preserve"> </w:t>
      </w:r>
      <w:r>
        <w:rPr>
          <w:bCs/>
          <w:b/>
        </w:rPr>
        <w:t xml:space="preserve">maximum twelve-month review</w:t>
      </w:r>
      <w:r>
        <w:t xml:space="preserve"> </w:t>
      </w:r>
      <w:r>
        <w:t xml:space="preserve">(Chapter 5).</w:t>
      </w:r>
    </w:p>
    <w:p>
      <w:pPr>
        <w:pStyle w:val="BodyText"/>
      </w:pPr>
      <w:r>
        <w:t xml:space="preserve">GlobalSync listed</w:t>
      </w:r>
      <w:r>
        <w:t xml:space="preserve"> </w:t>
      </w:r>
      <w:r>
        <w:rPr>
          <w:bCs/>
          <w:b/>
        </w:rPr>
        <w:t xml:space="preserve">47 microservices</w:t>
      </w:r>
      <w:r>
        <w:t xml:space="preserve"> </w:t>
      </w:r>
      <w:r>
        <w:t xml:space="preserve">as</w:t>
      </w:r>
      <w:r>
        <w:t xml:space="preserve"> </w:t>
      </w:r>
      <w:r>
        <w:t xml:space="preserve">“</w:t>
      </w:r>
      <w:r>
        <w:t xml:space="preserve">do not migrate yet</w:t>
      </w:r>
      <w:r>
        <w:t xml:space="preserve">”</w:t>
      </w:r>
      <w:r>
        <w:t xml:space="preserve"> </w:t>
      </w:r>
      <w:r>
        <w:t xml:space="preserve">pending partner policy Wave 0 — preventing teams from shipping hybrid TLS that partners would reject.</w:t>
      </w:r>
    </w:p>
    <w:p>
      <w:r>
        <w:pict>
          <v:rect style="width:0;height:1.5pt" o:hralign="center" o:hrstd="t" o:hr="t"/>
        </w:pict>
      </w:r>
    </w:p>
    <w:bookmarkEnd w:id="38"/>
    <w:bookmarkStart w:id="39" w:name="wave-sizing-and-capacity"/>
    <w:p>
      <w:pPr>
        <w:pStyle w:val="Heading2"/>
      </w:pPr>
      <w:r>
        <w:t xml:space="preserve">9.8 Wave Sizing and Capacity</w:t>
      </w:r>
    </w:p>
    <w:p>
      <w:pPr>
        <w:pStyle w:val="FirstParagraph"/>
      </w:pPr>
      <w:r>
        <w:t xml:space="preserve">Waves fail when overloaded. Sizing heuristics (</w:t>
      </w:r>
      <w:r>
        <w:rPr>
          <w:iCs/>
          <w:i/>
        </w:rPr>
        <w:t xml:space="preserve">illustrative planning examples</w:t>
      </w:r>
      <w:r>
        <w:t xml:space="preserve">):</w:t>
      </w:r>
    </w:p>
    <w:tbl>
      <w:tblPr>
        <w:tblStyle w:val="Table"/>
        <w:tblW w:type="pct" w:w="5000"/>
        <w:tblLook w:firstRow="1" w:lastRow="0" w:firstColumn="0" w:lastColumn="0" w:noHBand="0" w:noVBand="0" w:val="0020"/>
        <w:jc w:val="start"/>
      </w:tblPr>
      <w:tblGrid>
        <w:gridCol w:w="3520"/>
        <w:gridCol w:w="4400"/>
      </w:tblGrid>
      <w:tr>
        <w:trPr>
          <w:tblHeader w:val="true"/>
        </w:trPr>
        <w:tc>
          <w:tcPr/>
          <w:p>
            <w:pPr>
              <w:pStyle w:val="Compact"/>
              <w:jc w:val="left"/>
            </w:pPr>
            <w:r>
              <w:t xml:space="preserve">Factor</w:t>
            </w:r>
          </w:p>
        </w:tc>
        <w:tc>
          <w:tcPr/>
          <w:p>
            <w:pPr>
              <w:pStyle w:val="Compact"/>
              <w:jc w:val="left"/>
            </w:pPr>
            <w:r>
              <w:t xml:space="preserve">Guidance</w:t>
            </w:r>
          </w:p>
        </w:tc>
      </w:tr>
      <w:tr>
        <w:tc>
          <w:tcPr/>
          <w:p>
            <w:pPr>
              <w:pStyle w:val="Compact"/>
              <w:jc w:val="left"/>
            </w:pPr>
            <w:r>
              <w:t xml:space="preserve">Systems per wave</w:t>
            </w:r>
          </w:p>
        </w:tc>
        <w:tc>
          <w:tcPr/>
          <w:p>
            <w:pPr>
              <w:pStyle w:val="Compact"/>
              <w:jc w:val="left"/>
            </w:pPr>
            <w:r>
              <w:t xml:space="preserve">50–200 major workloads; unlimited CBOM rows if rolled up</w:t>
            </w:r>
          </w:p>
        </w:tc>
      </w:tr>
      <w:tr>
        <w:tc>
          <w:tcPr/>
          <w:p>
            <w:pPr>
              <w:pStyle w:val="Compact"/>
              <w:jc w:val="left"/>
            </w:pPr>
            <w:r>
              <w:t xml:space="preserve">FTE per wave</w:t>
            </w:r>
          </w:p>
        </w:tc>
        <w:tc>
          <w:tcPr/>
          <w:p>
            <w:pPr>
              <w:pStyle w:val="Compact"/>
              <w:jc w:val="left"/>
            </w:pPr>
            <w:r>
              <w:t xml:space="preserve">0.5–2 FTE per major workload for migration project (varies by complexity)</w:t>
            </w:r>
          </w:p>
        </w:tc>
      </w:tr>
      <w:tr>
        <w:tc>
          <w:tcPr/>
          <w:p>
            <w:pPr>
              <w:pStyle w:val="Compact"/>
              <w:jc w:val="left"/>
            </w:pPr>
            <w:r>
              <w:t xml:space="preserve">Wave 0 cap</w:t>
            </w:r>
          </w:p>
        </w:tc>
        <w:tc>
          <w:tcPr/>
          <w:p>
            <w:pPr>
              <w:pStyle w:val="Compact"/>
              <w:jc w:val="left"/>
            </w:pPr>
            <w:r>
              <w:t xml:space="preserve">≤ 30% programme budget — blocking work is expensive</w:t>
            </w:r>
          </w:p>
        </w:tc>
      </w:tr>
      <w:tr>
        <w:tc>
          <w:tcPr/>
          <w:p>
            <w:pPr>
              <w:pStyle w:val="Compact"/>
              <w:jc w:val="left"/>
            </w:pPr>
            <w:r>
              <w:t xml:space="preserve">Parallel waves</w:t>
            </w:r>
          </w:p>
        </w:tc>
        <w:tc>
          <w:tcPr/>
          <w:p>
            <w:pPr>
              <w:pStyle w:val="Compact"/>
              <w:jc w:val="left"/>
            </w:pPr>
            <w:r>
              <w:t xml:space="preserve">Max 2 active execution waves for same team</w:t>
            </w:r>
          </w:p>
        </w:tc>
      </w:tr>
      <w:tr>
        <w:tc>
          <w:tcPr/>
          <w:p>
            <w:pPr>
              <w:pStyle w:val="Compact"/>
              <w:jc w:val="left"/>
            </w:pPr>
            <w:r>
              <w:t xml:space="preserve">Steering cadence</w:t>
            </w:r>
          </w:p>
        </w:tc>
        <w:tc>
          <w:tcPr/>
          <w:p>
            <w:pPr>
              <w:pStyle w:val="Compact"/>
              <w:jc w:val="left"/>
            </w:pPr>
            <w:r>
              <w:t xml:space="preserve">Monthly progress; quarterly MPI re-score</w:t>
            </w:r>
          </w:p>
        </w:tc>
      </w:tr>
    </w:tbl>
    <w:p>
      <w:pPr>
        <w:pStyle w:val="BodyText"/>
      </w:pPr>
      <w:r>
        <w:t xml:space="preserve">Meridian Wave 0 contained</w:t>
      </w:r>
      <w:r>
        <w:t xml:space="preserve"> </w:t>
      </w:r>
      <w:r>
        <w:rPr>
          <w:bCs/>
          <w:b/>
        </w:rPr>
        <w:t xml:space="preserve">8 blocking nodes</w:t>
      </w:r>
      <w:r>
        <w:t xml:space="preserve"> </w:t>
      </w:r>
      <w:r>
        <w:t xml:space="preserve">— not 800 servers. GlobalSync Wave 0 contained</w:t>
      </w:r>
      <w:r>
        <w:t xml:space="preserve"> </w:t>
      </w:r>
      <w:r>
        <w:rPr>
          <w:bCs/>
          <w:b/>
        </w:rPr>
        <w:t xml:space="preserve">3 policy nodes</w:t>
      </w:r>
      <w:r>
        <w:t xml:space="preserve"> </w:t>
      </w:r>
      <w:r>
        <w:t xml:space="preserve">affecting 200+ services.</w:t>
      </w:r>
      <w:r>
        <w:t xml:space="preserve"> </w:t>
      </w:r>
      <w:r>
        <w:rPr>
          <w:bCs/>
          <w:b/>
        </w:rPr>
        <w:t xml:space="preserve">Count nodes, not servers.</w:t>
      </w:r>
    </w:p>
    <w:p>
      <w:pPr>
        <w:pStyle w:val="BodyText"/>
      </w:pPr>
      <w:r>
        <w:rPr>
          <w:bCs/>
          <w:b/>
        </w:rPr>
        <w:t xml:space="preserve">Illustrative budget (planning example):</w:t>
      </w:r>
      <w:r>
        <w:t xml:space="preserve"> </w:t>
      </w:r>
      <w:r>
        <w:t xml:space="preserve">Apex Waves 0–2 combined</w:t>
      </w:r>
      <w:r>
        <w:t xml:space="preserve"> </w:t>
      </w:r>
      <w:r>
        <w:rPr>
          <w:bCs/>
          <w:b/>
        </w:rPr>
        <w:t xml:space="preserve">$14M–$22M</w:t>
      </w:r>
      <w:r>
        <w:t xml:space="preserve"> </w:t>
      </w:r>
      <w:r>
        <w:t xml:space="preserve">over three years — firmware, NSS accreditation, PKI, partner coordination. Labelled planning example, not industry benchmark.</w:t>
      </w:r>
    </w:p>
    <w:p>
      <w:r>
        <w:pict>
          <v:rect style="width:0;height:1.5pt" o:hralign="center" o:hrstd="t" o:hr="t"/>
        </w:pict>
      </w:r>
    </w:p>
    <w:bookmarkEnd w:id="39"/>
    <w:bookmarkStart w:id="40" w:name="table-9.1-trade-scoring-worksheet"/>
    <w:p>
      <w:pPr>
        <w:pStyle w:val="Heading2"/>
      </w:pPr>
      <w:r>
        <w:t xml:space="preserve">9.9 Table 9.1 — TRADE Scoring Worksheet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System / workload ID</w:t>
            </w:r>
          </w:p>
        </w:tc>
        <w:tc>
          <w:tcPr/>
          <w:p>
            <w:pPr>
              <w:pStyle w:val="Compact"/>
            </w:pPr>
          </w:p>
        </w:tc>
      </w:tr>
      <w:tr>
        <w:tc>
          <w:tcPr/>
          <w:p>
            <w:pPr>
              <w:pStyle w:val="Compact"/>
              <w:jc w:val="left"/>
            </w:pPr>
            <w:r>
              <w:t xml:space="preserve">CBOM asset reference(s)</w:t>
            </w:r>
          </w:p>
        </w:tc>
        <w:tc>
          <w:tcPr/>
          <w:p>
            <w:pPr>
              <w:pStyle w:val="Compact"/>
            </w:pPr>
          </w:p>
        </w:tc>
      </w:tr>
      <w:tr>
        <w:tc>
          <w:tcPr/>
          <w:p>
            <w:pPr>
              <w:pStyle w:val="Compact"/>
              <w:jc w:val="left"/>
            </w:pPr>
            <w:r>
              <w:t xml:space="preserve">CDG blocking node? (Y/N)</w:t>
            </w:r>
          </w:p>
        </w:tc>
        <w:tc>
          <w:tcPr/>
          <w:p>
            <w:pPr>
              <w:pStyle w:val="Compact"/>
            </w:pPr>
          </w:p>
        </w:tc>
      </w:tr>
      <w:tr>
        <w:tc>
          <w:tcPr/>
          <w:p>
            <w:pPr>
              <w:pStyle w:val="Compact"/>
              <w:jc w:val="left"/>
            </w:pPr>
            <w:r>
              <w:rPr>
                <w:bCs/>
                <w:b/>
              </w:rPr>
              <w:t xml:space="preserve">T</w:t>
            </w:r>
            <w:r>
              <w:t xml:space="preserve"> </w:t>
            </w:r>
            <w:r>
              <w:t xml:space="preserve">Threat (1–5)</w:t>
            </w:r>
          </w:p>
        </w:tc>
        <w:tc>
          <w:tcPr/>
          <w:p>
            <w:pPr>
              <w:pStyle w:val="Compact"/>
            </w:pPr>
          </w:p>
        </w:tc>
      </w:tr>
      <w:tr>
        <w:tc>
          <w:tcPr/>
          <w:p>
            <w:pPr>
              <w:pStyle w:val="Compact"/>
              <w:jc w:val="left"/>
            </w:pPr>
            <w:r>
              <w:rPr>
                <w:bCs/>
                <w:b/>
              </w:rPr>
              <w:t xml:space="preserve">R</w:t>
            </w:r>
            <w:r>
              <w:t xml:space="preserve"> </w:t>
            </w:r>
            <w:r>
              <w:t xml:space="preserve">Regulatory (1–5)</w:t>
            </w:r>
          </w:p>
        </w:tc>
        <w:tc>
          <w:tcPr/>
          <w:p>
            <w:pPr>
              <w:pStyle w:val="Compact"/>
            </w:pPr>
          </w:p>
        </w:tc>
      </w:tr>
      <w:tr>
        <w:tc>
          <w:tcPr/>
          <w:p>
            <w:pPr>
              <w:pStyle w:val="Compact"/>
              <w:jc w:val="left"/>
            </w:pPr>
            <w:r>
              <w:rPr>
                <w:bCs/>
                <w:b/>
              </w:rPr>
              <w:t xml:space="preserve">A</w:t>
            </w:r>
            <w:r>
              <w:t xml:space="preserve"> </w:t>
            </w:r>
            <w:r>
              <w:t xml:space="preserve">Architectural dependency (1–5)</w:t>
            </w:r>
          </w:p>
        </w:tc>
        <w:tc>
          <w:tcPr/>
          <w:p>
            <w:pPr>
              <w:pStyle w:val="Compact"/>
            </w:pPr>
          </w:p>
        </w:tc>
      </w:tr>
      <w:tr>
        <w:tc>
          <w:tcPr/>
          <w:p>
            <w:pPr>
              <w:pStyle w:val="Compact"/>
              <w:jc w:val="left"/>
            </w:pPr>
            <w:r>
              <w:rPr>
                <w:bCs/>
                <w:b/>
              </w:rPr>
              <w:t xml:space="preserve">D</w:t>
            </w:r>
            <w:r>
              <w:t xml:space="preserve"> </w:t>
            </w:r>
            <w:r>
              <w:t xml:space="preserve">Data longevity (1–5)</w:t>
            </w:r>
          </w:p>
        </w:tc>
        <w:tc>
          <w:tcPr/>
          <w:p>
            <w:pPr>
              <w:pStyle w:val="Compact"/>
            </w:pPr>
          </w:p>
        </w:tc>
      </w:tr>
      <w:tr>
        <w:tc>
          <w:tcPr/>
          <w:p>
            <w:pPr>
              <w:pStyle w:val="Compact"/>
              <w:jc w:val="left"/>
            </w:pPr>
            <w:r>
              <w:rPr>
                <w:bCs/>
                <w:b/>
              </w:rPr>
              <w:t xml:space="preserve">E</w:t>
            </w:r>
            <w:r>
              <w:t xml:space="preserve"> </w:t>
            </w:r>
            <w:r>
              <w:t xml:space="preserve">Ecosystem readiness (1–5)</w:t>
            </w:r>
          </w:p>
        </w:tc>
        <w:tc>
          <w:tcPr/>
          <w:p>
            <w:pPr>
              <w:pStyle w:val="Compact"/>
            </w:pPr>
          </w:p>
        </w:tc>
      </w:tr>
      <w:tr>
        <w:tc>
          <w:tcPr/>
          <w:p>
            <w:pPr>
              <w:pStyle w:val="Compact"/>
              <w:jc w:val="left"/>
            </w:pPr>
            <w:r>
              <w:t xml:space="preserve">Weights (if non-default)</w:t>
            </w:r>
          </w:p>
        </w:tc>
        <w:tc>
          <w:tcPr/>
          <w:p>
            <w:pPr>
              <w:pStyle w:val="Compact"/>
              <w:jc w:val="left"/>
            </w:pPr>
            <w:r>
              <w:t xml:space="preserve">wT, wR, wA, wD, wE</w:t>
            </w:r>
          </w:p>
        </w:tc>
      </w:tr>
      <w:tr>
        <w:tc>
          <w:tcPr/>
          <w:p>
            <w:pPr>
              <w:pStyle w:val="Compact"/>
              <w:jc w:val="left"/>
            </w:pPr>
            <w:r>
              <w:rPr>
                <w:bCs/>
                <w:b/>
              </w:rPr>
              <w:t xml:space="preserve">MPI</w:t>
            </w:r>
            <w:r>
              <w:t xml:space="preserve"> </w:t>
            </w:r>
            <w:r>
              <w:t xml:space="preserve">(calculated)</w:t>
            </w:r>
          </w:p>
        </w:tc>
        <w:tc>
          <w:tcPr/>
          <w:p>
            <w:pPr>
              <w:pStyle w:val="Compact"/>
            </w:pPr>
          </w:p>
        </w:tc>
      </w:tr>
      <w:tr>
        <w:tc>
          <w:tcPr/>
          <w:p>
            <w:pPr>
              <w:pStyle w:val="Compact"/>
              <w:jc w:val="left"/>
            </w:pPr>
            <w:r>
              <w:t xml:space="preserve">Proposed wave</w:t>
            </w:r>
          </w:p>
        </w:tc>
        <w:tc>
          <w:tcPr/>
          <w:p>
            <w:pPr>
              <w:pStyle w:val="Compact"/>
            </w:pPr>
          </w:p>
        </w:tc>
      </w:tr>
      <w:tr>
        <w:tc>
          <w:tcPr/>
          <w:p>
            <w:pPr>
              <w:pStyle w:val="Compact"/>
              <w:jc w:val="left"/>
            </w:pPr>
            <w:r>
              <w:t xml:space="preserve">CDG override? (Y/N + rationale)</w:t>
            </w:r>
          </w:p>
        </w:tc>
        <w:tc>
          <w:tcPr/>
          <w:p>
            <w:pPr>
              <w:pStyle w:val="Compact"/>
            </w:pPr>
          </w:p>
        </w:tc>
      </w:tr>
      <w:tr>
        <w:tc>
          <w:tcPr/>
          <w:p>
            <w:pPr>
              <w:pStyle w:val="Compact"/>
              <w:jc w:val="left"/>
            </w:pPr>
            <w:r>
              <w:t xml:space="preserve">“</w:t>
            </w:r>
            <w:r>
              <w:t xml:space="preserve">Do not migrate yet</w:t>
            </w:r>
            <w:r>
              <w:t xml:space="preserve">”</w:t>
            </w:r>
            <w:r>
              <w:t xml:space="preserve">? (Y/N + condition)</w:t>
            </w:r>
          </w:p>
        </w:tc>
        <w:tc>
          <w:tcPr/>
          <w:p>
            <w:pPr>
              <w:pStyle w:val="Compact"/>
            </w:pPr>
          </w:p>
        </w:tc>
      </w:tr>
      <w:tr>
        <w:tc>
          <w:tcPr/>
          <w:p>
            <w:pPr>
              <w:pStyle w:val="Compact"/>
              <w:jc w:val="left"/>
            </w:pPr>
            <w:r>
              <w:t xml:space="preserve">Owner</w:t>
            </w:r>
          </w:p>
        </w:tc>
        <w:tc>
          <w:tcPr/>
          <w:p>
            <w:pPr>
              <w:pStyle w:val="Compact"/>
            </w:pPr>
          </w:p>
        </w:tc>
      </w:tr>
      <w:tr>
        <w:tc>
          <w:tcPr/>
          <w:p>
            <w:pPr>
              <w:pStyle w:val="Compact"/>
              <w:jc w:val="left"/>
            </w:pPr>
            <w:r>
              <w:t xml:space="preserve">Review date</w:t>
            </w:r>
          </w:p>
        </w:tc>
        <w:tc>
          <w:tcPr/>
          <w:p>
            <w:pPr>
              <w:pStyle w:val="Compact"/>
            </w:pPr>
          </w:p>
        </w:tc>
      </w:tr>
    </w:tbl>
    <w:p>
      <w:pPr>
        <w:pStyle w:val="BodyText"/>
      </w:pPr>
      <w:r>
        <w:t xml:space="preserve">Meridian stored worksheets in GRC platform linked to CBOM</w:t>
      </w:r>
      <w:r>
        <w:t xml:space="preserve"> </w:t>
      </w:r>
      <w:r>
        <w:rPr>
          <w:rStyle w:val="VerbatimChar"/>
        </w:rPr>
        <w:t xml:space="preserve">asset_id</w:t>
      </w:r>
      <w:r>
        <w:t xml:space="preserve">. Re-scoring triggered on: regulatory change, vendor GA, CDG edge change, data classification change.</w:t>
      </w:r>
    </w:p>
    <w:p>
      <w:r>
        <w:pict>
          <v:rect style="width:0;height:1.5pt" o:hralign="center" o:hrstd="t" o:hr="t"/>
        </w:pict>
      </w:r>
    </w:p>
    <w:bookmarkEnd w:id="40"/>
    <w:bookmarkStart w:id="41" w:name="table-9.2-wave-definition-template"/>
    <w:p>
      <w:pPr>
        <w:pStyle w:val="Heading2"/>
      </w:pPr>
      <w:r>
        <w:t xml:space="preserve">9.10 Table 9.2 — Wave Definition Template</w:t>
      </w:r>
    </w:p>
    <w:tbl>
      <w:tblPr>
        <w:tblStyle w:val="Table"/>
        <w:tblW w:type="pct" w:w="5000"/>
        <w:tblLook w:firstRow="1" w:lastRow="0" w:firstColumn="0" w:lastColumn="0" w:noHBand="0" w:noVBand="0" w:val="0020"/>
        <w:jc w:val="start"/>
      </w:tblPr>
      <w:tblGrid>
        <w:gridCol w:w="2410"/>
        <w:gridCol w:w="5509"/>
      </w:tblGrid>
      <w:tr>
        <w:trPr>
          <w:tblHeader w:val="true"/>
        </w:trPr>
        <w:tc>
          <w:tcPr/>
          <w:p>
            <w:pPr>
              <w:pStyle w:val="Compact"/>
              <w:jc w:val="left"/>
            </w:pPr>
            <w:r>
              <w:t xml:space="preserve">Field</w:t>
            </w:r>
          </w:p>
        </w:tc>
        <w:tc>
          <w:tcPr/>
          <w:p>
            <w:pPr>
              <w:pStyle w:val="Compact"/>
              <w:jc w:val="left"/>
            </w:pPr>
            <w:r>
              <w:t xml:space="preserve">Wave 0 example</w:t>
            </w:r>
          </w:p>
        </w:tc>
      </w:tr>
      <w:tr>
        <w:tc>
          <w:tcPr/>
          <w:p>
            <w:pPr>
              <w:pStyle w:val="Compact"/>
              <w:jc w:val="left"/>
            </w:pPr>
            <w:r>
              <w:t xml:space="preserve">Wave ID</w:t>
            </w:r>
          </w:p>
        </w:tc>
        <w:tc>
          <w:tcPr/>
          <w:p>
            <w:pPr>
              <w:pStyle w:val="Compact"/>
              <w:jc w:val="left"/>
            </w:pPr>
            <w:r>
              <w:t xml:space="preserve">W0</w:t>
            </w:r>
          </w:p>
        </w:tc>
      </w:tr>
      <w:tr>
        <w:tc>
          <w:tcPr/>
          <w:p>
            <w:pPr>
              <w:pStyle w:val="Compact"/>
              <w:jc w:val="left"/>
            </w:pPr>
            <w:r>
              <w:t xml:space="preserve">Wave name</w:t>
            </w:r>
          </w:p>
        </w:tc>
        <w:tc>
          <w:tcPr/>
          <w:p>
            <w:pPr>
              <w:pStyle w:val="Compact"/>
              <w:jc w:val="left"/>
            </w:pPr>
            <w:r>
              <w:t xml:space="preserve">Structural unblockers</w:t>
            </w:r>
          </w:p>
        </w:tc>
      </w:tr>
      <w:tr>
        <w:tc>
          <w:tcPr/>
          <w:p>
            <w:pPr>
              <w:pStyle w:val="Compact"/>
              <w:jc w:val="left"/>
            </w:pPr>
            <w:r>
              <w:t xml:space="preserve">Objectives</w:t>
            </w:r>
          </w:p>
        </w:tc>
        <w:tc>
          <w:tcPr/>
          <w:p>
            <w:pPr>
              <w:pStyle w:val="Compact"/>
              <w:jc w:val="left"/>
            </w:pPr>
            <w:r>
              <w:t xml:space="preserve">Resolve CDG blocking nodes; enable downstream waves</w:t>
            </w:r>
          </w:p>
        </w:tc>
      </w:tr>
      <w:tr>
        <w:tc>
          <w:tcPr/>
          <w:p>
            <w:pPr>
              <w:pStyle w:val="Compact"/>
              <w:jc w:val="left"/>
            </w:pPr>
            <w:r>
              <w:t xml:space="preserve">Entry criteria</w:t>
            </w:r>
          </w:p>
        </w:tc>
        <w:tc>
          <w:tcPr/>
          <w:p>
            <w:pPr>
              <w:pStyle w:val="Compact"/>
              <w:jc w:val="left"/>
            </w:pPr>
            <w:r>
              <w:t xml:space="preserve">CBOM ≥80% verified; CDG-2 maturity</w:t>
            </w:r>
          </w:p>
        </w:tc>
      </w:tr>
      <w:tr>
        <w:tc>
          <w:tcPr/>
          <w:p>
            <w:pPr>
              <w:pStyle w:val="Compact"/>
              <w:jc w:val="left"/>
            </w:pPr>
            <w:r>
              <w:t xml:space="preserve">Exit criteria</w:t>
            </w:r>
          </w:p>
        </w:tc>
        <w:tc>
          <w:tcPr/>
          <w:p>
            <w:pPr>
              <w:pStyle w:val="Compact"/>
              <w:jc w:val="left"/>
            </w:pPr>
            <w:r>
              <w:t xml:space="preserve">Blocking nodes migrated or dual-trust operational; downstream E ≥ 3</w:t>
            </w:r>
          </w:p>
        </w:tc>
      </w:tr>
      <w:tr>
        <w:tc>
          <w:tcPr/>
          <w:p>
            <w:pPr>
              <w:pStyle w:val="Compact"/>
              <w:jc w:val="left"/>
            </w:pPr>
            <w:r>
              <w:t xml:space="preserve">In-scope systems</w:t>
            </w:r>
          </w:p>
        </w:tc>
        <w:tc>
          <w:tcPr/>
          <w:p>
            <w:pPr>
              <w:pStyle w:val="Compact"/>
              <w:jc w:val="left"/>
            </w:pPr>
            <w:r>
              <w:t xml:space="preserve">Partner mTLS policy; payment HSM firmware signer; internal root CA rotation plan</w:t>
            </w:r>
          </w:p>
        </w:tc>
      </w:tr>
      <w:tr>
        <w:tc>
          <w:tcPr/>
          <w:p>
            <w:pPr>
              <w:pStyle w:val="Compact"/>
              <w:jc w:val="left"/>
            </w:pPr>
            <w:r>
              <w:t xml:space="preserve">Out-of-scope</w:t>
            </w:r>
          </w:p>
        </w:tc>
        <w:tc>
          <w:tcPr/>
          <w:p>
            <w:pPr>
              <w:pStyle w:val="Compact"/>
              <w:jc w:val="left"/>
            </w:pPr>
            <w:r>
              <w:t xml:space="preserve">General application TLS (Wave 3)</w:t>
            </w:r>
          </w:p>
        </w:tc>
      </w:tr>
      <w:tr>
        <w:tc>
          <w:tcPr/>
          <w:p>
            <w:pPr>
              <w:pStyle w:val="Compact"/>
              <w:jc w:val="left"/>
            </w:pPr>
            <w:r>
              <w:t xml:space="preserve">Dependencies</w:t>
            </w:r>
          </w:p>
        </w:tc>
        <w:tc>
          <w:tcPr/>
          <w:p>
            <w:pPr>
              <w:pStyle w:val="Compact"/>
              <w:jc w:val="left"/>
            </w:pPr>
            <w:r>
              <w:t xml:space="preserve">Vendor firmware GA; partner negotiation</w:t>
            </w:r>
          </w:p>
        </w:tc>
      </w:tr>
      <w:tr>
        <w:tc>
          <w:tcPr/>
          <w:p>
            <w:pPr>
              <w:pStyle w:val="Compact"/>
              <w:jc w:val="left"/>
            </w:pPr>
            <w:r>
              <w:t xml:space="preserve">Budget range</w:t>
            </w:r>
          </w:p>
        </w:tc>
        <w:tc>
          <w:tcPr/>
          <w:p>
            <w:pPr>
              <w:pStyle w:val="Compact"/>
              <w:jc w:val="left"/>
            </w:pPr>
            <w:r>
              <w:t xml:space="preserve">€X–Y (</w:t>
            </w:r>
            <w:r>
              <w:rPr>
                <w:iCs/>
                <w:i/>
              </w:rPr>
              <w:t xml:space="preserve">planning example</w:t>
            </w:r>
            <w:r>
              <w:t xml:space="preserve">)</w:t>
            </w:r>
          </w:p>
        </w:tc>
      </w:tr>
      <w:tr>
        <w:tc>
          <w:tcPr/>
          <w:p>
            <w:pPr>
              <w:pStyle w:val="Compact"/>
              <w:jc w:val="left"/>
            </w:pPr>
            <w:r>
              <w:t xml:space="preserve">Executive sponsor</w:t>
            </w:r>
          </w:p>
        </w:tc>
        <w:tc>
          <w:tcPr/>
          <w:p>
            <w:pPr>
              <w:pStyle w:val="Compact"/>
            </w:pPr>
          </w:p>
        </w:tc>
      </w:tr>
      <w:tr>
        <w:tc>
          <w:tcPr/>
          <w:p>
            <w:pPr>
              <w:pStyle w:val="Compact"/>
              <w:jc w:val="left"/>
            </w:pPr>
            <w:r>
              <w:t xml:space="preserve">Success metrics</w:t>
            </w:r>
          </w:p>
        </w:tc>
        <w:tc>
          <w:tcPr/>
          <w:p>
            <w:pPr>
              <w:pStyle w:val="Compact"/>
              <w:jc w:val="left"/>
            </w:pPr>
            <w:r>
              <w:t xml:space="preserve">Fan-in reduction; partner acceptance %</w:t>
            </w:r>
          </w:p>
        </w:tc>
      </w:tr>
      <w:tr>
        <w:tc>
          <w:tcPr/>
          <w:p>
            <w:pPr>
              <w:pStyle w:val="Compact"/>
              <w:jc w:val="left"/>
            </w:pPr>
            <w:r>
              <w:t xml:space="preserve">Risk register link</w:t>
            </w:r>
          </w:p>
        </w:tc>
        <w:tc>
          <w:tcPr/>
          <w:p>
            <w:pPr>
              <w:pStyle w:val="Compact"/>
            </w:pPr>
          </w:p>
        </w:tc>
      </w:tr>
    </w:tbl>
    <w:p>
      <w:r>
        <w:pict>
          <v:rect style="width:0;height:1.5pt" o:hralign="center" o:hrstd="t" o:hr="t"/>
        </w:pict>
      </w:r>
    </w:p>
    <w:bookmarkEnd w:id="41"/>
    <w:bookmarkStart w:id="42" w:name="apex-defense-contract-aligned-waves"/>
    <w:p>
      <w:pPr>
        <w:pStyle w:val="Heading2"/>
      </w:pPr>
      <w:r>
        <w:t xml:space="preserve">9.11 Apex Defense: Contract-Aligned Waves</w:t>
      </w:r>
    </w:p>
    <w:p>
      <w:pPr>
        <w:pStyle w:val="FirstParagraph"/>
      </w:pPr>
      <w:r>
        <w:t xml:space="preserve">Priya Nair faced a mandate collision familiar from Chapter 1: NSS programmes required CNSA 2030 firmware signing; commercial division promised customers NIST-aligned roadmaps; international subsidiaries referenced host-nation guidance. A single wave plan would either over-promise to commercial customers or under-resource NSS deliverables.</w:t>
      </w:r>
    </w:p>
    <w:p>
      <w:pPr>
        <w:pStyle w:val="BodyText"/>
      </w:pPr>
      <w:r>
        <w:t xml:space="preserve">Apex’s resolution was</w:t>
      </w:r>
      <w:r>
        <w:t xml:space="preserve"> </w:t>
      </w:r>
      <w:r>
        <w:rPr>
          <w:bCs/>
          <w:b/>
        </w:rPr>
        <w:t xml:space="preserve">dual-track wave plans</w:t>
      </w:r>
      <w:r>
        <w:t xml:space="preserve"> </w:t>
      </w:r>
      <w:r>
        <w:t xml:space="preserve">in one board document — NSS track and commercial track — sharing procurement where possible but not merging sequencing. CDG enforced separation: NSS subgraph contained no</w:t>
      </w:r>
      <w:r>
        <w:t xml:space="preserve"> </w:t>
      </w:r>
      <w:r>
        <w:rPr>
          <w:rStyle w:val="VerbatimChar"/>
        </w:rPr>
        <w:t xml:space="preserve">trusts</w:t>
      </w:r>
      <w:r>
        <w:t xml:space="preserve"> </w:t>
      </w:r>
      <w:r>
        <w:t xml:space="preserve">edges to commercial roots without cross-domain guard nodes.</w:t>
      </w:r>
    </w:p>
    <w:p>
      <w:pPr>
        <w:pStyle w:val="BodyText"/>
      </w:pPr>
      <w:r>
        <w:t xml:space="preserve">Apex’s wave plan aligned to</w:t>
      </w:r>
      <w:r>
        <w:t xml:space="preserve"> </w:t>
      </w:r>
      <w:r>
        <w:rPr>
          <w:bCs/>
          <w:b/>
        </w:rPr>
        <w:t xml:space="preserve">defence contract renewal cycles</w:t>
      </w:r>
      <w:r>
        <w:t xml:space="preserve"> </w:t>
      </w:r>
      <w:r>
        <w:t xml:space="preserve">and CNSA milestones — not generic IT refresh.</w:t>
      </w:r>
    </w:p>
    <w:p>
      <w:pPr>
        <w:pStyle w:val="BodyText"/>
      </w:pPr>
      <w:r>
        <w:rPr>
          <w:bCs/>
          <w:b/>
        </w:rPr>
        <w:t xml:space="preserve">Wave 0 (2026–2027):</w:t>
      </w:r>
      <w:r>
        <w:t xml:space="preserve"> </w:t>
      </w:r>
      <w:r>
        <w:t xml:space="preserve">NSS firmware signing module; cross-domain guard crypto profiles; deliverable signing HSM partition. Driven by three contracts with 2027 renewal clauses referencing</w:t>
      </w:r>
      <w:r>
        <w:t xml:space="preserve"> </w:t>
      </w:r>
      <w:r>
        <w:t xml:space="preserve">“</w:t>
      </w:r>
      <w:r>
        <w:t xml:space="preserve">approved national security algorithms.</w:t>
      </w:r>
      <w:r>
        <w:t xml:space="preserve">”</w:t>
      </w:r>
    </w:p>
    <w:p>
      <w:pPr>
        <w:pStyle w:val="BodyText"/>
      </w:pPr>
      <w:r>
        <w:rPr>
          <w:bCs/>
          <w:b/>
        </w:rPr>
        <w:t xml:space="preserve">Wave 1 (2027–2028):</w:t>
      </w:r>
      <w:r>
        <w:t xml:space="preserve"> </w:t>
      </w:r>
      <w:r>
        <w:t xml:space="preserve">NSS external interfaces; classified enclave TLS. R weight elevated to 2.0 in MPI formula for NSS rows.</w:t>
      </w:r>
    </w:p>
    <w:p>
      <w:pPr>
        <w:pStyle w:val="BodyText"/>
      </w:pPr>
      <w:r>
        <w:rPr>
          <w:bCs/>
          <w:b/>
        </w:rPr>
        <w:t xml:space="preserve">Wave 2 (2028–2030):</w:t>
      </w:r>
      <w:r>
        <w:t xml:space="preserve"> </w:t>
      </w:r>
      <w:r>
        <w:t xml:space="preserve">Corporate IT PKI; commercial product signing. NIST IR 8547 deprecation alignment.</w:t>
      </w:r>
    </w:p>
    <w:p>
      <w:pPr>
        <w:pStyle w:val="BodyText"/>
      </w:pPr>
      <w:r>
        <w:rPr>
          <w:bCs/>
          <w:b/>
        </w:rPr>
        <w:t xml:space="preserve">Wave 3 (2030–2033):</w:t>
      </w:r>
      <w:r>
        <w:t xml:space="preserve"> </w:t>
      </w:r>
      <w:r>
        <w:t xml:space="preserve">Long-tail OT in defence supply chain subsidiaries.</w:t>
      </w:r>
    </w:p>
    <w:p>
      <w:pPr>
        <w:pStyle w:val="BodyText"/>
      </w:pPr>
      <w:r>
        <w:rPr>
          <w:bCs/>
          <w:b/>
        </w:rPr>
        <w:t xml:space="preserve">Deferrals:</w:t>
      </w:r>
      <w:r>
        <w:t xml:space="preserve"> </w:t>
      </w:r>
      <w:r>
        <w:t xml:space="preserve">Corporate marketing websites — MPI 2.1, decommission planned 2029 —</w:t>
      </w:r>
      <w:r>
        <w:t xml:space="preserve"> </w:t>
      </w:r>
      <w:r>
        <w:rPr>
          <w:bCs/>
          <w:b/>
        </w:rPr>
        <w:t xml:space="preserve">do not migrate</w:t>
      </w:r>
      <w:r>
        <w:t xml:space="preserve">; document retirement.</w:t>
      </w:r>
    </w:p>
    <w:p>
      <w:pPr>
        <w:pStyle w:val="BodyText"/>
      </w:pPr>
      <w:r>
        <w:t xml:space="preserve">Priya’s board package included</w:t>
      </w:r>
      <w:r>
        <w:t xml:space="preserve"> </w:t>
      </w:r>
      <w:r>
        <w:rPr>
          <w:bCs/>
          <w:b/>
        </w:rPr>
        <w:t xml:space="preserve">contract clause cross-reference</w:t>
      </w:r>
      <w:r>
        <w:t xml:space="preserve"> </w:t>
      </w:r>
      <w:r>
        <w:t xml:space="preserve">— each Wave 0 item mapped to customer flow-down obligation. Committee approved because migration spend connected to revenue risk, not abstract compliance.</w:t>
      </w:r>
    </w:p>
    <w:p>
      <w:pPr>
        <w:pStyle w:val="BlockText"/>
      </w:pPr>
      <w:r>
        <w:rPr>
          <w:bCs/>
          <w:b/>
        </w:rPr>
        <w:t xml:space="preserve">Regulatory Lens</w:t>
      </w:r>
    </w:p>
    <w:p>
      <w:pPr>
        <w:pStyle w:val="BlockText"/>
      </w:pPr>
      <w:r>
        <w:t xml:space="preserve">Defence contractors face</w:t>
      </w:r>
      <w:r>
        <w:t xml:space="preserve"> </w:t>
      </w:r>
      <w:r>
        <w:rPr>
          <w:bCs/>
          <w:b/>
        </w:rPr>
        <w:t xml:space="preserve">dual anchors</w:t>
      </w:r>
      <w:r>
        <w:t xml:space="preserve"> </w:t>
      </w:r>
      <w:r>
        <w:t xml:space="preserve">— CNSA for NSS, NIST for corporate IT. Wave plan must show both tracks without implying single deadline. Apex board slides used two timeline bars — NSS and commercial — preventing the collision failures described in Chapter 1.</w:t>
      </w:r>
    </w:p>
    <w:p>
      <w:r>
        <w:pict>
          <v:rect style="width:0;height:1.5pt" o:hralign="center" o:hrstd="t" o:hr="t"/>
        </w:pict>
      </w:r>
    </w:p>
    <w:bookmarkEnd w:id="42"/>
    <w:bookmarkStart w:id="43" w:name="meridian-mutual-bank-wave-plan-summary"/>
    <w:p>
      <w:pPr>
        <w:pStyle w:val="Heading2"/>
      </w:pPr>
      <w:r>
        <w:t xml:space="preserve">9.12 Meridian Mutual Bank: Wave Plan Summary</w:t>
      </w:r>
    </w:p>
    <w:p>
      <w:pPr>
        <w:pStyle w:val="FirstParagraph"/>
      </w:pPr>
      <w:r>
        <w:t xml:space="preserve">Meridian’s steering committee approved five waves in October 2026:</w:t>
      </w:r>
    </w:p>
    <w:tbl>
      <w:tblPr>
        <w:tblStyle w:val="Table"/>
        <w:tblW w:type="pct" w:w="5000"/>
        <w:tblLook w:firstRow="1" w:lastRow="0" w:firstColumn="0" w:lastColumn="0" w:noHBand="0" w:noVBand="0" w:val="0020"/>
        <w:jc w:val="start"/>
      </w:tblPr>
      <w:tblGrid>
        <w:gridCol w:w="990"/>
        <w:gridCol w:w="1155"/>
        <w:gridCol w:w="2145"/>
        <w:gridCol w:w="3630"/>
      </w:tblGrid>
      <w:tr>
        <w:trPr>
          <w:tblHeader w:val="true"/>
        </w:trPr>
        <w:tc>
          <w:tcPr/>
          <w:p>
            <w:pPr>
              <w:pStyle w:val="Compact"/>
              <w:jc w:val="left"/>
            </w:pPr>
            <w:r>
              <w:t xml:space="preserve">Wave</w:t>
            </w:r>
          </w:p>
        </w:tc>
        <w:tc>
          <w:tcPr/>
          <w:p>
            <w:pPr>
              <w:pStyle w:val="Compact"/>
              <w:jc w:val="left"/>
            </w:pPr>
            <w:r>
              <w:t xml:space="preserve">Focus</w:t>
            </w:r>
          </w:p>
        </w:tc>
        <w:tc>
          <w:tcPr/>
          <w:p>
            <w:pPr>
              <w:pStyle w:val="Compact"/>
              <w:jc w:val="left"/>
            </w:pPr>
            <w:r>
              <w:t xml:space="preserve">Key systems</w:t>
            </w:r>
          </w:p>
        </w:tc>
        <w:tc>
          <w:tcPr/>
          <w:p>
            <w:pPr>
              <w:pStyle w:val="Compact"/>
              <w:jc w:val="left"/>
            </w:pPr>
            <w:r>
              <w:t xml:space="preserve">MPI / blocking driver</w:t>
            </w:r>
          </w:p>
        </w:tc>
      </w:tr>
      <w:tr>
        <w:tc>
          <w:tcPr/>
          <w:p>
            <w:pPr>
              <w:pStyle w:val="Compact"/>
              <w:jc w:val="left"/>
            </w:pPr>
            <w:r>
              <w:t xml:space="preserve">W0</w:t>
            </w:r>
          </w:p>
        </w:tc>
        <w:tc>
          <w:tcPr/>
          <w:p>
            <w:pPr>
              <w:pStyle w:val="Compact"/>
              <w:jc w:val="left"/>
            </w:pPr>
            <w:r>
              <w:t xml:space="preserve">Blocking</w:t>
            </w:r>
          </w:p>
        </w:tc>
        <w:tc>
          <w:tcPr/>
          <w:p>
            <w:pPr>
              <w:pStyle w:val="Compact"/>
              <w:jc w:val="left"/>
            </w:pPr>
            <w:r>
              <w:t xml:space="preserve">Payment HSM firmware; card-scheme trust policy; manufacturing root</w:t>
            </w:r>
          </w:p>
        </w:tc>
        <w:tc>
          <w:tcPr/>
          <w:p>
            <w:pPr>
              <w:pStyle w:val="Compact"/>
              <w:jc w:val="left"/>
            </w:pPr>
            <w:r>
              <w:t xml:space="preserve">A = 5</w:t>
            </w:r>
          </w:p>
        </w:tc>
      </w:tr>
      <w:tr>
        <w:tc>
          <w:tcPr/>
          <w:p>
            <w:pPr>
              <w:pStyle w:val="Compact"/>
              <w:jc w:val="left"/>
            </w:pPr>
            <w:r>
              <w:t xml:space="preserve">W1</w:t>
            </w:r>
          </w:p>
        </w:tc>
        <w:tc>
          <w:tcPr/>
          <w:p>
            <w:pPr>
              <w:pStyle w:val="Compact"/>
              <w:jc w:val="left"/>
            </w:pPr>
            <w:r>
              <w:t xml:space="preserve">Threat-immediate</w:t>
            </w:r>
          </w:p>
        </w:tc>
        <w:tc>
          <w:tcPr/>
          <w:p>
            <w:pPr>
              <w:pStyle w:val="Compact"/>
              <w:jc w:val="left"/>
            </w:pPr>
            <w:r>
              <w:t xml:space="preserve">PII KMS; wire transfer signing; core ledger field encryption</w:t>
            </w:r>
          </w:p>
        </w:tc>
        <w:tc>
          <w:tcPr/>
          <w:p>
            <w:pPr>
              <w:pStyle w:val="Compact"/>
              <w:jc w:val="left"/>
            </w:pPr>
            <w:r>
              <w:t xml:space="preserve">MPI ≥ 4.0</w:t>
            </w:r>
          </w:p>
        </w:tc>
      </w:tr>
      <w:tr>
        <w:tc>
          <w:tcPr/>
          <w:p>
            <w:pPr>
              <w:pStyle w:val="Compact"/>
              <w:jc w:val="left"/>
            </w:pPr>
            <w:r>
              <w:t xml:space="preserve">W2</w:t>
            </w:r>
          </w:p>
        </w:tc>
        <w:tc>
          <w:tcPr/>
          <w:p>
            <w:pPr>
              <w:pStyle w:val="Compact"/>
              <w:jc w:val="left"/>
            </w:pPr>
            <w:r>
              <w:t xml:space="preserve">PKI</w:t>
            </w:r>
          </w:p>
        </w:tc>
        <w:tc>
          <w:tcPr/>
          <w:p>
            <w:pPr>
              <w:pStyle w:val="Compact"/>
              <w:jc w:val="left"/>
            </w:pPr>
            <w:r>
              <w:t xml:space="preserve">Issuing CAs; API gateway mTLS templates</w:t>
            </w:r>
          </w:p>
        </w:tc>
        <w:tc>
          <w:tcPr/>
          <w:p>
            <w:pPr>
              <w:pStyle w:val="Compact"/>
              <w:jc w:val="left"/>
            </w:pPr>
            <w:r>
              <w:t xml:space="preserve">A = 4</w:t>
            </w:r>
          </w:p>
        </w:tc>
      </w:tr>
      <w:tr>
        <w:tc>
          <w:tcPr/>
          <w:p>
            <w:pPr>
              <w:pStyle w:val="Compact"/>
              <w:jc w:val="left"/>
            </w:pPr>
            <w:r>
              <w:t xml:space="preserve">W3</w:t>
            </w:r>
          </w:p>
        </w:tc>
        <w:tc>
          <w:tcPr/>
          <w:p>
            <w:pPr>
              <w:pStyle w:val="Compact"/>
              <w:jc w:val="left"/>
            </w:pPr>
            <w:r>
              <w:t xml:space="preserve">Application estate</w:t>
            </w:r>
          </w:p>
        </w:tc>
        <w:tc>
          <w:tcPr/>
          <w:p>
            <w:pPr>
              <w:pStyle w:val="Compact"/>
              <w:jc w:val="left"/>
            </w:pPr>
            <w:r>
              <w:t xml:space="preserve">Retail banking apps; internal microservices</w:t>
            </w:r>
          </w:p>
        </w:tc>
        <w:tc>
          <w:tcPr/>
          <w:p>
            <w:pPr>
              <w:pStyle w:val="Compact"/>
              <w:jc w:val="left"/>
            </w:pPr>
            <w:r>
              <w:t xml:space="preserve">MPI 2.5–3.9</w:t>
            </w:r>
          </w:p>
        </w:tc>
      </w:tr>
      <w:tr>
        <w:tc>
          <w:tcPr/>
          <w:p>
            <w:pPr>
              <w:pStyle w:val="Compact"/>
              <w:jc w:val="left"/>
            </w:pPr>
            <w:r>
              <w:t xml:space="preserve">W4</w:t>
            </w:r>
          </w:p>
        </w:tc>
        <w:tc>
          <w:tcPr/>
          <w:p>
            <w:pPr>
              <w:pStyle w:val="Compact"/>
              <w:jc w:val="left"/>
            </w:pPr>
            <w:r>
              <w:t xml:space="preserve">Third-party residual</w:t>
            </w:r>
          </w:p>
        </w:tc>
        <w:tc>
          <w:tcPr/>
          <w:p>
            <w:pPr>
              <w:pStyle w:val="Compact"/>
              <w:jc w:val="left"/>
            </w:pPr>
            <w:r>
              <w:t xml:space="preserve">SaaS with incomplete attestation</w:t>
            </w:r>
          </w:p>
        </w:tc>
        <w:tc>
          <w:tcPr/>
          <w:p>
            <w:pPr>
              <w:pStyle w:val="Compact"/>
              <w:jc w:val="left"/>
            </w:pPr>
            <w:r>
              <w:t xml:space="preserve">E low</w:t>
            </w:r>
          </w:p>
        </w:tc>
      </w:tr>
    </w:tbl>
    <w:p>
      <w:pPr>
        <w:pStyle w:val="BodyText"/>
      </w:pPr>
      <w:r>
        <w:rPr>
          <w:bCs/>
          <w:b/>
        </w:rPr>
        <w:t xml:space="preserve">€4.2M</w:t>
      </w:r>
      <w:r>
        <w:t xml:space="preserve"> </w:t>
      </w:r>
      <w:r>
        <w:t xml:space="preserve">Wave 0 budget (</w:t>
      </w:r>
      <w:r>
        <w:rPr>
          <w:iCs/>
          <w:i/>
        </w:rPr>
        <w:t xml:space="preserve">illustrative</w:t>
      </w:r>
      <w:r>
        <w:t xml:space="preserve">) — HSM vendor co-funding negotiation reduced net to €3.1M.</w:t>
      </w:r>
    </w:p>
    <w:p>
      <w:pPr>
        <w:pStyle w:val="BodyText"/>
      </w:pPr>
      <w:r>
        <w:rPr>
          <w:bCs/>
          <w:b/>
        </w:rPr>
        <w:t xml:space="preserve">Wave 1 detail:</w:t>
      </w:r>
      <w:r>
        <w:t xml:space="preserve"> </w:t>
      </w:r>
      <w:r>
        <w:t xml:space="preserve">PII KMS (MPI 4.39), wire transfer HSM signing service (MPI 4.12), core ledger field encryption (MPI 3.95) — twelve systems total in Wave 1 after roll-up from 340 CBOM rows. Each Wave 1 system had E ≥ 3 or approved hybrid path before production gate.</w:t>
      </w:r>
    </w:p>
    <w:p>
      <w:pPr>
        <w:pStyle w:val="BodyText"/>
      </w:pPr>
      <w:r>
        <w:rPr>
          <w:bCs/>
          <w:b/>
        </w:rPr>
        <w:t xml:space="preserve">Wave 2 detail:</w:t>
      </w:r>
      <w:r>
        <w:t xml:space="preserve"> </w:t>
      </w:r>
      <w:r>
        <w:t xml:space="preserve">Internal issuing CA migration, API gateway mTLS template standardisation — 45 CBOM rows rolled to 8 PKI meta-nodes. Wave 2 start gated on Wave 0 manufacturing root dual-trust operational.</w:t>
      </w:r>
    </w:p>
    <w:p>
      <w:pPr>
        <w:pStyle w:val="BodyText"/>
      </w:pPr>
      <w:r>
        <w:rPr>
          <w:bCs/>
          <w:b/>
        </w:rPr>
        <w:t xml:space="preserve">Funding profile:</w:t>
      </w:r>
      <w:r>
        <w:t xml:space="preserve"> </w:t>
      </w:r>
      <w:r>
        <w:t xml:space="preserve">Waves 0–1 consumed 55% of five-year migration budget — structural and threat-immediate work front-loaded per Campbell timeline analysis (Chapter 1).</w:t>
      </w:r>
    </w:p>
    <w:p>
      <w:pPr>
        <w:pStyle w:val="BodyText"/>
      </w:pPr>
      <w:r>
        <w:t xml:space="preserve">Elena required</w:t>
      </w:r>
      <w:r>
        <w:t xml:space="preserve"> </w:t>
      </w:r>
      <w:r>
        <w:rPr>
          <w:bCs/>
          <w:b/>
        </w:rPr>
        <w:t xml:space="preserve">DORA evidence mapping</w:t>
      </w:r>
      <w:r>
        <w:t xml:space="preserve"> </w:t>
      </w:r>
      <w:r>
        <w:t xml:space="preserve">— each wave linked to ICT risk register entries. Supervisors received wave plan as evidence of</w:t>
      </w:r>
      <w:r>
        <w:t xml:space="preserve"> </w:t>
      </w:r>
      <w:r>
        <w:t xml:space="preserve">“</w:t>
      </w:r>
      <w:r>
        <w:t xml:space="preserve">state of the art</w:t>
      </w:r>
      <w:r>
        <w:t xml:space="preserve">”</w:t>
      </w:r>
      <w:r>
        <w:t xml:space="preserve"> </w:t>
      </w:r>
      <w:r>
        <w:t xml:space="preserve">migration planning.</w:t>
      </w:r>
    </w:p>
    <w:p>
      <w:r>
        <w:pict>
          <v:rect style="width:0;height:1.5pt" o:hralign="center" o:hrstd="t" o:hr="t"/>
        </w:pict>
      </w:r>
    </w:p>
    <w:bookmarkEnd w:id="43"/>
    <w:bookmarkStart w:id="44" w:name="X0b17f9df551b064d85c8fd83ae446eab3521eab"/>
    <w:p>
      <w:pPr>
        <w:pStyle w:val="Heading2"/>
      </w:pPr>
      <w:r>
        <w:t xml:space="preserve">9.13 GlobalSync Logistics: Partner-First Sequencing</w:t>
      </w:r>
    </w:p>
    <w:p>
      <w:pPr>
        <w:pStyle w:val="FirstParagraph"/>
      </w:pPr>
      <w:r>
        <w:t xml:space="preserve">GlobalSync’s wave plan inverted typical</w:t>
      </w:r>
      <w:r>
        <w:t xml:space="preserve"> </w:t>
      </w:r>
      <w:r>
        <w:t xml:space="preserve">“</w:t>
      </w:r>
      <w:r>
        <w:t xml:space="preserve">customer-facing API first</w:t>
      </w:r>
      <w:r>
        <w:t xml:space="preserve">”</w:t>
      </w:r>
      <w:r>
        <w:t xml:space="preserve"> </w:t>
      </w:r>
      <w:r>
        <w:t xml:space="preserve">instinct:</w:t>
      </w:r>
    </w:p>
    <w:p>
      <w:pPr>
        <w:pStyle w:val="BodyText"/>
      </w:pPr>
      <w:r>
        <w:rPr>
          <w:bCs/>
          <w:b/>
        </w:rPr>
        <w:t xml:space="preserve">Wave 0:</w:t>
      </w:r>
      <w:r>
        <w:t xml:space="preserve"> </w:t>
      </w:r>
      <w:r>
        <w:t xml:space="preserve">Partner mTLS policy; internal service mesh root; tenant isolation KMS partition.</w:t>
      </w:r>
    </w:p>
    <w:p>
      <w:pPr>
        <w:pStyle w:val="BodyText"/>
      </w:pPr>
      <w:r>
        <w:rPr>
          <w:bCs/>
          <w:b/>
        </w:rPr>
        <w:t xml:space="preserve">Wave 1:</w:t>
      </w:r>
      <w:r>
        <w:t xml:space="preserve"> </w:t>
      </w:r>
      <w:r>
        <w:t xml:space="preserve">Public API tier hybrid TLS (H1) — after partner policy exit criteria met for B2B path.</w:t>
      </w:r>
    </w:p>
    <w:p>
      <w:pPr>
        <w:pStyle w:val="BodyText"/>
      </w:pPr>
      <w:r>
        <w:rPr>
          <w:bCs/>
          <w:b/>
        </w:rPr>
        <w:t xml:space="preserve">Wave 2:</w:t>
      </w:r>
      <w:r>
        <w:t xml:space="preserve"> </w:t>
      </w:r>
      <w:r>
        <w:t xml:space="preserve">Regional tenant segments by regulatory overlay (EU DORA tenants first).</w:t>
      </w:r>
    </w:p>
    <w:p>
      <w:pPr>
        <w:pStyle w:val="BodyText"/>
      </w:pPr>
      <w:r>
        <w:rPr>
          <w:bCs/>
          <w:b/>
        </w:rPr>
        <w:t xml:space="preserve">Wave 3:</w:t>
      </w:r>
      <w:r>
        <w:t xml:space="preserve"> </w:t>
      </w:r>
      <w:r>
        <w:t xml:space="preserve">Internal admin and corporate systems.</w:t>
      </w:r>
    </w:p>
    <w:p>
      <w:pPr>
        <w:pStyle w:val="BodyText"/>
      </w:pPr>
      <w:r>
        <w:t xml:space="preserve">Marcus Chen measured Wave 0 success by</w:t>
      </w:r>
      <w:r>
        <w:t xml:space="preserve"> </w:t>
      </w:r>
      <w:r>
        <w:rPr>
          <w:bCs/>
          <w:b/>
        </w:rPr>
        <w:t xml:space="preserve">partner acceptance rate</w:t>
      </w:r>
      <w:r>
        <w:t xml:space="preserve"> </w:t>
      </w:r>
      <w:r>
        <w:t xml:space="preserve">— target 85% partners accepting hybrid or PQC client cert profiles before Wave 1 production traffic shift.</w:t>
      </w:r>
    </w:p>
    <w:p>
      <w:pPr>
        <w:pStyle w:val="BodyText"/>
      </w:pPr>
      <w:r>
        <w:rPr>
          <w:bCs/>
          <w:b/>
        </w:rPr>
        <w:t xml:space="preserve">47 microservices</w:t>
      </w:r>
      <w:r>
        <w:t xml:space="preserve"> </w:t>
      </w:r>
      <w:r>
        <w:t xml:space="preserve">on</w:t>
      </w:r>
      <w:r>
        <w:t xml:space="preserve"> </w:t>
      </w:r>
      <w:r>
        <w:t xml:space="preserve">“</w:t>
      </w:r>
      <w:r>
        <w:t xml:space="preserve">do not migrate yet</w:t>
      </w:r>
      <w:r>
        <w:t xml:space="preserve">”</w:t>
      </w:r>
      <w:r>
        <w:t xml:space="preserve"> </w:t>
      </w:r>
      <w:r>
        <w:t xml:space="preserve">list — communicated to engineering managers to prevent local optimisation.</w:t>
      </w:r>
    </w:p>
    <w:p>
      <w:r>
        <w:pict>
          <v:rect style="width:0;height:1.5pt" o:hralign="center" o:hrstd="t" o:hr="t"/>
        </w:pict>
      </w:r>
    </w:p>
    <w:bookmarkEnd w:id="44"/>
    <w:bookmarkStart w:id="45" w:name="X0cd264e502e5f087de9b25c4ed7924ef8a3240a"/>
    <w:p>
      <w:pPr>
        <w:pStyle w:val="Heading2"/>
      </w:pPr>
      <w:r>
        <w:t xml:space="preserve">9.14 Northfield Energy Systems: OT and Threat Waves</w:t>
      </w:r>
    </w:p>
    <w:p>
      <w:pPr>
        <w:pStyle w:val="FirstParagraph"/>
      </w:pPr>
      <w:r>
        <w:t xml:space="preserve">James Whitfield’s steering presentation opened with historian archive MPI scores — TES 5, MPI 3.87 — and closed with WAN concentrator blocking. Board members asked why archives were not Wave 0 if threat scores were highest. James walked CDG slide: archive encryption keys could be rotated locally, but</w:t>
      </w:r>
      <w:r>
        <w:t xml:space="preserve"> </w:t>
      </w:r>
      <w:r>
        <w:rPr>
          <w:bCs/>
          <w:b/>
        </w:rPr>
        <w:t xml:space="preserve">distribution paths</w:t>
      </w:r>
      <w:r>
        <w:t xml:space="preserve"> </w:t>
      </w:r>
      <w:r>
        <w:t xml:space="preserve">for new keys traversed VPN concentrators still on classical IKE profiles with OT gateway firmware not qualified for hybrid until Q3 2027.</w:t>
      </w:r>
    </w:p>
    <w:p>
      <w:pPr>
        <w:pStyle w:val="BodyText"/>
      </w:pPr>
      <w:r>
        <w:t xml:space="preserve">The explanation converted board scepticism into Wave 0 funding — structural sequencing as physical reality, not bureaucracy.</w:t>
      </w:r>
    </w:p>
    <w:p>
      <w:pPr>
        <w:pStyle w:val="BodyText"/>
      </w:pPr>
      <w:r>
        <w:t xml:space="preserve">Northfield combined</w:t>
      </w:r>
      <w:r>
        <w:t xml:space="preserve"> </w:t>
      </w:r>
      <w:r>
        <w:rPr>
          <w:bCs/>
          <w:b/>
        </w:rPr>
        <w:t xml:space="preserve">threat-immediate</w:t>
      </w:r>
      <w:r>
        <w:t xml:space="preserve"> </w:t>
      </w:r>
      <w:r>
        <w:t xml:space="preserve">(Chapter 2 historian archives) with</w:t>
      </w:r>
      <w:r>
        <w:t xml:space="preserve"> </w:t>
      </w:r>
      <w:r>
        <w:rPr>
          <w:bCs/>
          <w:b/>
        </w:rPr>
        <w:t xml:space="preserve">structural</w:t>
      </w:r>
      <w:r>
        <w:t xml:space="preserve"> </w:t>
      </w:r>
      <w:r>
        <w:t xml:space="preserve">WAN blocking:</w:t>
      </w:r>
    </w:p>
    <w:p>
      <w:pPr>
        <w:pStyle w:val="BodyText"/>
      </w:pPr>
      <w:r>
        <w:rPr>
          <w:bCs/>
          <w:b/>
        </w:rPr>
        <w:t xml:space="preserve">Wave 0:</w:t>
      </w:r>
      <w:r>
        <w:t xml:space="preserve"> </w:t>
      </w:r>
      <w:r>
        <w:t xml:space="preserve">VPN concentrator firmware path; OT gateway vendor qualification.</w:t>
      </w:r>
    </w:p>
    <w:p>
      <w:pPr>
        <w:pStyle w:val="BodyText"/>
      </w:pPr>
      <w:r>
        <w:rPr>
          <w:bCs/>
          <w:b/>
        </w:rPr>
        <w:t xml:space="preserve">Wave 1:</w:t>
      </w:r>
      <w:r>
        <w:t xml:space="preserve"> </w:t>
      </w:r>
      <w:r>
        <w:t xml:space="preserve">Historian archives; SCADA configuration backups; safety documentation stores.</w:t>
      </w:r>
    </w:p>
    <w:p>
      <w:pPr>
        <w:pStyle w:val="BodyText"/>
      </w:pPr>
      <w:r>
        <w:rPr>
          <w:bCs/>
          <w:b/>
        </w:rPr>
        <w:t xml:space="preserve">Wave 2:</w:t>
      </w:r>
      <w:r>
        <w:t xml:space="preserve"> </w:t>
      </w:r>
      <w:r>
        <w:t xml:space="preserve">Enterprise IT and cloud analytics TLS.</w:t>
      </w:r>
    </w:p>
    <w:p>
      <w:pPr>
        <w:pStyle w:val="BodyText"/>
      </w:pPr>
      <w:r>
        <w:rPr>
          <w:bCs/>
          <w:b/>
        </w:rPr>
        <w:t xml:space="preserve">Wave 3:</w:t>
      </w:r>
      <w:r>
        <w:t xml:space="preserve"> </w:t>
      </w:r>
      <w:r>
        <w:t xml:space="preserve">Field device long-tail — device refresh cycles.</w:t>
      </w:r>
    </w:p>
    <w:p>
      <w:pPr>
        <w:pStyle w:val="BodyText"/>
      </w:pPr>
      <w:r>
        <w:t xml:space="preserve">James Whitfield refused to sequence Wave 1 archive encryption delivery until Wave 0 WAN could transport keys — CDG sequencing rule 6 in practice.</w:t>
      </w:r>
    </w:p>
    <w:p>
      <w:pPr>
        <w:pStyle w:val="BodyText"/>
      </w:pPr>
      <w:r>
        <w:t xml:space="preserve">OT</w:t>
      </w:r>
      <w:r>
        <w:t xml:space="preserve"> </w:t>
      </w:r>
      <w:r>
        <w:rPr>
          <w:bCs/>
          <w:b/>
        </w:rPr>
        <w:t xml:space="preserve">maintenance window</w:t>
      </w:r>
      <w:r>
        <w:t xml:space="preserve"> </w:t>
      </w:r>
      <w:r>
        <w:t xml:space="preserve">constraints limited Wave 0 to two concentrator upgrades per quarter — wave duration extended, not scope reduced.</w:t>
      </w:r>
    </w:p>
    <w:p>
      <w:r>
        <w:pict>
          <v:rect style="width:0;height:1.5pt" o:hralign="center" o:hrstd="t" o:hr="t"/>
        </w:pict>
      </w:r>
    </w:p>
    <w:bookmarkEnd w:id="45"/>
    <w:bookmarkStart w:id="46" w:name="board-approval-package"/>
    <w:p>
      <w:pPr>
        <w:pStyle w:val="Heading2"/>
      </w:pPr>
      <w:r>
        <w:t xml:space="preserve">9.15 Board Approval Package</w:t>
      </w:r>
    </w:p>
    <w:p>
      <w:pPr>
        <w:pStyle w:val="FirstParagraph"/>
      </w:pPr>
      <w:r>
        <w:t xml:space="preserve">Steering committee recommends; board risk committee approves. Minimum package:</w:t>
      </w:r>
    </w:p>
    <w:p>
      <w:pPr>
        <w:numPr>
          <w:ilvl w:val="0"/>
          <w:numId w:val="1002"/>
        </w:numPr>
        <w:pStyle w:val="Compact"/>
      </w:pPr>
      <w:r>
        <w:rPr>
          <w:bCs/>
          <w:b/>
        </w:rPr>
        <w:t xml:space="preserve">Executive summary</w:t>
      </w:r>
      <w:r>
        <w:t xml:space="preserve"> </w:t>
      </w:r>
      <w:r>
        <w:t xml:space="preserve">— waves, dates, budget ranges, policy anchor alignment</w:t>
      </w:r>
    </w:p>
    <w:p>
      <w:pPr>
        <w:numPr>
          <w:ilvl w:val="0"/>
          <w:numId w:val="1002"/>
        </w:numPr>
        <w:pStyle w:val="Compact"/>
      </w:pPr>
      <w:r>
        <w:rPr>
          <w:bCs/>
          <w:b/>
        </w:rPr>
        <w:t xml:space="preserve">TRADE methodology</w:t>
      </w:r>
      <w:r>
        <w:t xml:space="preserve"> </w:t>
      </w:r>
      <w:r>
        <w:t xml:space="preserve">— weights, re-score cadence</w:t>
      </w:r>
    </w:p>
    <w:p>
      <w:pPr>
        <w:numPr>
          <w:ilvl w:val="0"/>
          <w:numId w:val="1002"/>
        </w:numPr>
        <w:pStyle w:val="Compact"/>
      </w:pPr>
      <w:r>
        <w:rPr>
          <w:bCs/>
          <w:b/>
        </w:rPr>
        <w:t xml:space="preserve">Top 20 MPI systems</w:t>
      </w:r>
      <w:r>
        <w:t xml:space="preserve"> </w:t>
      </w:r>
      <w:r>
        <w:t xml:space="preserve">with worksheet excerpts</w:t>
      </w:r>
    </w:p>
    <w:p>
      <w:pPr>
        <w:numPr>
          <w:ilvl w:val="0"/>
          <w:numId w:val="1002"/>
        </w:numPr>
        <w:pStyle w:val="Compact"/>
      </w:pPr>
      <w:r>
        <w:rPr>
          <w:bCs/>
          <w:b/>
        </w:rPr>
        <w:t xml:space="preserve">Blocking node register</w:t>
      </w:r>
      <w:r>
        <w:t xml:space="preserve"> </w:t>
      </w:r>
      <w:r>
        <w:t xml:space="preserve">— CDG fan-in, owners, Wave 0 status</w:t>
      </w:r>
    </w:p>
    <w:p>
      <w:pPr>
        <w:numPr>
          <w:ilvl w:val="0"/>
          <w:numId w:val="1002"/>
        </w:numPr>
        <w:pStyle w:val="Compact"/>
      </w:pPr>
      <w:r>
        <w:rPr>
          <w:bCs/>
          <w:b/>
        </w:rPr>
        <w:t xml:space="preserve">“</w:t>
      </w:r>
      <w:r>
        <w:rPr>
          <w:bCs/>
          <w:b/>
        </w:rPr>
        <w:t xml:space="preserve">Do not migrate yet</w:t>
      </w:r>
      <w:r>
        <w:rPr>
          <w:bCs/>
          <w:b/>
        </w:rPr>
        <w:t xml:space="preserve">”</w:t>
      </w:r>
      <w:r>
        <w:rPr>
          <w:bCs/>
          <w:b/>
        </w:rPr>
        <w:t xml:space="preserve"> </w:t>
      </w:r>
      <w:r>
        <w:rPr>
          <w:bCs/>
          <w:b/>
        </w:rPr>
        <w:t xml:space="preserve">register</w:t>
      </w:r>
      <w:r>
        <w:t xml:space="preserve"> </w:t>
      </w:r>
      <w:r>
        <w:t xml:space="preserve">— with review dates</w:t>
      </w:r>
    </w:p>
    <w:p>
      <w:pPr>
        <w:numPr>
          <w:ilvl w:val="0"/>
          <w:numId w:val="1002"/>
        </w:numPr>
        <w:pStyle w:val="Compact"/>
      </w:pPr>
      <w:r>
        <w:rPr>
          <w:bCs/>
          <w:b/>
        </w:rPr>
        <w:t xml:space="preserve">Regulatory mapping</w:t>
      </w:r>
      <w:r>
        <w:t xml:space="preserve"> </w:t>
      </w:r>
      <w:r>
        <w:t xml:space="preserve">— DORA, CNSA, NIS2 as applicable</w:t>
      </w:r>
    </w:p>
    <w:p>
      <w:pPr>
        <w:numPr>
          <w:ilvl w:val="0"/>
          <w:numId w:val="1002"/>
        </w:numPr>
        <w:pStyle w:val="Compact"/>
      </w:pPr>
      <w:r>
        <w:rPr>
          <w:bCs/>
          <w:b/>
        </w:rPr>
        <w:t xml:space="preserve">Risk acceptance queue</w:t>
      </w:r>
      <w:r>
        <w:t xml:space="preserve"> </w:t>
      </w:r>
      <w:r>
        <w:t xml:space="preserve">— exceptions requiring board visibility</w:t>
      </w:r>
    </w:p>
    <w:p>
      <w:pPr>
        <w:numPr>
          <w:ilvl w:val="0"/>
          <w:numId w:val="1002"/>
        </w:numPr>
        <w:pStyle w:val="Compact"/>
      </w:pPr>
      <w:r>
        <w:rPr>
          <w:bCs/>
          <w:b/>
        </w:rPr>
        <w:t xml:space="preserve">Figure 9.1</w:t>
      </w:r>
      <w:r>
        <w:t xml:space="preserve"> </w:t>
      </w:r>
      <w:r>
        <w:t xml:space="preserve">Gantt with dependency gates</w:t>
      </w:r>
    </w:p>
    <w:p>
      <w:pPr>
        <w:pStyle w:val="FirstParagraph"/>
      </w:pPr>
      <w:r>
        <w:rPr>
          <w:bCs/>
          <w:b/>
        </w:rPr>
        <w:t xml:space="preserve">Duration:</w:t>
      </w:r>
      <w:r>
        <w:t xml:space="preserve"> </w:t>
      </w:r>
      <w:r>
        <w:t xml:space="preserve">30-minute board slot; 15 minutes Q&amp;A. Priya’s Apex presentation allocated 10 minutes to contract alignment — board engagement increased when revenue risk explicit.</w:t>
      </w:r>
    </w:p>
    <w:p>
      <w:r>
        <w:pict>
          <v:rect style="width:0;height:1.5pt" o:hralign="center" o:hrstd="t" o:hr="t"/>
        </w:pict>
      </w:r>
    </w:p>
    <w:bookmarkEnd w:id="46"/>
    <w:bookmarkStart w:id="47" w:name="wave-reassessment"/>
    <w:p>
      <w:pPr>
        <w:pStyle w:val="Heading2"/>
      </w:pPr>
      <w:r>
        <w:t xml:space="preserve">9.16 Wave Reassessment</w:t>
      </w:r>
    </w:p>
    <w:p>
      <w:pPr>
        <w:pStyle w:val="FirstParagraph"/>
      </w:pPr>
      <w:r>
        <w:t xml:space="preserve">Waves are not frozen.</w:t>
      </w:r>
      <w:r>
        <w:t xml:space="preserve"> </w:t>
      </w:r>
      <w:r>
        <w:rPr>
          <w:bCs/>
          <w:b/>
        </w:rPr>
        <w:t xml:space="preserve">Quarterly reassessment</w:t>
      </w:r>
      <w:r>
        <w:t xml:space="preserve"> </w:t>
      </w:r>
      <w:r>
        <w:t xml:space="preserve">triggers: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Trigger</w:t>
            </w:r>
          </w:p>
        </w:tc>
        <w:tc>
          <w:tcPr/>
          <w:p>
            <w:pPr>
              <w:pStyle w:val="Compact"/>
              <w:jc w:val="left"/>
            </w:pPr>
            <w:r>
              <w:t xml:space="preserve">Action</w:t>
            </w:r>
          </w:p>
        </w:tc>
      </w:tr>
      <w:tr>
        <w:tc>
          <w:tcPr/>
          <w:p>
            <w:pPr>
              <w:pStyle w:val="Compact"/>
              <w:jc w:val="left"/>
            </w:pPr>
            <w:r>
              <w:t xml:space="preserve">Vendor GA announcement</w:t>
            </w:r>
          </w:p>
        </w:tc>
        <w:tc>
          <w:tcPr/>
          <w:p>
            <w:pPr>
              <w:pStyle w:val="Compact"/>
              <w:jc w:val="left"/>
            </w:pPr>
            <w:r>
              <w:t xml:space="preserve">Re-score E; accelerate wave</w:t>
            </w:r>
          </w:p>
        </w:tc>
      </w:tr>
      <w:tr>
        <w:tc>
          <w:tcPr/>
          <w:p>
            <w:pPr>
              <w:pStyle w:val="Compact"/>
              <w:jc w:val="left"/>
            </w:pPr>
            <w:r>
              <w:t xml:space="preserve">New blocking node in CDG</w:t>
            </w:r>
          </w:p>
        </w:tc>
        <w:tc>
          <w:tcPr/>
          <w:p>
            <w:pPr>
              <w:pStyle w:val="Compact"/>
              <w:jc w:val="left"/>
            </w:pPr>
            <w:r>
              <w:t xml:space="preserve">Insert Wave 0 item or reprioritise</w:t>
            </w:r>
          </w:p>
        </w:tc>
      </w:tr>
      <w:tr>
        <w:tc>
          <w:tcPr/>
          <w:p>
            <w:pPr>
              <w:pStyle w:val="Compact"/>
              <w:jc w:val="left"/>
            </w:pPr>
            <w:r>
              <w:t xml:space="preserve">Regulatory publication</w:t>
            </w:r>
          </w:p>
        </w:tc>
        <w:tc>
          <w:tcPr/>
          <w:p>
            <w:pPr>
              <w:pStyle w:val="Compact"/>
              <w:jc w:val="left"/>
            </w:pPr>
            <w:r>
              <w:t xml:space="preserve">Re-score R; adjust anchors</w:t>
            </w:r>
          </w:p>
        </w:tc>
      </w:tr>
      <w:tr>
        <w:tc>
          <w:tcPr/>
          <w:p>
            <w:pPr>
              <w:pStyle w:val="Compact"/>
              <w:jc w:val="left"/>
            </w:pPr>
            <w:r>
              <w:t xml:space="preserve">Decommission executed</w:t>
            </w:r>
          </w:p>
        </w:tc>
        <w:tc>
          <w:tcPr/>
          <w:p>
            <w:pPr>
              <w:pStyle w:val="Compact"/>
              <w:jc w:val="left"/>
            </w:pPr>
            <w:r>
              <w:t xml:space="preserve">Remove from wave; rebalance capacity</w:t>
            </w:r>
          </w:p>
        </w:tc>
      </w:tr>
      <w:tr>
        <w:tc>
          <w:tcPr/>
          <w:p>
            <w:pPr>
              <w:pStyle w:val="Compact"/>
              <w:jc w:val="left"/>
            </w:pPr>
            <w:r>
              <w:t xml:space="preserve">Partner acceptance threshold met</w:t>
            </w:r>
          </w:p>
        </w:tc>
        <w:tc>
          <w:tcPr/>
          <w:p>
            <w:pPr>
              <w:pStyle w:val="Compact"/>
              <w:jc w:val="left"/>
            </w:pPr>
            <w:r>
              <w:t xml:space="preserve">Close Wave 0 gate; open Wave 1</w:t>
            </w:r>
          </w:p>
        </w:tc>
      </w:tr>
      <w:tr>
        <w:tc>
          <w:tcPr/>
          <w:p>
            <w:pPr>
              <w:pStyle w:val="Compact"/>
              <w:jc w:val="left"/>
            </w:pPr>
            <w:r>
              <w:t xml:space="preserve">MPI drift &gt; 0.5</w:t>
            </w:r>
          </w:p>
        </w:tc>
        <w:tc>
          <w:tcPr/>
          <w:p>
            <w:pPr>
              <w:pStyle w:val="Compact"/>
              <w:jc w:val="left"/>
            </w:pPr>
            <w:r>
              <w:t xml:space="preserve">Review wave membership</w:t>
            </w:r>
          </w:p>
        </w:tc>
      </w:tr>
    </w:tbl>
    <w:p>
      <w:pPr>
        <w:pStyle w:val="BodyText"/>
      </w:pPr>
      <w:r>
        <w:t xml:space="preserve">Meridian re-scored entire estate annually; TES 5 systems quarterly. GlobalSync re-scored on partner policy changes — monthly during Wave 0.</w:t>
      </w:r>
    </w:p>
    <w:p>
      <w:r>
        <w:pict>
          <v:rect style="width:0;height:1.5pt" o:hralign="center" o:hrstd="t" o:hr="t"/>
        </w:pict>
      </w:r>
    </w:p>
    <w:bookmarkEnd w:id="47"/>
    <w:bookmarkStart w:id="48" w:name="trade-and-hlm-interaction"/>
    <w:p>
      <w:pPr>
        <w:pStyle w:val="Heading2"/>
      </w:pPr>
      <w:r>
        <w:t xml:space="preserve">9.17 TRADE and HLM Interaction</w:t>
      </w:r>
    </w:p>
    <w:p>
      <w:pPr>
        <w:pStyle w:val="FirstParagraph"/>
      </w:pPr>
      <w:r>
        <w:t xml:space="preserve">Wave membership must align with Hybrid Lifecycle Model phase (Chapter 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HLM phase</w:t>
            </w:r>
          </w:p>
        </w:tc>
        <w:tc>
          <w:tcPr/>
          <w:p>
            <w:pPr>
              <w:pStyle w:val="Compact"/>
              <w:jc w:val="left"/>
            </w:pPr>
            <w:r>
              <w:t xml:space="preserve">Wave implication</w:t>
            </w:r>
          </w:p>
        </w:tc>
      </w:tr>
      <w:tr>
        <w:tc>
          <w:tcPr/>
          <w:p>
            <w:pPr>
              <w:pStyle w:val="Compact"/>
              <w:jc w:val="left"/>
            </w:pPr>
            <w:r>
              <w:t xml:space="preserve">H1 eligible</w:t>
            </w:r>
          </w:p>
        </w:tc>
        <w:tc>
          <w:tcPr/>
          <w:p>
            <w:pPr>
              <w:pStyle w:val="Compact"/>
              <w:jc w:val="left"/>
            </w:pPr>
            <w:r>
              <w:t xml:space="preserve">Wave 1+ if E ≥ 3 or hybrid approved</w:t>
            </w:r>
          </w:p>
        </w:tc>
      </w:tr>
      <w:tr>
        <w:tc>
          <w:tcPr/>
          <w:p>
            <w:pPr>
              <w:pStyle w:val="Compact"/>
              <w:jc w:val="left"/>
            </w:pPr>
            <w:r>
              <w:t xml:space="preserve">H2 transition</w:t>
            </w:r>
          </w:p>
        </w:tc>
        <w:tc>
          <w:tcPr/>
          <w:p>
            <w:pPr>
              <w:pStyle w:val="Compact"/>
              <w:jc w:val="left"/>
            </w:pPr>
            <w:r>
              <w:t xml:space="preserve">Wave 2+ typically</w:t>
            </w:r>
          </w:p>
        </w:tc>
      </w:tr>
      <w:tr>
        <w:tc>
          <w:tcPr/>
          <w:p>
            <w:pPr>
              <w:pStyle w:val="Compact"/>
              <w:jc w:val="left"/>
            </w:pPr>
            <w:r>
              <w:t xml:space="preserve">H3 target</w:t>
            </w:r>
          </w:p>
        </w:tc>
        <w:tc>
          <w:tcPr/>
          <w:p>
            <w:pPr>
              <w:pStyle w:val="Compact"/>
              <w:jc w:val="left"/>
            </w:pPr>
            <w:r>
              <w:t xml:space="preserve">Final wave or dedicated compliance wave</w:t>
            </w:r>
          </w:p>
        </w:tc>
      </w:tr>
    </w:tbl>
    <w:p>
      <w:pPr>
        <w:pStyle w:val="BodyText"/>
      </w:pPr>
      <w:r>
        <w:t xml:space="preserve">Systems entering Wave 1 with hybrid deployment require</w:t>
      </w:r>
      <w:r>
        <w:t xml:space="preserve"> </w:t>
      </w:r>
      <w:r>
        <w:rPr>
          <w:rStyle w:val="VerbatimChar"/>
        </w:rPr>
        <w:t xml:space="preserve">h2_trigger_value</w:t>
      </w:r>
      <w:r>
        <w:t xml:space="preserve"> </w:t>
      </w:r>
      <w:r>
        <w:t xml:space="preserve">before steering approval. Systems without triggers remain in planning wave — not production wave.</w:t>
      </w:r>
    </w:p>
    <w:p>
      <w:r>
        <w:pict>
          <v:rect style="width:0;height:1.5pt" o:hralign="center" o:hrstd="t" o:hr="t"/>
        </w:pict>
      </w:r>
    </w:p>
    <w:bookmarkEnd w:id="48"/>
    <w:bookmarkStart w:id="49" w:name="common-wave-planning-failure-modes"/>
    <w:p>
      <w:pPr>
        <w:pStyle w:val="Heading2"/>
      </w:pPr>
      <w:r>
        <w:t xml:space="preserve">9.18 Common Wave Planning Failure Modes</w:t>
      </w:r>
    </w:p>
    <w:p>
      <w:pPr>
        <w:pStyle w:val="FirstParagraph"/>
      </w:pPr>
      <w:r>
        <w:rPr>
          <w:bCs/>
          <w:b/>
        </w:rPr>
        <w:t xml:space="preserve">Alphabetical waves.</w:t>
      </w:r>
      <w:r>
        <w:t xml:space="preserve"> </w:t>
      </w:r>
      <w:r>
        <w:t xml:space="preserve">Sorted server list.</w:t>
      </w:r>
      <w:r>
        <w:t xml:space="preserve"> </w:t>
      </w:r>
      <w:r>
        <w:rPr>
          <w:iCs/>
          <w:i/>
        </w:rPr>
        <w:t xml:space="preserve">Remediation:</w:t>
      </w:r>
      <w:r>
        <w:t xml:space="preserve"> </w:t>
      </w:r>
      <w:r>
        <w:t xml:space="preserve">TRADE worksheets mandatory.</w:t>
      </w:r>
    </w:p>
    <w:p>
      <w:pPr>
        <w:pStyle w:val="BodyText"/>
      </w:pPr>
      <w:r>
        <w:rPr>
          <w:bCs/>
          <w:b/>
        </w:rPr>
        <w:t xml:space="preserve">TLS-first waves.</w:t>
      </w:r>
      <w:r>
        <w:t xml:space="preserve"> </w:t>
      </w:r>
      <w:r>
        <w:t xml:space="preserve">External scan drives sequence.</w:t>
      </w:r>
      <w:r>
        <w:t xml:space="preserve"> </w:t>
      </w:r>
      <w:r>
        <w:rPr>
          <w:iCs/>
          <w:i/>
        </w:rPr>
        <w:t xml:space="preserve">Remediation:</w:t>
      </w:r>
      <w:r>
        <w:t xml:space="preserve"> </w:t>
      </w:r>
      <w:r>
        <w:t xml:space="preserve">CDG Rule 1.</w:t>
      </w:r>
    </w:p>
    <w:p>
      <w:pPr>
        <w:pStyle w:val="BodyText"/>
      </w:pPr>
      <w:r>
        <w:rPr>
          <w:bCs/>
          <w:b/>
        </w:rPr>
        <w:t xml:space="preserve">Infinite Wave 0.</w:t>
      </w:r>
      <w:r>
        <w:t xml:space="preserve"> </w:t>
      </w:r>
      <w:r>
        <w:t xml:space="preserve">Blocking nodes multiply; nothing completes.</w:t>
      </w:r>
      <w:r>
        <w:t xml:space="preserve"> </w:t>
      </w:r>
      <w:r>
        <w:rPr>
          <w:iCs/>
          <w:i/>
        </w:rPr>
        <w:t xml:space="preserve">Remediation:</w:t>
      </w:r>
      <w:r>
        <w:t xml:space="preserve"> </w:t>
      </w:r>
      <w:r>
        <w:t xml:space="preserve">Cap Wave 0 scope; time-box; escalate unresolvable blockers to board risk acceptance.</w:t>
      </w:r>
    </w:p>
    <w:p>
      <w:pPr>
        <w:pStyle w:val="BodyText"/>
      </w:pPr>
      <w:r>
        <w:rPr>
          <w:bCs/>
          <w:b/>
        </w:rPr>
        <w:t xml:space="preserve">No deferral list.</w:t>
      </w:r>
      <w:r>
        <w:t xml:space="preserve"> </w:t>
      </w:r>
      <w:r>
        <w:t xml:space="preserve">Teams migrate undeployable systems.</w:t>
      </w:r>
      <w:r>
        <w:t xml:space="preserve"> </w:t>
      </w:r>
      <w:r>
        <w:rPr>
          <w:iCs/>
          <w:i/>
        </w:rPr>
        <w:t xml:space="preserve">Remediation:</w:t>
      </w:r>
      <w:r>
        <w:t xml:space="preserve"> </w:t>
      </w:r>
      <w:r>
        <w:t xml:space="preserve">§9.7 register.</w:t>
      </w:r>
    </w:p>
    <w:p>
      <w:pPr>
        <w:pStyle w:val="BodyText"/>
      </w:pPr>
      <w:r>
        <w:rPr>
          <w:bCs/>
          <w:b/>
        </w:rPr>
        <w:t xml:space="preserve">Single deadline.</w:t>
      </w:r>
      <w:r>
        <w:t xml:space="preserve"> </w:t>
      </w:r>
      <w:r>
        <w:t xml:space="preserve">Board told</w:t>
      </w:r>
      <w:r>
        <w:t xml:space="preserve"> </w:t>
      </w:r>
      <w:r>
        <w:t xml:space="preserve">“</w:t>
      </w:r>
      <w:r>
        <w:t xml:space="preserve">2035 compliant</w:t>
      </w:r>
      <w:r>
        <w:t xml:space="preserve">”</w:t>
      </w:r>
      <w:r>
        <w:t xml:space="preserve"> </w:t>
      </w:r>
      <w:r>
        <w:t xml:space="preserve">without waves.</w:t>
      </w:r>
      <w:r>
        <w:t xml:space="preserve"> </w:t>
      </w:r>
      <w:r>
        <w:rPr>
          <w:iCs/>
          <w:i/>
        </w:rPr>
        <w:t xml:space="preserve">Remediation:</w:t>
      </w:r>
      <w:r>
        <w:t xml:space="preserve"> </w:t>
      </w:r>
      <w:r>
        <w:t xml:space="preserve">Figure 9.1 multi-wave Gantt.</w:t>
      </w:r>
    </w:p>
    <w:p>
      <w:pPr>
        <w:pStyle w:val="BodyText"/>
      </w:pPr>
      <w:r>
        <w:rPr>
          <w:bCs/>
          <w:b/>
        </w:rPr>
        <w:t xml:space="preserve">MPI without CDG.</w:t>
      </w:r>
      <w:r>
        <w:t xml:space="preserve"> </w:t>
      </w:r>
      <w:r>
        <w:t xml:space="preserve">High scores without sequencing.</w:t>
      </w:r>
      <w:r>
        <w:t xml:space="preserve"> </w:t>
      </w:r>
      <w:r>
        <w:rPr>
          <w:iCs/>
          <w:i/>
        </w:rPr>
        <w:t xml:space="preserve">Remediation:</w:t>
      </w:r>
      <w:r>
        <w:t xml:space="preserve"> </w:t>
      </w:r>
      <w:r>
        <w:t xml:space="preserve">blocking override column in worksheet.</w:t>
      </w:r>
    </w:p>
    <w:p>
      <w:r>
        <w:pict>
          <v:rect style="width:0;height:1.5pt" o:hralign="center" o:hrstd="t" o:hr="t"/>
        </w:pict>
      </w:r>
    </w:p>
    <w:bookmarkEnd w:id="49"/>
    <w:bookmarkStart w:id="50" w:name="workshop-building-wave-0"/>
    <w:p>
      <w:pPr>
        <w:pStyle w:val="Heading2"/>
      </w:pPr>
      <w:r>
        <w:t xml:space="preserve">9.19 Workshop: Building Wave 0</w:t>
      </w:r>
    </w:p>
    <w:p>
      <w:pPr>
        <w:pStyle w:val="FirstParagraph"/>
      </w:pPr>
      <w:r>
        <w:rPr>
          <w:bCs/>
          <w:b/>
        </w:rPr>
        <w:t xml:space="preserve">Duration:</w:t>
      </w:r>
      <w:r>
        <w:t xml:space="preserve"> </w:t>
      </w:r>
      <w:r>
        <w:t xml:space="preserve">Half day.</w:t>
      </w:r>
      <w:r>
        <w:t xml:space="preserve"> </w:t>
      </w:r>
      <w:r>
        <w:rPr>
          <w:bCs/>
          <w:b/>
        </w:rPr>
        <w:t xml:space="preserve">Participants:</w:t>
      </w:r>
      <w:r>
        <w:t xml:space="preserve"> </w:t>
      </w:r>
      <w:r>
        <w:t xml:space="preserve">Programme director, enterprise architecture, CDG owner, risk, representative domain architects.</w:t>
      </w:r>
    </w:p>
    <w:p>
      <w:pPr>
        <w:pStyle w:val="BodyText"/>
      </w:pPr>
      <w:r>
        <w:rPr>
          <w:bCs/>
          <w:b/>
        </w:rPr>
        <w:t xml:space="preserve">Steps:</w:t>
      </w:r>
    </w:p>
    <w:p>
      <w:pPr>
        <w:numPr>
          <w:ilvl w:val="0"/>
          <w:numId w:val="1003"/>
        </w:numPr>
        <w:pStyle w:val="Compact"/>
      </w:pPr>
      <w:r>
        <w:t xml:space="preserve">Import top 20 CDG blocking nodes by fan-in</w:t>
      </w:r>
    </w:p>
    <w:p>
      <w:pPr>
        <w:numPr>
          <w:ilvl w:val="0"/>
          <w:numId w:val="1003"/>
        </w:numPr>
        <w:pStyle w:val="Compact"/>
      </w:pPr>
      <w:r>
        <w:t xml:space="preserve">Score each on TRADE (focus A, E)</w:t>
      </w:r>
    </w:p>
    <w:p>
      <w:pPr>
        <w:numPr>
          <w:ilvl w:val="0"/>
          <w:numId w:val="1003"/>
        </w:numPr>
        <w:pStyle w:val="Compact"/>
      </w:pPr>
      <w:r>
        <w:t xml:space="preserve">Assign Wave 0 membership — max 8–12 nodes</w:t>
      </w:r>
    </w:p>
    <w:p>
      <w:pPr>
        <w:numPr>
          <w:ilvl w:val="0"/>
          <w:numId w:val="1003"/>
        </w:numPr>
        <w:pStyle w:val="Compact"/>
      </w:pPr>
      <w:r>
        <w:t xml:space="preserve">Estimate lead time and budget range per node</w:t>
      </w:r>
    </w:p>
    <w:p>
      <w:pPr>
        <w:numPr>
          <w:ilvl w:val="0"/>
          <w:numId w:val="1003"/>
        </w:numPr>
        <w:pStyle w:val="Compact"/>
      </w:pPr>
      <w:r>
        <w:t xml:space="preserve">Identify</w:t>
      </w:r>
      <w:r>
        <w:t xml:space="preserve"> </w:t>
      </w:r>
      <w:r>
        <w:t xml:space="preserve">“</w:t>
      </w:r>
      <w:r>
        <w:t xml:space="preserve">do not migrate yet</w:t>
      </w:r>
      <w:r>
        <w:t xml:space="preserve">”</w:t>
      </w:r>
      <w:r>
        <w:t xml:space="preserve"> </w:t>
      </w:r>
      <w:r>
        <w:t xml:space="preserve">dependents</w:t>
      </w:r>
    </w:p>
    <w:p>
      <w:pPr>
        <w:numPr>
          <w:ilvl w:val="0"/>
          <w:numId w:val="1003"/>
        </w:numPr>
        <w:pStyle w:val="Compact"/>
      </w:pPr>
      <w:r>
        <w:t xml:space="preserve">Draft Wave 0 exit criteria</w:t>
      </w:r>
    </w:p>
    <w:p>
      <w:pPr>
        <w:numPr>
          <w:ilvl w:val="0"/>
          <w:numId w:val="1003"/>
        </w:numPr>
        <w:pStyle w:val="Compact"/>
      </w:pPr>
      <w:r>
        <w:t xml:space="preserve">Present to steering committee for funding gate</w:t>
      </w:r>
    </w:p>
    <w:p>
      <w:pPr>
        <w:pStyle w:val="FirstParagraph"/>
      </w:pPr>
      <w:r>
        <w:rPr>
          <w:bCs/>
          <w:b/>
        </w:rPr>
        <w:t xml:space="preserve">Output:</w:t>
      </w:r>
      <w:r>
        <w:t xml:space="preserve"> </w:t>
      </w:r>
      <w:r>
        <w:t xml:space="preserve">Wave 0 charter using Table 9.2 template.</w:t>
      </w:r>
    </w:p>
    <w:p>
      <w:r>
        <w:pict>
          <v:rect style="width:0;height:1.5pt" o:hralign="center" o:hrstd="t" o:hr="t"/>
        </w:pict>
      </w:r>
    </w:p>
    <w:bookmarkEnd w:id="50"/>
    <w:bookmarkStart w:id="51" w:name="apply-in-your-organisation"/>
    <w:p>
      <w:pPr>
        <w:pStyle w:val="Heading2"/>
      </w:pPr>
      <w:r>
        <w:t xml:space="preserve">9.20 Apply in Your Organisation</w:t>
      </w:r>
    </w:p>
    <w:p>
      <w:pPr>
        <w:numPr>
          <w:ilvl w:val="0"/>
          <w:numId w:val="1004"/>
        </w:numPr>
        <w:pStyle w:val="Compact"/>
      </w:pPr>
      <w:r>
        <w:rPr>
          <w:bCs/>
          <w:b/>
        </w:rPr>
        <w:t xml:space="preserve">Adopt TRADE worksheet</w:t>
      </w:r>
      <w:r>
        <w:t xml:space="preserve"> </w:t>
      </w:r>
      <w:r>
        <w:t xml:space="preserve">(Table 9.1) for all in-scope systems — link to CBOM rows.</w:t>
      </w:r>
    </w:p>
    <w:p>
      <w:pPr>
        <w:numPr>
          <w:ilvl w:val="0"/>
          <w:numId w:val="1004"/>
        </w:numPr>
        <w:pStyle w:val="Compact"/>
      </w:pPr>
      <w:r>
        <w:rPr>
          <w:bCs/>
          <w:b/>
        </w:rPr>
        <w:t xml:space="preserve">Document MPI weights</w:t>
      </w:r>
      <w:r>
        <w:t xml:space="preserve"> </w:t>
      </w:r>
      <w:r>
        <w:t xml:space="preserve">in programme charter; justify sector modifications.</w:t>
      </w:r>
    </w:p>
    <w:p>
      <w:pPr>
        <w:numPr>
          <w:ilvl w:val="0"/>
          <w:numId w:val="1004"/>
        </w:numPr>
        <w:pStyle w:val="Compact"/>
      </w:pPr>
      <w:r>
        <w:rPr>
          <w:bCs/>
          <w:b/>
        </w:rPr>
        <w:t xml:space="preserve">Build Wave 0 from CDG blocking nodes</w:t>
      </w:r>
      <w:r>
        <w:t xml:space="preserve"> </w:t>
      </w:r>
      <w:r>
        <w:t xml:space="preserve">— not from scan visibility.</w:t>
      </w:r>
    </w:p>
    <w:p>
      <w:pPr>
        <w:numPr>
          <w:ilvl w:val="0"/>
          <w:numId w:val="1004"/>
        </w:numPr>
        <w:pStyle w:val="Compact"/>
      </w:pPr>
      <w:r>
        <w:rPr>
          <w:bCs/>
          <w:b/>
        </w:rPr>
        <w:t xml:space="preserve">Apply sequencing rules</w:t>
      </w:r>
      <w:r>
        <w:t xml:space="preserve"> </w:t>
      </w:r>
      <w:r>
        <w:t xml:space="preserve">(§9.6) — document CDG overrides explicitly.</w:t>
      </w:r>
    </w:p>
    <w:p>
      <w:pPr>
        <w:numPr>
          <w:ilvl w:val="0"/>
          <w:numId w:val="1004"/>
        </w:numPr>
        <w:pStyle w:val="Compact"/>
      </w:pPr>
      <w:r>
        <w:rPr>
          <w:bCs/>
          <w:b/>
        </w:rPr>
        <w:t xml:space="preserve">Maintain</w:t>
      </w:r>
      <w:r>
        <w:rPr>
          <w:bCs/>
          <w:b/>
        </w:rPr>
        <w:t xml:space="preserve"> </w:t>
      </w:r>
      <w:r>
        <w:rPr>
          <w:bCs/>
          <w:b/>
        </w:rPr>
        <w:t xml:space="preserve">“</w:t>
      </w:r>
      <w:r>
        <w:rPr>
          <w:bCs/>
          <w:b/>
        </w:rPr>
        <w:t xml:space="preserve">do not migrate yet</w:t>
      </w:r>
      <w:r>
        <w:rPr>
          <w:bCs/>
          <w:b/>
        </w:rPr>
        <w:t xml:space="preserve">”</w:t>
      </w:r>
      <w:r>
        <w:rPr>
          <w:bCs/>
          <w:b/>
        </w:rPr>
        <w:t xml:space="preserve"> </w:t>
      </w:r>
      <w:r>
        <w:rPr>
          <w:bCs/>
          <w:b/>
        </w:rPr>
        <w:t xml:space="preserve">register</w:t>
      </w:r>
      <w:r>
        <w:t xml:space="preserve"> </w:t>
      </w:r>
      <w:r>
        <w:t xml:space="preserve">with owners and review dates.</w:t>
      </w:r>
    </w:p>
    <w:p>
      <w:pPr>
        <w:numPr>
          <w:ilvl w:val="0"/>
          <w:numId w:val="1004"/>
        </w:numPr>
        <w:pStyle w:val="Compact"/>
      </w:pPr>
      <w:r>
        <w:rPr>
          <w:bCs/>
          <w:b/>
        </w:rPr>
        <w:t xml:space="preserve">Size waves by capacity</w:t>
      </w:r>
      <w:r>
        <w:t xml:space="preserve"> </w:t>
      </w:r>
      <w:r>
        <w:t xml:space="preserve">— avoid parallel overload (§9.8).</w:t>
      </w:r>
    </w:p>
    <w:p>
      <w:pPr>
        <w:numPr>
          <w:ilvl w:val="0"/>
          <w:numId w:val="1004"/>
        </w:numPr>
        <w:pStyle w:val="Compact"/>
      </w:pPr>
      <w:r>
        <w:rPr>
          <w:bCs/>
          <w:b/>
        </w:rPr>
        <w:t xml:space="preserve">Align defence and regulated waves</w:t>
      </w:r>
      <w:r>
        <w:t xml:space="preserve"> </w:t>
      </w:r>
      <w:r>
        <w:t xml:space="preserve">to contract and supervisory anchors.</w:t>
      </w:r>
    </w:p>
    <w:p>
      <w:pPr>
        <w:numPr>
          <w:ilvl w:val="0"/>
          <w:numId w:val="1004"/>
        </w:numPr>
        <w:pStyle w:val="Compact"/>
      </w:pPr>
      <w:r>
        <w:rPr>
          <w:bCs/>
          <w:b/>
        </w:rPr>
        <w:t xml:space="preserve">Prepare board package</w:t>
      </w:r>
      <w:r>
        <w:t xml:space="preserve"> </w:t>
      </w:r>
      <w:r>
        <w:t xml:space="preserve">(§9.15) for risk committee approval.</w:t>
      </w:r>
    </w:p>
    <w:p>
      <w:pPr>
        <w:numPr>
          <w:ilvl w:val="0"/>
          <w:numId w:val="1004"/>
        </w:numPr>
        <w:pStyle w:val="Compact"/>
      </w:pPr>
      <w:r>
        <w:rPr>
          <w:bCs/>
          <w:b/>
        </w:rPr>
        <w:t xml:space="preserve">Schedule quarterly wave reassessment</w:t>
      </w:r>
      <w:r>
        <w:t xml:space="preserve"> </w:t>
      </w:r>
      <w:r>
        <w:t xml:space="preserve">(§9.16).</w:t>
      </w:r>
    </w:p>
    <w:p>
      <w:pPr>
        <w:numPr>
          <w:ilvl w:val="0"/>
          <w:numId w:val="1004"/>
        </w:numPr>
        <w:pStyle w:val="Compact"/>
      </w:pPr>
      <w:r>
        <w:rPr>
          <w:bCs/>
          <w:b/>
        </w:rPr>
        <w:t xml:space="preserve">Complete Register phase</w:t>
      </w:r>
      <w:r>
        <w:t xml:space="preserve"> </w:t>
      </w:r>
      <w:r>
        <w:t xml:space="preserve">— CBOM, CDG, TRADE register, wave plan — before Part IV architecture standards.</w:t>
      </w:r>
    </w:p>
    <w:p>
      <w:r>
        <w:pict>
          <v:rect style="width:0;height:1.5pt" o:hralign="center" o:hrstd="t" o:hr="t"/>
        </w:pict>
      </w:r>
    </w:p>
    <w:bookmarkEnd w:id="51"/>
    <w:bookmarkStart w:id="52" w:name="reconciling-trade-with-business-priority"/>
    <w:p>
      <w:pPr>
        <w:pStyle w:val="Heading2"/>
      </w:pPr>
      <w:r>
        <w:t xml:space="preserve">9.21 Reconciling TRADE with Business Priority</w:t>
      </w:r>
    </w:p>
    <w:p>
      <w:pPr>
        <w:pStyle w:val="FirstParagraph"/>
      </w:pPr>
      <w:r>
        <w:t xml:space="preserve">Business leaders advocate for</w:t>
      </w:r>
      <w:r>
        <w:t xml:space="preserve"> </w:t>
      </w:r>
      <w:r>
        <w:rPr>
          <w:bCs/>
          <w:b/>
        </w:rPr>
        <w:t xml:space="preserve">revenue systems first</w:t>
      </w:r>
      <w:r>
        <w:t xml:space="preserve"> </w:t>
      </w:r>
      <w:r>
        <w:t xml:space="preserve">— payment channels, customer portals, flagship products. TRADE may score internal KMS higher than customer marketing site. Programme office reconciles through</w:t>
      </w:r>
      <w:r>
        <w:t xml:space="preserve"> </w:t>
      </w:r>
      <w:r>
        <w:rPr>
          <w:bCs/>
          <w:b/>
        </w:rPr>
        <w:t xml:space="preserve">three lanes</w:t>
      </w:r>
      <w:r>
        <w:t xml:space="preserve">:</w:t>
      </w:r>
    </w:p>
    <w:tbl>
      <w:tblPr>
        <w:tblStyle w:val="Table"/>
        <w:tblW w:type="pct" w:w="5000"/>
        <w:tblLook w:firstRow="1" w:lastRow="0" w:firstColumn="0" w:lastColumn="0" w:noHBand="0" w:noVBand="0" w:val="0020"/>
        <w:jc w:val="start"/>
      </w:tblPr>
      <w:tblGrid>
        <w:gridCol w:w="1397"/>
        <w:gridCol w:w="4425"/>
        <w:gridCol w:w="2096"/>
      </w:tblGrid>
      <w:tr>
        <w:trPr>
          <w:tblHeader w:val="true"/>
        </w:trPr>
        <w:tc>
          <w:tcPr/>
          <w:p>
            <w:pPr>
              <w:pStyle w:val="Compact"/>
              <w:jc w:val="left"/>
            </w:pPr>
            <w:r>
              <w:t xml:space="preserve">Lane</w:t>
            </w:r>
          </w:p>
        </w:tc>
        <w:tc>
          <w:tcPr/>
          <w:p>
            <w:pPr>
              <w:pStyle w:val="Compact"/>
              <w:jc w:val="left"/>
            </w:pPr>
            <w:r>
              <w:t xml:space="preserve">Sequencing driver</w:t>
            </w:r>
          </w:p>
        </w:tc>
        <w:tc>
          <w:tcPr/>
          <w:p>
            <w:pPr>
              <w:pStyle w:val="Compact"/>
              <w:jc w:val="left"/>
            </w:pPr>
            <w:r>
              <w:t xml:space="preserve">Example</w:t>
            </w:r>
          </w:p>
        </w:tc>
      </w:tr>
      <w:tr>
        <w:tc>
          <w:tcPr/>
          <w:p>
            <w:pPr>
              <w:pStyle w:val="Compact"/>
              <w:jc w:val="left"/>
            </w:pPr>
            <w:r>
              <w:rPr>
                <w:bCs/>
                <w:b/>
              </w:rPr>
              <w:t xml:space="preserve">Structural</w:t>
            </w:r>
          </w:p>
        </w:tc>
        <w:tc>
          <w:tcPr/>
          <w:p>
            <w:pPr>
              <w:pStyle w:val="Compact"/>
              <w:jc w:val="left"/>
            </w:pPr>
            <w:r>
              <w:t xml:space="preserve">CDG blocking</w:t>
            </w:r>
          </w:p>
        </w:tc>
        <w:tc>
          <w:tcPr/>
          <w:p>
            <w:pPr>
              <w:pStyle w:val="Compact"/>
              <w:jc w:val="left"/>
            </w:pPr>
            <w:r>
              <w:t xml:space="preserve">Partner policy before microservices</w:t>
            </w:r>
          </w:p>
        </w:tc>
      </w:tr>
      <w:tr>
        <w:tc>
          <w:tcPr/>
          <w:p>
            <w:pPr>
              <w:pStyle w:val="Compact"/>
              <w:jc w:val="left"/>
            </w:pPr>
            <w:r>
              <w:rPr>
                <w:bCs/>
                <w:b/>
              </w:rPr>
              <w:t xml:space="preserve">Risk</w:t>
            </w:r>
          </w:p>
        </w:tc>
        <w:tc>
          <w:tcPr/>
          <w:p>
            <w:pPr>
              <w:pStyle w:val="Compact"/>
              <w:jc w:val="left"/>
            </w:pPr>
            <w:r>
              <w:t xml:space="preserve">MPI / TES</w:t>
            </w:r>
          </w:p>
        </w:tc>
        <w:tc>
          <w:tcPr/>
          <w:p>
            <w:pPr>
              <w:pStyle w:val="Compact"/>
              <w:jc w:val="left"/>
            </w:pPr>
            <w:r>
              <w:t xml:space="preserve">PII KMS before marketing TLS</w:t>
            </w:r>
          </w:p>
        </w:tc>
      </w:tr>
      <w:tr>
        <w:tc>
          <w:tcPr/>
          <w:p>
            <w:pPr>
              <w:pStyle w:val="Compact"/>
              <w:jc w:val="left"/>
            </w:pPr>
            <w:r>
              <w:rPr>
                <w:bCs/>
                <w:b/>
              </w:rPr>
              <w:t xml:space="preserve">Business</w:t>
            </w:r>
          </w:p>
        </w:tc>
        <w:tc>
          <w:tcPr/>
          <w:p>
            <w:pPr>
              <w:pStyle w:val="Compact"/>
              <w:jc w:val="left"/>
            </w:pPr>
            <w:r>
              <w:t xml:space="preserve">Revenue / contract</w:t>
            </w:r>
          </w:p>
        </w:tc>
        <w:tc>
          <w:tcPr/>
          <w:p>
            <w:pPr>
              <w:pStyle w:val="Compact"/>
              <w:jc w:val="left"/>
            </w:pPr>
            <w:r>
              <w:t xml:space="preserve">Apex deliverable signing before corporate intranet</w:t>
            </w:r>
          </w:p>
        </w:tc>
      </w:tr>
    </w:tbl>
    <w:p>
      <w:pPr>
        <w:pStyle w:val="BodyText"/>
      </w:pPr>
      <w:r>
        <w:t xml:space="preserve">Lanes interact: business priority</w:t>
      </w:r>
      <w:r>
        <w:t xml:space="preserve"> </w:t>
      </w:r>
      <w:r>
        <w:rPr>
          <w:bCs/>
          <w:b/>
        </w:rPr>
        <w:t xml:space="preserve">cannot override</w:t>
      </w:r>
      <w:r>
        <w:t xml:space="preserve"> </w:t>
      </w:r>
      <w:r>
        <w:t xml:space="preserve">structural lane without board risk acceptance. Business priority</w:t>
      </w:r>
      <w:r>
        <w:t xml:space="preserve"> </w:t>
      </w:r>
      <w:r>
        <w:rPr>
          <w:bCs/>
          <w:b/>
        </w:rPr>
        <w:t xml:space="preserve">may accelerate</w:t>
      </w:r>
      <w:r>
        <w:t xml:space="preserve"> </w:t>
      </w:r>
      <w:r>
        <w:t xml:space="preserve">risk lane within capacity limits.</w:t>
      </w:r>
    </w:p>
    <w:p>
      <w:pPr>
        <w:pStyle w:val="BodyText"/>
      </w:pPr>
      <w:r>
        <w:t xml:space="preserve">Meridian agreed to accelerate</w:t>
      </w:r>
      <w:r>
        <w:t xml:space="preserve"> </w:t>
      </w:r>
      <w:r>
        <w:rPr>
          <w:bCs/>
          <w:b/>
        </w:rPr>
        <w:t xml:space="preserve">retail mobile app</w:t>
      </w:r>
      <w:r>
        <w:t xml:space="preserve"> </w:t>
      </w:r>
      <w:r>
        <w:t xml:space="preserve">TLS in Wave 1 for customer commitment — MPI 3.4, not highest — because CDG showed no blocking dependency and E = 4. Same steering committee rejected accelerating corporate intranet with lower MPI — no business case.</w:t>
      </w:r>
    </w:p>
    <w:p>
      <w:r>
        <w:pict>
          <v:rect style="width:0;height:1.5pt" o:hralign="center" o:hrstd="t" o:hr="t"/>
        </w:pict>
      </w:r>
    </w:p>
    <w:bookmarkEnd w:id="52"/>
    <w:bookmarkStart w:id="53" w:name="sector-overlay-preview-part-vi"/>
    <w:p>
      <w:pPr>
        <w:pStyle w:val="Heading2"/>
      </w:pPr>
      <w:r>
        <w:t xml:space="preserve">9.22 Sector Overlay Preview (Part VI)</w:t>
      </w:r>
    </w:p>
    <w:p>
      <w:pPr>
        <w:pStyle w:val="FirstParagraph"/>
      </w:pPr>
      <w:r>
        <w:t xml:space="preserve">Part VI modifies TRADE weights by sector. Preview for wave planning: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Sector</w:t>
            </w:r>
          </w:p>
        </w:tc>
        <w:tc>
          <w:tcPr/>
          <w:p>
            <w:pPr>
              <w:pStyle w:val="Compact"/>
              <w:jc w:val="left"/>
            </w:pPr>
            <w:r>
              <w:t xml:space="preserve">Weight modifier</w:t>
            </w:r>
          </w:p>
        </w:tc>
        <w:tc>
          <w:tcPr/>
          <w:p>
            <w:pPr>
              <w:pStyle w:val="Compact"/>
              <w:jc w:val="left"/>
            </w:pPr>
            <w:r>
              <w:t xml:space="preserve">Wave implication</w:t>
            </w:r>
          </w:p>
        </w:tc>
      </w:tr>
      <w:tr>
        <w:tc>
          <w:tcPr/>
          <w:p>
            <w:pPr>
              <w:pStyle w:val="Compact"/>
              <w:jc w:val="left"/>
            </w:pPr>
            <w:r>
              <w:t xml:space="preserve">Financial services</w:t>
            </w:r>
          </w:p>
        </w:tc>
        <w:tc>
          <w:tcPr/>
          <w:p>
            <w:pPr>
              <w:pStyle w:val="Compact"/>
              <w:jc w:val="left"/>
            </w:pPr>
            <w:r>
              <w:t xml:space="preserve">wR +0.25</w:t>
            </w:r>
          </w:p>
        </w:tc>
        <w:tc>
          <w:tcPr/>
          <w:p>
            <w:pPr>
              <w:pStyle w:val="Compact"/>
              <w:jc w:val="left"/>
            </w:pPr>
            <w:r>
              <w:t xml:space="preserve">Regulatory systems earlier in Wave 1</w:t>
            </w:r>
          </w:p>
        </w:tc>
      </w:tr>
      <w:tr>
        <w:tc>
          <w:tcPr/>
          <w:p>
            <w:pPr>
              <w:pStyle w:val="Compact"/>
              <w:jc w:val="left"/>
            </w:pPr>
            <w:r>
              <w:t xml:space="preserve">Defence / NSS</w:t>
            </w:r>
          </w:p>
        </w:tc>
        <w:tc>
          <w:tcPr/>
          <w:p>
            <w:pPr>
              <w:pStyle w:val="Compact"/>
              <w:jc w:val="left"/>
            </w:pPr>
            <w:r>
              <w:t xml:space="preserve">wR +0.5 for NSS</w:t>
            </w:r>
          </w:p>
        </w:tc>
        <w:tc>
          <w:tcPr/>
          <w:p>
            <w:pPr>
              <w:pStyle w:val="Compact"/>
              <w:jc w:val="left"/>
            </w:pPr>
            <w:r>
              <w:t xml:space="preserve">Separate NSS wave track</w:t>
            </w:r>
          </w:p>
        </w:tc>
      </w:tr>
      <w:tr>
        <w:tc>
          <w:tcPr/>
          <w:p>
            <w:pPr>
              <w:pStyle w:val="Compact"/>
              <w:jc w:val="left"/>
            </w:pPr>
            <w:r>
              <w:t xml:space="preserve">Energy / OT</w:t>
            </w:r>
          </w:p>
        </w:tc>
        <w:tc>
          <w:tcPr/>
          <w:p>
            <w:pPr>
              <w:pStyle w:val="Compact"/>
              <w:jc w:val="left"/>
            </w:pPr>
            <w:r>
              <w:t xml:space="preserve">wT +0.25 for OT data</w:t>
            </w:r>
          </w:p>
        </w:tc>
        <w:tc>
          <w:tcPr/>
          <w:p>
            <w:pPr>
              <w:pStyle w:val="Compact"/>
              <w:jc w:val="left"/>
            </w:pPr>
            <w:r>
              <w:t xml:space="preserve">Historian Wave 1; WAN Wave 0</w:t>
            </w:r>
          </w:p>
        </w:tc>
      </w:tr>
      <w:tr>
        <w:tc>
          <w:tcPr/>
          <w:p>
            <w:pPr>
              <w:pStyle w:val="Compact"/>
              <w:jc w:val="left"/>
            </w:pPr>
            <w:r>
              <w:t xml:space="preserve">SaaS / platform</w:t>
            </w:r>
          </w:p>
        </w:tc>
        <w:tc>
          <w:tcPr/>
          <w:p>
            <w:pPr>
              <w:pStyle w:val="Compact"/>
              <w:jc w:val="left"/>
            </w:pPr>
            <w:r>
              <w:t xml:space="preserve">wE +0.25</w:t>
            </w:r>
          </w:p>
        </w:tc>
        <w:tc>
          <w:tcPr/>
          <w:p>
            <w:pPr>
              <w:pStyle w:val="Compact"/>
              <w:jc w:val="left"/>
            </w:pPr>
            <w:r>
              <w:t xml:space="preserve">Partner ecosystem Wave 0 emphasis</w:t>
            </w:r>
          </w:p>
        </w:tc>
      </w:tr>
    </w:tbl>
    <w:p>
      <w:pPr>
        <w:pStyle w:val="BodyText"/>
      </w:pPr>
      <w:r>
        <w:t xml:space="preserve">Document sector modifiers in programme charter before scoring — retroactive weight changes invalidate year-over-year MPI comparison.</w:t>
      </w:r>
    </w:p>
    <w:p>
      <w:r>
        <w:pict>
          <v:rect style="width:0;height:1.5pt" o:hralign="center" o:hrstd="t" o:hr="t"/>
        </w:pict>
      </w:r>
    </w:p>
    <w:bookmarkEnd w:id="53"/>
    <w:bookmarkStart w:id="54" w:name="Xbfd6c49ea53b5db29e1158b9b337fd853b74dca"/>
    <w:p>
      <w:pPr>
        <w:pStyle w:val="Heading2"/>
      </w:pPr>
      <w:r>
        <w:t xml:space="preserve">9.23 Five-Year Programme Phase Model Integration</w:t>
      </w:r>
    </w:p>
    <w:p>
      <w:pPr>
        <w:pStyle w:val="FirstParagraph"/>
      </w:pPr>
      <w:r>
        <w:t xml:space="preserve">Chapter 5 introduced five-year programme phases. Wave plan maps to phases: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Programme phase</w:t>
            </w:r>
          </w:p>
        </w:tc>
        <w:tc>
          <w:tcPr/>
          <w:p>
            <w:pPr>
              <w:pStyle w:val="Compact"/>
              <w:jc w:val="left"/>
            </w:pPr>
            <w:r>
              <w:t xml:space="preserve">Years</w:t>
            </w:r>
          </w:p>
        </w:tc>
        <w:tc>
          <w:tcPr/>
          <w:p>
            <w:pPr>
              <w:pStyle w:val="Compact"/>
              <w:jc w:val="left"/>
            </w:pPr>
            <w:r>
              <w:t xml:space="preserve">Wave focus</w:t>
            </w:r>
          </w:p>
        </w:tc>
      </w:tr>
      <w:tr>
        <w:tc>
          <w:tcPr/>
          <w:p>
            <w:pPr>
              <w:pStyle w:val="Compact"/>
              <w:jc w:val="left"/>
            </w:pPr>
            <w:r>
              <w:t xml:space="preserve">Phase 1 — Discover</w:t>
            </w:r>
          </w:p>
        </w:tc>
        <w:tc>
          <w:tcPr/>
          <w:p>
            <w:pPr>
              <w:pStyle w:val="Compact"/>
              <w:jc w:val="left"/>
            </w:pPr>
            <w:r>
              <w:t xml:space="preserve">1–2</w:t>
            </w:r>
          </w:p>
        </w:tc>
        <w:tc>
          <w:tcPr/>
          <w:p>
            <w:pPr>
              <w:pStyle w:val="Compact"/>
              <w:jc w:val="left"/>
            </w:pPr>
            <w:r>
              <w:t xml:space="preserve">CBOM, CDG; Wave 0 planning</w:t>
            </w:r>
          </w:p>
        </w:tc>
      </w:tr>
      <w:tr>
        <w:tc>
          <w:tcPr/>
          <w:p>
            <w:pPr>
              <w:pStyle w:val="Compact"/>
              <w:jc w:val="left"/>
            </w:pPr>
            <w:r>
              <w:t xml:space="preserve">Phase 2 — Decide</w:t>
            </w:r>
          </w:p>
        </w:tc>
        <w:tc>
          <w:tcPr/>
          <w:p>
            <w:pPr>
              <w:pStyle w:val="Compact"/>
              <w:jc w:val="left"/>
            </w:pPr>
            <w:r>
              <w:t xml:space="preserve">2–3</w:t>
            </w:r>
          </w:p>
        </w:tc>
        <w:tc>
          <w:tcPr/>
          <w:p>
            <w:pPr>
              <w:pStyle w:val="Compact"/>
              <w:jc w:val="left"/>
            </w:pPr>
            <w:r>
              <w:t xml:space="preserve">TRADE scoring; board wave approval</w:t>
            </w:r>
          </w:p>
        </w:tc>
      </w:tr>
      <w:tr>
        <w:tc>
          <w:tcPr/>
          <w:p>
            <w:pPr>
              <w:pStyle w:val="Compact"/>
              <w:jc w:val="left"/>
            </w:pPr>
            <w:r>
              <w:t xml:space="preserve">Phase 3 — Unblock</w:t>
            </w:r>
          </w:p>
        </w:tc>
        <w:tc>
          <w:tcPr/>
          <w:p>
            <w:pPr>
              <w:pStyle w:val="Compact"/>
              <w:jc w:val="left"/>
            </w:pPr>
            <w:r>
              <w:t xml:space="preserve">2–4</w:t>
            </w:r>
          </w:p>
        </w:tc>
        <w:tc>
          <w:tcPr/>
          <w:p>
            <w:pPr>
              <w:pStyle w:val="Compact"/>
              <w:jc w:val="left"/>
            </w:pPr>
            <w:r>
              <w:t xml:space="preserve">Wave 0 execution</w:t>
            </w:r>
          </w:p>
        </w:tc>
      </w:tr>
      <w:tr>
        <w:tc>
          <w:tcPr/>
          <w:p>
            <w:pPr>
              <w:pStyle w:val="Compact"/>
              <w:jc w:val="left"/>
            </w:pPr>
            <w:r>
              <w:t xml:space="preserve">Phase 4 — Migrate</w:t>
            </w:r>
          </w:p>
        </w:tc>
        <w:tc>
          <w:tcPr/>
          <w:p>
            <w:pPr>
              <w:pStyle w:val="Compact"/>
              <w:jc w:val="left"/>
            </w:pPr>
            <w:r>
              <w:t xml:space="preserve">3–7</w:t>
            </w:r>
          </w:p>
        </w:tc>
        <w:tc>
          <w:tcPr/>
          <w:p>
            <w:pPr>
              <w:pStyle w:val="Compact"/>
              <w:jc w:val="left"/>
            </w:pPr>
            <w:r>
              <w:t xml:space="preserve">Waves 1–3</w:t>
            </w:r>
          </w:p>
        </w:tc>
      </w:tr>
      <w:tr>
        <w:tc>
          <w:tcPr/>
          <w:p>
            <w:pPr>
              <w:pStyle w:val="Compact"/>
              <w:jc w:val="left"/>
            </w:pPr>
            <w:r>
              <w:t xml:space="preserve">Phase 5 — Sustain</w:t>
            </w:r>
          </w:p>
        </w:tc>
        <w:tc>
          <w:tcPr/>
          <w:p>
            <w:pPr>
              <w:pStyle w:val="Compact"/>
              <w:jc w:val="left"/>
            </w:pPr>
            <w:r>
              <w:t xml:space="preserve">ongoing</w:t>
            </w:r>
          </w:p>
        </w:tc>
        <w:tc>
          <w:tcPr/>
          <w:p>
            <w:pPr>
              <w:pStyle w:val="Compact"/>
              <w:jc w:val="left"/>
            </w:pPr>
            <w:r>
              <w:t xml:space="preserve">Wave 4; HLM H3 verification</w:t>
            </w:r>
          </w:p>
        </w:tc>
      </w:tr>
    </w:tbl>
    <w:p>
      <w:pPr>
        <w:pStyle w:val="BodyText"/>
      </w:pPr>
      <w:r>
        <w:t xml:space="preserve">Waves are</w:t>
      </w:r>
      <w:r>
        <w:t xml:space="preserve"> </w:t>
      </w:r>
      <w:r>
        <w:rPr>
          <w:bCs/>
          <w:b/>
        </w:rPr>
        <w:t xml:space="preserve">tactical</w:t>
      </w:r>
      <w:r>
        <w:t xml:space="preserve">; phases are</w:t>
      </w:r>
      <w:r>
        <w:t xml:space="preserve"> </w:t>
      </w:r>
      <w:r>
        <w:rPr>
          <w:bCs/>
          <w:b/>
        </w:rPr>
        <w:t xml:space="preserve">strategic</w:t>
      </w:r>
      <w:r>
        <w:t xml:space="preserve">. Apex board pack showed both — phases for multi-year funding; waves for annual operational targets.</w:t>
      </w:r>
    </w:p>
    <w:p>
      <w:r>
        <w:pict>
          <v:rect style="width:0;height:1.5pt" o:hralign="center" o:hrstd="t" o:hr="t"/>
        </w:pict>
      </w:r>
    </w:p>
    <w:bookmarkEnd w:id="54"/>
    <w:bookmarkStart w:id="55" w:name="procurement-and-wave-funding-gates"/>
    <w:p>
      <w:pPr>
        <w:pStyle w:val="Heading2"/>
      </w:pPr>
      <w:r>
        <w:t xml:space="preserve">9.24 Procurement and Wave Funding Gates</w:t>
      </w:r>
    </w:p>
    <w:p>
      <w:pPr>
        <w:pStyle w:val="FirstParagraph"/>
      </w:pPr>
      <w:r>
        <w:t xml:space="preserve">Wave execution requires</w:t>
      </w:r>
      <w:r>
        <w:t xml:space="preserve"> </w:t>
      </w:r>
      <w:r>
        <w:rPr>
          <w:bCs/>
          <w:b/>
        </w:rPr>
        <w:t xml:space="preserve">funding gates</w:t>
      </w:r>
      <w:r>
        <w:t xml:space="preserve"> </w:t>
      </w:r>
      <w:r>
        <w:t xml:space="preserve">tied to procurement:</w:t>
      </w:r>
    </w:p>
    <w:tbl>
      <w:tblPr>
        <w:tblStyle w:val="Table"/>
        <w:tblW w:type="pct" w:w="5000"/>
        <w:tblLook w:firstRow="1" w:lastRow="0" w:firstColumn="0" w:lastColumn="0" w:noHBand="0" w:noVBand="0" w:val="0020"/>
        <w:jc w:val="start"/>
      </w:tblPr>
      <w:tblGrid>
        <w:gridCol w:w="1159"/>
        <w:gridCol w:w="6760"/>
      </w:tblGrid>
      <w:tr>
        <w:trPr>
          <w:tblHeader w:val="true"/>
        </w:trPr>
        <w:tc>
          <w:tcPr/>
          <w:p>
            <w:pPr>
              <w:pStyle w:val="Compact"/>
              <w:jc w:val="left"/>
            </w:pPr>
            <w:r>
              <w:t xml:space="preserve">Gate</w:t>
            </w:r>
          </w:p>
        </w:tc>
        <w:tc>
          <w:tcPr/>
          <w:p>
            <w:pPr>
              <w:pStyle w:val="Compact"/>
              <w:jc w:val="left"/>
            </w:pPr>
            <w:r>
              <w:t xml:space="preserve">Requirement before funding release</w:t>
            </w:r>
          </w:p>
        </w:tc>
      </w:tr>
      <w:tr>
        <w:tc>
          <w:tcPr/>
          <w:p>
            <w:pPr>
              <w:pStyle w:val="Compact"/>
              <w:jc w:val="left"/>
            </w:pPr>
            <w:r>
              <w:t xml:space="preserve">Wave 0 gate</w:t>
            </w:r>
          </w:p>
        </w:tc>
        <w:tc>
          <w:tcPr/>
          <w:p>
            <w:pPr>
              <w:pStyle w:val="Compact"/>
              <w:jc w:val="left"/>
            </w:pPr>
            <w:r>
              <w:t xml:space="preserve">CDG blocking brief; vendor SOW with node reference</w:t>
            </w:r>
          </w:p>
        </w:tc>
      </w:tr>
      <w:tr>
        <w:tc>
          <w:tcPr/>
          <w:p>
            <w:pPr>
              <w:pStyle w:val="Compact"/>
              <w:jc w:val="left"/>
            </w:pPr>
            <w:r>
              <w:t xml:space="preserve">Wave 1 gate</w:t>
            </w:r>
          </w:p>
        </w:tc>
        <w:tc>
          <w:tcPr/>
          <w:p>
            <w:pPr>
              <w:pStyle w:val="Compact"/>
              <w:jc w:val="left"/>
            </w:pPr>
            <w:r>
              <w:t xml:space="preserve">TRADE worksheets for all members; E ≥ 3 or hybrid approved</w:t>
            </w:r>
          </w:p>
        </w:tc>
      </w:tr>
      <w:tr>
        <w:tc>
          <w:tcPr/>
          <w:p>
            <w:pPr>
              <w:pStyle w:val="Compact"/>
              <w:jc w:val="left"/>
            </w:pPr>
            <w:r>
              <w:t xml:space="preserve">Wave 2+ gate</w:t>
            </w:r>
          </w:p>
        </w:tc>
        <w:tc>
          <w:tcPr/>
          <w:p>
            <w:pPr>
              <w:pStyle w:val="Compact"/>
              <w:jc w:val="left"/>
            </w:pPr>
            <w:r>
              <w:t xml:space="preserve">Prior wave exit criteria met ≥ 80%</w:t>
            </w:r>
          </w:p>
        </w:tc>
      </w:tr>
    </w:tbl>
    <w:p>
      <w:pPr>
        <w:pStyle w:val="BodyText"/>
      </w:pPr>
      <w:r>
        <w:t xml:space="preserve">Meridian procurement inserted CDG</w:t>
      </w:r>
      <w:r>
        <w:t xml:space="preserve"> </w:t>
      </w:r>
      <w:r>
        <w:rPr>
          <w:rStyle w:val="VerbatimChar"/>
        </w:rPr>
        <w:t xml:space="preserve">blocking_node_id</w:t>
      </w:r>
      <w:r>
        <w:t xml:space="preserve"> </w:t>
      </w:r>
      <w:r>
        <w:t xml:space="preserve">into HSM renewal SOW — vendor deliverables traceable to graph. GlobalSync partner programme funding released only after partner acceptance pilot results documented.</w:t>
      </w:r>
    </w:p>
    <w:p>
      <w:r>
        <w:pict>
          <v:rect style="width:0;height:1.5pt" o:hralign="center" o:hrstd="t" o:hr="t"/>
        </w:pict>
      </w:r>
    </w:p>
    <w:bookmarkEnd w:id="55"/>
    <w:bookmarkStart w:id="56" w:name="wave-governance-cadence"/>
    <w:p>
      <w:pPr>
        <w:pStyle w:val="Heading2"/>
      </w:pPr>
      <w:r>
        <w:t xml:space="preserve">9.25 Wave Governance Cadence</w:t>
      </w:r>
    </w:p>
    <w:tbl>
      <w:tblPr>
        <w:tblStyle w:val="Table"/>
        <w:tblW w:type="pct" w:w="5000"/>
        <w:tblLook w:firstRow="1" w:lastRow="0" w:firstColumn="0" w:lastColumn="0" w:noHBand="0" w:noVBand="0" w:val="0020"/>
        <w:jc w:val="start"/>
      </w:tblPr>
      <w:tblGrid>
        <w:gridCol w:w="1680"/>
        <w:gridCol w:w="2160"/>
        <w:gridCol w:w="1920"/>
        <w:gridCol w:w="2160"/>
      </w:tblGrid>
      <w:tr>
        <w:trPr>
          <w:tblHeader w:val="true"/>
        </w:trPr>
        <w:tc>
          <w:tcPr/>
          <w:p>
            <w:pPr>
              <w:pStyle w:val="Compact"/>
              <w:jc w:val="left"/>
            </w:pPr>
            <w:r>
              <w:t xml:space="preserve">Forum</w:t>
            </w:r>
          </w:p>
        </w:tc>
        <w:tc>
          <w:tcPr/>
          <w:p>
            <w:pPr>
              <w:pStyle w:val="Compact"/>
              <w:jc w:val="left"/>
            </w:pPr>
            <w:r>
              <w:t xml:space="preserve">Cadence</w:t>
            </w:r>
          </w:p>
        </w:tc>
        <w:tc>
          <w:tcPr/>
          <w:p>
            <w:pPr>
              <w:pStyle w:val="Compact"/>
              <w:jc w:val="left"/>
            </w:pPr>
            <w:r>
              <w:t xml:space="preserve">Inputs</w:t>
            </w:r>
          </w:p>
        </w:tc>
        <w:tc>
          <w:tcPr/>
          <w:p>
            <w:pPr>
              <w:pStyle w:val="Compact"/>
              <w:jc w:val="left"/>
            </w:pPr>
            <w:r>
              <w:t xml:space="preserve">Outputs</w:t>
            </w:r>
          </w:p>
        </w:tc>
      </w:tr>
      <w:tr>
        <w:tc>
          <w:tcPr/>
          <w:p>
            <w:pPr>
              <w:pStyle w:val="Compact"/>
              <w:jc w:val="left"/>
            </w:pPr>
            <w:r>
              <w:t xml:space="preserve">Domain architect sync</w:t>
            </w:r>
          </w:p>
        </w:tc>
        <w:tc>
          <w:tcPr/>
          <w:p>
            <w:pPr>
              <w:pStyle w:val="Compact"/>
              <w:jc w:val="left"/>
            </w:pPr>
            <w:r>
              <w:t xml:space="preserve">Weekly</w:t>
            </w:r>
          </w:p>
        </w:tc>
        <w:tc>
          <w:tcPr/>
          <w:p>
            <w:pPr>
              <w:pStyle w:val="Compact"/>
              <w:jc w:val="left"/>
            </w:pPr>
            <w:r>
              <w:t xml:space="preserve">MPI changes, blockers</w:t>
            </w:r>
          </w:p>
        </w:tc>
        <w:tc>
          <w:tcPr/>
          <w:p>
            <w:pPr>
              <w:pStyle w:val="Compact"/>
              <w:jc w:val="left"/>
            </w:pPr>
            <w:r>
              <w:t xml:space="preserve">Escalation list</w:t>
            </w:r>
          </w:p>
        </w:tc>
      </w:tr>
      <w:tr>
        <w:tc>
          <w:tcPr/>
          <w:p>
            <w:pPr>
              <w:pStyle w:val="Compact"/>
              <w:jc w:val="left"/>
            </w:pPr>
            <w:r>
              <w:t xml:space="preserve">Steering committee</w:t>
            </w:r>
          </w:p>
        </w:tc>
        <w:tc>
          <w:tcPr/>
          <w:p>
            <w:pPr>
              <w:pStyle w:val="Compact"/>
              <w:jc w:val="left"/>
            </w:pPr>
            <w:r>
              <w:t xml:space="preserve">Monthly</w:t>
            </w:r>
          </w:p>
        </w:tc>
        <w:tc>
          <w:tcPr/>
          <w:p>
            <w:pPr>
              <w:pStyle w:val="Compact"/>
              <w:jc w:val="left"/>
            </w:pPr>
            <w:r>
              <w:t xml:space="preserve">Wave burn-down, deferral register</w:t>
            </w:r>
          </w:p>
        </w:tc>
        <w:tc>
          <w:tcPr/>
          <w:p>
            <w:pPr>
              <w:pStyle w:val="Compact"/>
              <w:jc w:val="left"/>
            </w:pPr>
            <w:r>
              <w:t xml:space="preserve">Reprioritisation decisions</w:t>
            </w:r>
          </w:p>
        </w:tc>
      </w:tr>
      <w:tr>
        <w:tc>
          <w:tcPr/>
          <w:p>
            <w:pPr>
              <w:pStyle w:val="Compact"/>
              <w:jc w:val="left"/>
            </w:pPr>
            <w:r>
              <w:t xml:space="preserve">Board risk committee</w:t>
            </w:r>
          </w:p>
        </w:tc>
        <w:tc>
          <w:tcPr/>
          <w:p>
            <w:pPr>
              <w:pStyle w:val="Compact"/>
              <w:jc w:val="left"/>
            </w:pPr>
            <w:r>
              <w:t xml:space="preserve">Quarterly</w:t>
            </w:r>
          </w:p>
        </w:tc>
        <w:tc>
          <w:tcPr/>
          <w:p>
            <w:pPr>
              <w:pStyle w:val="Compact"/>
              <w:jc w:val="left"/>
            </w:pPr>
            <w:r>
              <w:t xml:space="preserve">Phase progress, budget variance</w:t>
            </w:r>
          </w:p>
        </w:tc>
        <w:tc>
          <w:tcPr/>
          <w:p>
            <w:pPr>
              <w:pStyle w:val="Compact"/>
              <w:jc w:val="left"/>
            </w:pPr>
            <w:r>
              <w:t xml:space="preserve">Funding approval</w:t>
            </w:r>
          </w:p>
        </w:tc>
      </w:tr>
      <w:tr>
        <w:tc>
          <w:tcPr/>
          <w:p>
            <w:pPr>
              <w:pStyle w:val="Compact"/>
              <w:jc w:val="left"/>
            </w:pPr>
            <w:r>
              <w:t xml:space="preserve">TRADE re-score</w:t>
            </w:r>
          </w:p>
        </w:tc>
        <w:tc>
          <w:tcPr/>
          <w:p>
            <w:pPr>
              <w:pStyle w:val="Compact"/>
              <w:jc w:val="left"/>
            </w:pPr>
            <w:r>
              <w:t xml:space="preserve">Annual (quarterly TES 5)</w:t>
            </w:r>
          </w:p>
        </w:tc>
        <w:tc>
          <w:tcPr/>
          <w:p>
            <w:pPr>
              <w:pStyle w:val="Compact"/>
              <w:jc w:val="left"/>
            </w:pPr>
            <w:r>
              <w:t xml:space="preserve">CBOM/CDG updates</w:t>
            </w:r>
          </w:p>
        </w:tc>
        <w:tc>
          <w:tcPr/>
          <w:p>
            <w:pPr>
              <w:pStyle w:val="Compact"/>
              <w:jc w:val="left"/>
            </w:pPr>
            <w:r>
              <w:t xml:space="preserve">Wave membership changes</w:t>
            </w:r>
          </w:p>
        </w:tc>
      </w:tr>
    </w:tbl>
    <w:p>
      <w:r>
        <w:pict>
          <v:rect style="width:0;height:1.5pt" o:hralign="center" o:hrstd="t" o:hr="t"/>
        </w:pict>
      </w:r>
    </w:p>
    <w:bookmarkEnd w:id="56"/>
    <w:bookmarkStart w:id="57" w:name="executive-mpi-dashboard"/>
    <w:p>
      <w:pPr>
        <w:pStyle w:val="Heading2"/>
      </w:pPr>
      <w:r>
        <w:t xml:space="preserve">9.26 Executive MPI Dashboard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Action if missed</w:t>
            </w:r>
          </w:p>
        </w:tc>
      </w:tr>
      <w:tr>
        <w:tc>
          <w:tcPr/>
          <w:p>
            <w:pPr>
              <w:pStyle w:val="Compact"/>
              <w:jc w:val="left"/>
            </w:pPr>
            <w:r>
              <w:t xml:space="preserve">% estate scored</w:t>
            </w:r>
          </w:p>
        </w:tc>
        <w:tc>
          <w:tcPr/>
          <w:p>
            <w:pPr>
              <w:pStyle w:val="Compact"/>
              <w:jc w:val="left"/>
            </w:pPr>
            <w:r>
              <w:t xml:space="preserve">100% in-scope</w:t>
            </w:r>
          </w:p>
        </w:tc>
        <w:tc>
          <w:tcPr/>
          <w:p>
            <w:pPr>
              <w:pStyle w:val="Compact"/>
              <w:jc w:val="left"/>
            </w:pPr>
            <w:r>
              <w:t xml:space="preserve">Discovery backlog</w:t>
            </w:r>
          </w:p>
        </w:tc>
      </w:tr>
      <w:tr>
        <w:tc>
          <w:tcPr/>
          <w:p>
            <w:pPr>
              <w:pStyle w:val="Compact"/>
              <w:jc w:val="left"/>
            </w:pPr>
            <w:r>
              <w:t xml:space="preserve">MPI ≥ 4.0 with no wave</w:t>
            </w:r>
          </w:p>
        </w:tc>
        <w:tc>
          <w:tcPr/>
          <w:p>
            <w:pPr>
              <w:pStyle w:val="Compact"/>
              <w:jc w:val="left"/>
            </w:pPr>
            <w:r>
              <w:t xml:space="preserve">0</w:t>
            </w:r>
          </w:p>
        </w:tc>
        <w:tc>
          <w:tcPr/>
          <w:p>
            <w:pPr>
              <w:pStyle w:val="Compact"/>
              <w:jc w:val="left"/>
            </w:pPr>
            <w:r>
              <w:t xml:space="preserve">Assign wave or defer with approval</w:t>
            </w:r>
          </w:p>
        </w:tc>
      </w:tr>
      <w:tr>
        <w:tc>
          <w:tcPr/>
          <w:p>
            <w:pPr>
              <w:pStyle w:val="Compact"/>
              <w:jc w:val="left"/>
            </w:pPr>
            <w:r>
              <w:t xml:space="preserve">Wave 0 exit criteria</w:t>
            </w:r>
          </w:p>
        </w:tc>
        <w:tc>
          <w:tcPr/>
          <w:p>
            <w:pPr>
              <w:pStyle w:val="Compact"/>
              <w:jc w:val="left"/>
            </w:pPr>
            <w:r>
              <w:t xml:space="preserve">On date</w:t>
            </w:r>
          </w:p>
        </w:tc>
        <w:tc>
          <w:tcPr/>
          <w:p>
            <w:pPr>
              <w:pStyle w:val="Compact"/>
              <w:jc w:val="left"/>
            </w:pPr>
            <w:r>
              <w:t xml:space="preserve">Escalate blocking owners</w:t>
            </w:r>
          </w:p>
        </w:tc>
      </w:tr>
      <w:tr>
        <w:tc>
          <w:tcPr/>
          <w:p>
            <w:pPr>
              <w:pStyle w:val="Compact"/>
              <w:jc w:val="left"/>
            </w:pPr>
            <w:r>
              <w:t xml:space="preserve">Deferral register overdue</w:t>
            </w:r>
          </w:p>
        </w:tc>
        <w:tc>
          <w:tcPr/>
          <w:p>
            <w:pPr>
              <w:pStyle w:val="Compact"/>
              <w:jc w:val="left"/>
            </w:pPr>
            <w:r>
              <w:t xml:space="preserve">0 items</w:t>
            </w:r>
          </w:p>
        </w:tc>
        <w:tc>
          <w:tcPr/>
          <w:p>
            <w:pPr>
              <w:pStyle w:val="Compact"/>
              <w:jc w:val="left"/>
            </w:pPr>
            <w:r>
              <w:t xml:space="preserve">Risk acceptance renewal</w:t>
            </w:r>
          </w:p>
        </w:tc>
      </w:tr>
      <w:tr>
        <w:tc>
          <w:tcPr/>
          <w:p>
            <w:pPr>
              <w:pStyle w:val="Compact"/>
              <w:jc w:val="left"/>
            </w:pPr>
            <w:r>
              <w:t xml:space="preserve">CDG override undocumented</w:t>
            </w:r>
          </w:p>
        </w:tc>
        <w:tc>
          <w:tcPr/>
          <w:p>
            <w:pPr>
              <w:pStyle w:val="Compact"/>
              <w:jc w:val="left"/>
            </w:pPr>
            <w:r>
              <w:t xml:space="preserve">0</w:t>
            </w:r>
          </w:p>
        </w:tc>
        <w:tc>
          <w:tcPr/>
          <w:p>
            <w:pPr>
              <w:pStyle w:val="Compact"/>
              <w:jc w:val="left"/>
            </w:pPr>
            <w:r>
              <w:t xml:space="preserve">Audit remediation</w:t>
            </w:r>
          </w:p>
        </w:tc>
      </w:tr>
    </w:tbl>
    <w:p>
      <w:r>
        <w:pict>
          <v:rect style="width:0;height:1.5pt" o:hralign="center" o:hrstd="t" o:hr="t"/>
        </w:pict>
      </w:r>
    </w:p>
    <w:bookmarkEnd w:id="57"/>
    <w:bookmarkStart w:id="58" w:name="risk-acceptance-integration"/>
    <w:p>
      <w:pPr>
        <w:pStyle w:val="Heading2"/>
      </w:pPr>
      <w:r>
        <w:t xml:space="preserve">9.27 Risk Acceptance Integration</w:t>
      </w:r>
    </w:p>
    <w:p>
      <w:pPr>
        <w:pStyle w:val="FirstParagraph"/>
      </w:pPr>
      <w:r>
        <w:t xml:space="preserve">Systems in</w:t>
      </w:r>
      <w:r>
        <w:t xml:space="preserve"> </w:t>
      </w:r>
      <w:r>
        <w:t xml:space="preserve">“</w:t>
      </w:r>
      <w:r>
        <w:t xml:space="preserve">do not migrate yet</w:t>
      </w:r>
      <w:r>
        <w:t xml:space="preserve">”</w:t>
      </w:r>
      <w:r>
        <w:t xml:space="preserve"> </w:t>
      </w:r>
      <w:r>
        <w:t xml:space="preserve">with MPI ≥ 4.0 require</w:t>
      </w:r>
      <w:r>
        <w:t xml:space="preserve"> </w:t>
      </w:r>
      <w:r>
        <w:rPr>
          <w:bCs/>
          <w:b/>
        </w:rPr>
        <w:t xml:space="preserve">risk acceptance</w:t>
      </w:r>
      <w:r>
        <w:t xml:space="preserve"> </w:t>
      </w:r>
      <w:r>
        <w:t xml:space="preserve">(Chapter 5):</w:t>
      </w:r>
    </w:p>
    <w:p>
      <w:pPr>
        <w:numPr>
          <w:ilvl w:val="0"/>
          <w:numId w:val="1005"/>
        </w:numPr>
        <w:pStyle w:val="Compact"/>
      </w:pPr>
      <w:r>
        <w:t xml:space="preserve">Maximum duration 12 months</w:t>
      </w:r>
    </w:p>
    <w:p>
      <w:pPr>
        <w:numPr>
          <w:ilvl w:val="0"/>
          <w:numId w:val="1005"/>
        </w:numPr>
        <w:pStyle w:val="Compact"/>
      </w:pPr>
      <w:r>
        <w:t xml:space="preserve">CISO approval; board visibility if &gt; 3 systems or regulated data</w:t>
      </w:r>
    </w:p>
    <w:p>
      <w:pPr>
        <w:numPr>
          <w:ilvl w:val="0"/>
          <w:numId w:val="1005"/>
        </w:numPr>
        <w:pStyle w:val="Compact"/>
      </w:pPr>
      <w:r>
        <w:t xml:space="preserve">Linked to CBOM row and TRADE worksheet</w:t>
      </w:r>
    </w:p>
    <w:p>
      <w:pPr>
        <w:numPr>
          <w:ilvl w:val="0"/>
          <w:numId w:val="1005"/>
        </w:numPr>
        <w:pStyle w:val="Compact"/>
      </w:pPr>
      <w:r>
        <w:t xml:space="preserve">Review triggers: vendor GA, ecosystem change</w:t>
      </w:r>
    </w:p>
    <w:p>
      <w:pPr>
        <w:pStyle w:val="FirstParagraph"/>
      </w:pPr>
      <w:r>
        <w:t xml:space="preserve">Meridian limited</w:t>
      </w:r>
      <w:r>
        <w:t xml:space="preserve"> </w:t>
      </w:r>
      <w:r>
        <w:rPr>
          <w:bCs/>
          <w:b/>
        </w:rPr>
        <w:t xml:space="preserve">10 concurrent</w:t>
      </w:r>
      <w:r>
        <w:t xml:space="preserve"> </w:t>
      </w:r>
      <w:r>
        <w:t xml:space="preserve">high-MPI deferrals — steering committee cap preventing deferral register becoming shadow wave plan.</w:t>
      </w:r>
    </w:p>
    <w:p>
      <w:r>
        <w:pict>
          <v:rect style="width:0;height:1.5pt" o:hralign="center" o:hrstd="t" o:hr="t"/>
        </w:pict>
      </w:r>
    </w:p>
    <w:bookmarkEnd w:id="58"/>
    <w:bookmarkStart w:id="59" w:name="communicating-waves-to-engineering"/>
    <w:p>
      <w:pPr>
        <w:pStyle w:val="Heading2"/>
      </w:pPr>
      <w:r>
        <w:t xml:space="preserve">9.28 Communicating Waves to Engineering</w:t>
      </w:r>
    </w:p>
    <w:p>
      <w:pPr>
        <w:pStyle w:val="FirstParagraph"/>
      </w:pPr>
      <w:r>
        <w:t xml:space="preserve">Engineering teams receive:</w:t>
      </w:r>
    </w:p>
    <w:p>
      <w:pPr>
        <w:numPr>
          <w:ilvl w:val="0"/>
          <w:numId w:val="1006"/>
        </w:numPr>
        <w:pStyle w:val="Compact"/>
      </w:pPr>
      <w:r>
        <w:rPr>
          <w:bCs/>
          <w:b/>
        </w:rPr>
        <w:t xml:space="preserve">Wave charter</w:t>
      </w:r>
      <w:r>
        <w:t xml:space="preserve"> </w:t>
      </w:r>
      <w:r>
        <w:t xml:space="preserve">— scope, dates, exit criteria</w:t>
      </w:r>
    </w:p>
    <w:p>
      <w:pPr>
        <w:numPr>
          <w:ilvl w:val="0"/>
          <w:numId w:val="1006"/>
        </w:numPr>
        <w:pStyle w:val="Compact"/>
      </w:pPr>
      <w:r>
        <w:rPr>
          <w:bCs/>
          <w:b/>
        </w:rPr>
        <w:t xml:space="preserve">System list</w:t>
      </w:r>
      <w:r>
        <w:t xml:space="preserve"> </w:t>
      </w:r>
      <w:r>
        <w:t xml:space="preserve">— CBOM IDs they own</w:t>
      </w:r>
    </w:p>
    <w:p>
      <w:pPr>
        <w:numPr>
          <w:ilvl w:val="0"/>
          <w:numId w:val="1006"/>
        </w:numPr>
        <w:pStyle w:val="Compact"/>
      </w:pPr>
      <w:r>
        <w:rPr>
          <w:bCs/>
          <w:b/>
        </w:rPr>
        <w:t xml:space="preserve">Explicit non-list</w:t>
      </w:r>
      <w:r>
        <w:t xml:space="preserve"> </w:t>
      </w:r>
      <w:r>
        <w:t xml:space="preserve">—</w:t>
      </w:r>
      <w:r>
        <w:t xml:space="preserve"> </w:t>
      </w:r>
      <w:r>
        <w:t xml:space="preserve">“</w:t>
      </w:r>
      <w:r>
        <w:t xml:space="preserve">do not migrate yet</w:t>
      </w:r>
      <w:r>
        <w:t xml:space="preserve">”</w:t>
      </w:r>
      <w:r>
        <w:t xml:space="preserve"> </w:t>
      </w:r>
      <w:r>
        <w:t xml:space="preserve">to prevent local heroics</w:t>
      </w:r>
    </w:p>
    <w:p>
      <w:pPr>
        <w:numPr>
          <w:ilvl w:val="0"/>
          <w:numId w:val="1006"/>
        </w:numPr>
        <w:pStyle w:val="Compact"/>
      </w:pPr>
      <w:r>
        <w:rPr>
          <w:bCs/>
          <w:b/>
        </w:rPr>
        <w:t xml:space="preserve">Dependency map excerpt</w:t>
      </w:r>
      <w:r>
        <w:t xml:space="preserve"> </w:t>
      </w:r>
      <w:r>
        <w:t xml:space="preserve">— CDG subgraph for their domain</w:t>
      </w:r>
    </w:p>
    <w:p>
      <w:pPr>
        <w:numPr>
          <w:ilvl w:val="0"/>
          <w:numId w:val="1006"/>
        </w:numPr>
        <w:pStyle w:val="Compact"/>
      </w:pPr>
      <w:r>
        <w:rPr>
          <w:bCs/>
          <w:b/>
        </w:rPr>
        <w:t xml:space="preserve">HLM requirements</w:t>
      </w:r>
      <w:r>
        <w:t xml:space="preserve"> </w:t>
      </w:r>
      <w:r>
        <w:t xml:space="preserve">— hybrid triggers if applicable</w:t>
      </w:r>
    </w:p>
    <w:p>
      <w:pPr>
        <w:pStyle w:val="FirstParagraph"/>
      </w:pPr>
      <w:r>
        <w:t xml:space="preserve">GlobalSync published Wave 0 internal wiki page listing 47 services</w:t>
      </w:r>
      <w:r>
        <w:t xml:space="preserve"> </w:t>
      </w:r>
      <w:r>
        <w:rPr>
          <w:bCs/>
          <w:b/>
        </w:rPr>
        <w:t xml:space="preserve">not</w:t>
      </w:r>
      <w:r>
        <w:t xml:space="preserve"> </w:t>
      </w:r>
      <w:r>
        <w:t xml:space="preserve">to migrate — reducing wasted sprint work.</w:t>
      </w:r>
    </w:p>
    <w:p>
      <w:r>
        <w:pict>
          <v:rect style="width:0;height:1.5pt" o:hralign="center" o:hrstd="t" o:hr="t"/>
        </w:pict>
      </w:r>
    </w:p>
    <w:bookmarkEnd w:id="59"/>
    <w:bookmarkStart w:id="60" w:name="auditor-and-assessor-engagement"/>
    <w:p>
      <w:pPr>
        <w:pStyle w:val="Heading2"/>
      </w:pPr>
      <w:r>
        <w:t xml:space="preserve">9.29 Auditor and Assessor Engagement</w:t>
      </w:r>
    </w:p>
    <w:p>
      <w:pPr>
        <w:pStyle w:val="FirstParagraph"/>
      </w:pPr>
      <w:r>
        <w:t xml:space="preserve">Auditors ask:</w:t>
      </w:r>
      <w:r>
        <w:t xml:space="preserve"> </w:t>
      </w:r>
      <w:r>
        <w:rPr>
          <w:iCs/>
          <w:i/>
        </w:rPr>
        <w:t xml:space="preserve">How did you decide migration order?</w:t>
      </w:r>
      <w:r>
        <w:t xml:space="preserve"> </w:t>
      </w:r>
      <w:r>
        <w:t xml:space="preserve">Evidence bundle:</w:t>
      </w:r>
    </w:p>
    <w:p>
      <w:pPr>
        <w:numPr>
          <w:ilvl w:val="0"/>
          <w:numId w:val="1007"/>
        </w:numPr>
        <w:pStyle w:val="Compact"/>
      </w:pPr>
      <w:r>
        <w:t xml:space="preserve">TRADE methodology document</w:t>
      </w:r>
    </w:p>
    <w:p>
      <w:pPr>
        <w:numPr>
          <w:ilvl w:val="0"/>
          <w:numId w:val="1007"/>
        </w:numPr>
        <w:pStyle w:val="Compact"/>
      </w:pPr>
      <w:r>
        <w:t xml:space="preserve">Sample worksheets (10% stratified)</w:t>
      </w:r>
    </w:p>
    <w:p>
      <w:pPr>
        <w:numPr>
          <w:ilvl w:val="0"/>
          <w:numId w:val="1007"/>
        </w:numPr>
        <w:pStyle w:val="Compact"/>
      </w:pPr>
      <w:r>
        <w:t xml:space="preserve">CDG blocking node register</w:t>
      </w:r>
    </w:p>
    <w:p>
      <w:pPr>
        <w:numPr>
          <w:ilvl w:val="0"/>
          <w:numId w:val="1007"/>
        </w:numPr>
        <w:pStyle w:val="Compact"/>
      </w:pPr>
      <w:r>
        <w:t xml:space="preserve">Board-approved wave plan minutes</w:t>
      </w:r>
    </w:p>
    <w:p>
      <w:pPr>
        <w:numPr>
          <w:ilvl w:val="0"/>
          <w:numId w:val="1007"/>
        </w:numPr>
        <w:pStyle w:val="Compact"/>
      </w:pPr>
      <w:r>
        <w:t xml:space="preserve">Deferral register with approvals</w:t>
      </w:r>
    </w:p>
    <w:p>
      <w:pPr>
        <w:pStyle w:val="FirstParagraph"/>
      </w:pPr>
      <w:r>
        <w:t xml:space="preserve">Thomas Bergström’s supervisory dialogue succeeded because Meridian could trace</w:t>
      </w:r>
      <w:r>
        <w:t xml:space="preserve"> </w:t>
      </w:r>
      <w:r>
        <w:rPr>
          <w:bCs/>
          <w:b/>
        </w:rPr>
        <w:t xml:space="preserve">payment HSM Wave 0</w:t>
      </w:r>
      <w:r>
        <w:t xml:space="preserve"> </w:t>
      </w:r>
      <w:r>
        <w:t xml:space="preserve">decision to CDG fan-in and contract — not oral tradition.</w:t>
      </w:r>
    </w:p>
    <w:p>
      <w:r>
        <w:pict>
          <v:rect style="width:0;height:1.5pt" o:hralign="center" o:hrstd="t" o:hr="t"/>
        </w:pict>
      </w:r>
    </w:p>
    <w:bookmarkEnd w:id="60"/>
    <w:bookmarkStart w:id="61" w:name="conducting-a-trade-scoring-workshop"/>
    <w:p>
      <w:pPr>
        <w:pStyle w:val="Heading2"/>
      </w:pPr>
      <w:r>
        <w:t xml:space="preserve">9.30 Conducting a TRADE Scoring Workshop</w:t>
      </w:r>
    </w:p>
    <w:p>
      <w:pPr>
        <w:pStyle w:val="FirstParagraph"/>
      </w:pPr>
      <w:r>
        <w:rPr>
          <w:bCs/>
          <w:b/>
        </w:rPr>
        <w:t xml:space="preserve">Duration:</w:t>
      </w:r>
      <w:r>
        <w:t xml:space="preserve"> </w:t>
      </w:r>
      <w:r>
        <w:t xml:space="preserve">Full day per domain (payments, corporate IT, OT).</w:t>
      </w:r>
      <w:r>
        <w:t xml:space="preserve"> </w:t>
      </w:r>
      <w:r>
        <w:rPr>
          <w:bCs/>
          <w:b/>
        </w:rPr>
        <w:t xml:space="preserve">Participants:</w:t>
      </w:r>
      <w:r>
        <w:t xml:space="preserve"> </w:t>
      </w:r>
      <w:r>
        <w:t xml:space="preserve">Security, risk, domain architects, compliance, data owners.</w:t>
      </w:r>
    </w:p>
    <w:p>
      <w:pPr>
        <w:pStyle w:val="BodyText"/>
      </w:pPr>
      <w:r>
        <w:rPr>
          <w:bCs/>
          <w:b/>
        </w:rPr>
        <w:t xml:space="preserve">Pre-work:</w:t>
      </w:r>
      <w:r>
        <w:t xml:space="preserve"> </w:t>
      </w:r>
      <w:r>
        <w:t xml:space="preserve">CBOM rows for domain; CDG subgraph; draft TES from Chapter 2 workshop if available.</w:t>
      </w:r>
    </w:p>
    <w:p>
      <w:pPr>
        <w:pStyle w:val="BodyText"/>
      </w:pPr>
      <w:r>
        <w:rPr>
          <w:bCs/>
          <w:b/>
        </w:rPr>
        <w:t xml:space="preserve">Agenda: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Block</w:t>
            </w:r>
          </w:p>
        </w:tc>
        <w:tc>
          <w:tcPr/>
          <w:p>
            <w:pPr>
              <w:pStyle w:val="Compact"/>
              <w:jc w:val="left"/>
            </w:pPr>
            <w:r>
              <w:t xml:space="preserve">Activity</w:t>
            </w:r>
          </w:p>
        </w:tc>
        <w:tc>
          <w:tcPr/>
          <w:p>
            <w:pPr>
              <w:pStyle w:val="Compact"/>
              <w:jc w:val="left"/>
            </w:pPr>
            <w:r>
              <w:t xml:space="preserve">Output</w:t>
            </w:r>
          </w:p>
        </w:tc>
      </w:tr>
      <w:tr>
        <w:tc>
          <w:tcPr/>
          <w:p>
            <w:pPr>
              <w:pStyle w:val="Compact"/>
              <w:jc w:val="left"/>
            </w:pPr>
            <w:r>
              <w:t xml:space="preserve">1</w:t>
            </w:r>
          </w:p>
        </w:tc>
        <w:tc>
          <w:tcPr/>
          <w:p>
            <w:pPr>
              <w:pStyle w:val="Compact"/>
              <w:jc w:val="left"/>
            </w:pPr>
            <w:r>
              <w:t xml:space="preserve">Review CBOM coverage gaps in domain</w:t>
            </w:r>
          </w:p>
        </w:tc>
        <w:tc>
          <w:tcPr/>
          <w:p>
            <w:pPr>
              <w:pStyle w:val="Compact"/>
              <w:jc w:val="left"/>
            </w:pPr>
            <w:r>
              <w:t xml:space="preserve">Gap list</w:t>
            </w:r>
          </w:p>
        </w:tc>
      </w:tr>
      <w:tr>
        <w:tc>
          <w:tcPr/>
          <w:p>
            <w:pPr>
              <w:pStyle w:val="Compact"/>
              <w:jc w:val="left"/>
            </w:pPr>
            <w:r>
              <w:t xml:space="preserve">2</w:t>
            </w:r>
          </w:p>
        </w:tc>
        <w:tc>
          <w:tcPr/>
          <w:p>
            <w:pPr>
              <w:pStyle w:val="Compact"/>
              <w:jc w:val="left"/>
            </w:pPr>
            <w:r>
              <w:t xml:space="preserve">Score T and D with data owners</w:t>
            </w:r>
          </w:p>
        </w:tc>
        <w:tc>
          <w:tcPr/>
          <w:p>
            <w:pPr>
              <w:pStyle w:val="Compact"/>
              <w:jc w:val="left"/>
            </w:pPr>
            <w:r>
              <w:t xml:space="preserve">T, D columns</w:t>
            </w:r>
          </w:p>
        </w:tc>
      </w:tr>
      <w:tr>
        <w:tc>
          <w:tcPr/>
          <w:p>
            <w:pPr>
              <w:pStyle w:val="Compact"/>
              <w:jc w:val="left"/>
            </w:pPr>
            <w:r>
              <w:t xml:space="preserve">3</w:t>
            </w:r>
          </w:p>
        </w:tc>
        <w:tc>
          <w:tcPr/>
          <w:p>
            <w:pPr>
              <w:pStyle w:val="Compact"/>
              <w:jc w:val="left"/>
            </w:pPr>
            <w:r>
              <w:t xml:space="preserve">Score R with compliance</w:t>
            </w:r>
          </w:p>
        </w:tc>
        <w:tc>
          <w:tcPr/>
          <w:p>
            <w:pPr>
              <w:pStyle w:val="Compact"/>
              <w:jc w:val="left"/>
            </w:pPr>
            <w:r>
              <w:t xml:space="preserve">R column</w:t>
            </w:r>
          </w:p>
        </w:tc>
      </w:tr>
      <w:tr>
        <w:tc>
          <w:tcPr/>
          <w:p>
            <w:pPr>
              <w:pStyle w:val="Compact"/>
              <w:jc w:val="left"/>
            </w:pPr>
            <w:r>
              <w:t xml:space="preserve">4</w:t>
            </w:r>
          </w:p>
        </w:tc>
        <w:tc>
          <w:tcPr/>
          <w:p>
            <w:pPr>
              <w:pStyle w:val="Compact"/>
              <w:jc w:val="left"/>
            </w:pPr>
            <w:r>
              <w:t xml:space="preserve">Score A from CDG fan-in</w:t>
            </w:r>
          </w:p>
        </w:tc>
        <w:tc>
          <w:tcPr/>
          <w:p>
            <w:pPr>
              <w:pStyle w:val="Compact"/>
              <w:jc w:val="left"/>
            </w:pPr>
            <w:r>
              <w:t xml:space="preserve">A column</w:t>
            </w:r>
          </w:p>
        </w:tc>
      </w:tr>
      <w:tr>
        <w:tc>
          <w:tcPr/>
          <w:p>
            <w:pPr>
              <w:pStyle w:val="Compact"/>
              <w:jc w:val="left"/>
            </w:pPr>
            <w:r>
              <w:t xml:space="preserve">5</w:t>
            </w:r>
          </w:p>
        </w:tc>
        <w:tc>
          <w:tcPr/>
          <w:p>
            <w:pPr>
              <w:pStyle w:val="Compact"/>
              <w:jc w:val="left"/>
            </w:pPr>
            <w:r>
              <w:t xml:space="preserve">Score E from vendor/partner data</w:t>
            </w:r>
          </w:p>
        </w:tc>
        <w:tc>
          <w:tcPr/>
          <w:p>
            <w:pPr>
              <w:pStyle w:val="Compact"/>
              <w:jc w:val="left"/>
            </w:pPr>
            <w:r>
              <w:t xml:space="preserve">E column</w:t>
            </w:r>
          </w:p>
        </w:tc>
      </w:tr>
      <w:tr>
        <w:tc>
          <w:tcPr/>
          <w:p>
            <w:pPr>
              <w:pStyle w:val="Compact"/>
              <w:jc w:val="left"/>
            </w:pPr>
            <w:r>
              <w:t xml:space="preserve">6</w:t>
            </w:r>
          </w:p>
        </w:tc>
        <w:tc>
          <w:tcPr/>
          <w:p>
            <w:pPr>
              <w:pStyle w:val="Compact"/>
              <w:jc w:val="left"/>
            </w:pPr>
            <w:r>
              <w:t xml:space="preserve">Calculate MPI; assign provisional wave</w:t>
            </w:r>
          </w:p>
        </w:tc>
        <w:tc>
          <w:tcPr/>
          <w:p>
            <w:pPr>
              <w:pStyle w:val="Compact"/>
              <w:jc w:val="left"/>
            </w:pPr>
            <w:r>
              <w:t xml:space="preserve">Worksheet complete</w:t>
            </w:r>
          </w:p>
        </w:tc>
      </w:tr>
      <w:tr>
        <w:tc>
          <w:tcPr/>
          <w:p>
            <w:pPr>
              <w:pStyle w:val="Compact"/>
              <w:jc w:val="left"/>
            </w:pPr>
            <w:r>
              <w:t xml:space="preserve">7</w:t>
            </w:r>
          </w:p>
        </w:tc>
        <w:tc>
          <w:tcPr/>
          <w:p>
            <w:pPr>
              <w:pStyle w:val="Compact"/>
              <w:jc w:val="left"/>
            </w:pPr>
            <w:r>
              <w:t xml:space="preserve">Identify CDG overrides and deferrals</w:t>
            </w:r>
          </w:p>
        </w:tc>
        <w:tc>
          <w:tcPr/>
          <w:p>
            <w:pPr>
              <w:pStyle w:val="Compact"/>
              <w:jc w:val="left"/>
            </w:pPr>
            <w:r>
              <w:t xml:space="preserve">Override column</w:t>
            </w:r>
          </w:p>
        </w:tc>
      </w:tr>
    </w:tbl>
    <w:p>
      <w:pPr>
        <w:pStyle w:val="BodyText"/>
      </w:pPr>
      <w:r>
        <w:rPr>
          <w:bCs/>
          <w:b/>
        </w:rPr>
        <w:t xml:space="preserve">Facilitation rule:</w:t>
      </w:r>
      <w:r>
        <w:t xml:space="preserve"> </w:t>
      </w:r>
      <w:r>
        <w:t xml:space="preserve">No system leaves workshop without owner and review date. Unknown CBOM confidence → defer to discovery, not guessed scores.</w:t>
      </w:r>
    </w:p>
    <w:p>
      <w:pPr>
        <w:pStyle w:val="BodyText"/>
      </w:pPr>
      <w:r>
        <w:t xml:space="preserve">Meridian ran four domain workshops over six weeks — 1,200 worksheets completed for in-scope workloads (rolled up from 14,200 CBOM rows).</w:t>
      </w:r>
    </w:p>
    <w:p>
      <w:r>
        <w:pict>
          <v:rect style="width:0;height:1.5pt" o:hralign="center" o:hrstd="t" o:hr="t"/>
        </w:pict>
      </w:r>
    </w:p>
    <w:bookmarkEnd w:id="61"/>
    <w:bookmarkStart w:id="62" w:name="wave-plan-document-structure"/>
    <w:p>
      <w:pPr>
        <w:pStyle w:val="Heading2"/>
      </w:pPr>
      <w:r>
        <w:t xml:space="preserve">9.31 Wave Plan Document Structure</w:t>
      </w:r>
    </w:p>
    <w:p>
      <w:pPr>
        <w:pStyle w:val="FirstParagraph"/>
      </w:pPr>
      <w:r>
        <w:t xml:space="preserve">Board-approved wave plan document template:</w:t>
      </w:r>
    </w:p>
    <w:p>
      <w:pPr>
        <w:numPr>
          <w:ilvl w:val="0"/>
          <w:numId w:val="1008"/>
        </w:numPr>
        <w:pStyle w:val="Compact"/>
      </w:pPr>
      <w:r>
        <w:t xml:space="preserve">Executive summary (2 pages)</w:t>
      </w:r>
    </w:p>
    <w:p>
      <w:pPr>
        <w:numPr>
          <w:ilvl w:val="0"/>
          <w:numId w:val="1008"/>
        </w:numPr>
        <w:pStyle w:val="Compact"/>
      </w:pPr>
      <w:r>
        <w:t xml:space="preserve">TRADE methodology and weights</w:t>
      </w:r>
    </w:p>
    <w:p>
      <w:pPr>
        <w:numPr>
          <w:ilvl w:val="0"/>
          <w:numId w:val="1008"/>
        </w:numPr>
        <w:pStyle w:val="Compact"/>
      </w:pPr>
      <w:r>
        <w:t xml:space="preserve">Wave definitions (Table 9.2 per wave)</w:t>
      </w:r>
    </w:p>
    <w:p>
      <w:pPr>
        <w:numPr>
          <w:ilvl w:val="0"/>
          <w:numId w:val="1008"/>
        </w:numPr>
        <w:pStyle w:val="Compact"/>
      </w:pPr>
      <w:r>
        <w:t xml:space="preserve">System-to-wave mapping (appendix)</w:t>
      </w:r>
    </w:p>
    <w:p>
      <w:pPr>
        <w:numPr>
          <w:ilvl w:val="0"/>
          <w:numId w:val="1008"/>
        </w:numPr>
        <w:pStyle w:val="Compact"/>
      </w:pPr>
      <w:r>
        <w:t xml:space="preserve">CDG blocking register</w:t>
      </w:r>
    </w:p>
    <w:p>
      <w:pPr>
        <w:numPr>
          <w:ilvl w:val="0"/>
          <w:numId w:val="1008"/>
        </w:numPr>
        <w:pStyle w:val="Compact"/>
      </w:pPr>
      <w:r>
        <w:t xml:space="preserve">Deferral register</w:t>
      </w:r>
    </w:p>
    <w:p>
      <w:pPr>
        <w:numPr>
          <w:ilvl w:val="0"/>
          <w:numId w:val="1008"/>
        </w:numPr>
        <w:pStyle w:val="Compact"/>
      </w:pPr>
      <w:r>
        <w:t xml:space="preserve">Budget ranges by wave</w:t>
      </w:r>
    </w:p>
    <w:p>
      <w:pPr>
        <w:numPr>
          <w:ilvl w:val="0"/>
          <w:numId w:val="1008"/>
        </w:numPr>
        <w:pStyle w:val="Compact"/>
      </w:pPr>
      <w:r>
        <w:t xml:space="preserve">Regulatory and contract alignment</w:t>
      </w:r>
    </w:p>
    <w:p>
      <w:pPr>
        <w:numPr>
          <w:ilvl w:val="0"/>
          <w:numId w:val="1008"/>
        </w:numPr>
        <w:pStyle w:val="Compact"/>
      </w:pPr>
      <w:r>
        <w:t xml:space="preserve">Figure 9.1 Gantt</w:t>
      </w:r>
    </w:p>
    <w:p>
      <w:pPr>
        <w:numPr>
          <w:ilvl w:val="0"/>
          <w:numId w:val="1008"/>
        </w:numPr>
        <w:pStyle w:val="Compact"/>
      </w:pPr>
      <w:r>
        <w:t xml:space="preserve">Reassessment schedule</w:t>
      </w:r>
    </w:p>
    <w:p>
      <w:pPr>
        <w:pStyle w:val="FirstParagraph"/>
      </w:pPr>
      <w:r>
        <w:t xml:space="preserve">Apex document classified annex for NSS wave detail — board received summary with classified appendix in secure brief.</w:t>
      </w:r>
    </w:p>
    <w:p>
      <w:r>
        <w:pict>
          <v:rect style="width:0;height:1.5pt" o:hralign="center" o:hrstd="t" o:hr="t"/>
        </w:pict>
      </w:r>
    </w:p>
    <w:bookmarkEnd w:id="62"/>
    <w:bookmarkStart w:id="63" w:name="decommission-vs-migrate-decision-tree"/>
    <w:p>
      <w:pPr>
        <w:pStyle w:val="Heading2"/>
      </w:pPr>
      <w:r>
        <w:t xml:space="preserve">9.32 Decommission vs Migrate Decision Tree</w:t>
      </w:r>
    </w:p>
    <w:p>
      <w:pPr>
        <w:pStyle w:val="SourceCode"/>
      </w:pPr>
      <w:r>
        <w:rPr>
          <w:rStyle w:val="VerbatimChar"/>
        </w:rPr>
        <w:t xml:space="preserve">System quantum-vulnerable?</w:t>
      </w:r>
      <w:r>
        <w:br/>
      </w:r>
      <w:r>
        <w:rPr>
          <w:rStyle w:val="VerbatimChar"/>
        </w:rPr>
        <w:t xml:space="preserve">  No → Out of scope (document)</w:t>
      </w:r>
      <w:r>
        <w:br/>
      </w:r>
      <w:r>
        <w:rPr>
          <w:rStyle w:val="VerbatimChar"/>
        </w:rPr>
        <w:t xml:space="preserve">  Yes → Decommission before 2030 deprecation?</w:t>
      </w:r>
      <w:r>
        <w:br/>
      </w:r>
      <w:r>
        <w:rPr>
          <w:rStyle w:val="VerbatimChar"/>
        </w:rPr>
        <w:t xml:space="preserve">    Yes → Decommission path (no migration spend)</w:t>
      </w:r>
      <w:r>
        <w:br/>
      </w:r>
      <w:r>
        <w:rPr>
          <w:rStyle w:val="VerbatimChar"/>
        </w:rPr>
        <w:t xml:space="preserve">    No → CDG blocking node?</w:t>
      </w:r>
      <w:r>
        <w:br/>
      </w:r>
      <w:r>
        <w:rPr>
          <w:rStyle w:val="VerbatimChar"/>
        </w:rPr>
        <w:t xml:space="preserve">      Yes → Wave 0 (unless override approved)</w:t>
      </w:r>
      <w:r>
        <w:br/>
      </w:r>
      <w:r>
        <w:rPr>
          <w:rStyle w:val="VerbatimChar"/>
        </w:rPr>
        <w:t xml:space="preserve">      No → MPI ≥ 4.0?</w:t>
      </w:r>
      <w:r>
        <w:br/>
      </w:r>
      <w:r>
        <w:rPr>
          <w:rStyle w:val="VerbatimChar"/>
        </w:rPr>
        <w:t xml:space="preserve">        Yes → Wave 1 candidate</w:t>
      </w:r>
      <w:r>
        <w:br/>
      </w:r>
      <w:r>
        <w:rPr>
          <w:rStyle w:val="VerbatimChar"/>
        </w:rPr>
        <w:t xml:space="preserve">        No → E ≥ 3?</w:t>
      </w:r>
      <w:r>
        <w:br/>
      </w:r>
      <w:r>
        <w:rPr>
          <w:rStyle w:val="VerbatimChar"/>
        </w:rPr>
        <w:t xml:space="preserve">          Yes → Wave 2–3 by MPI</w:t>
      </w:r>
      <w:r>
        <w:br/>
      </w:r>
      <w:r>
        <w:rPr>
          <w:rStyle w:val="VerbatimChar"/>
        </w:rPr>
        <w:t xml:space="preserve">          No → "Do not migrate yet" + vendor escalation</w:t>
      </w:r>
    </w:p>
    <w:p>
      <w:pPr>
        <w:pStyle w:val="FirstParagraph"/>
      </w:pPr>
      <w:r>
        <w:t xml:space="preserve">Meridian applied tree to 14,200 CBOM rows —</w:t>
      </w:r>
      <w:r>
        <w:t xml:space="preserve"> </w:t>
      </w:r>
      <w:r>
        <w:rPr>
          <w:bCs/>
          <w:b/>
        </w:rPr>
        <w:t xml:space="preserve">1,800</w:t>
      </w:r>
      <w:r>
        <w:t xml:space="preserve"> </w:t>
      </w:r>
      <w:r>
        <w:t xml:space="preserve">routed to decommission path (</w:t>
      </w:r>
      <w:r>
        <w:rPr>
          <w:iCs/>
          <w:i/>
        </w:rPr>
        <w:t xml:space="preserve">illustrative</w:t>
      </w:r>
      <w:r>
        <w:t xml:space="preserve">), avoiding wasted migration budget on retiring systems.</w:t>
      </w:r>
    </w:p>
    <w:p>
      <w:r>
        <w:pict>
          <v:rect style="width:0;height:1.5pt" o:hralign="center" o:hrstd="t" o:hr="t"/>
        </w:pict>
      </w:r>
    </w:p>
    <w:bookmarkEnd w:id="63"/>
    <w:bookmarkStart w:id="64" w:name="hybrid-quick-wins-vs-structural-waves"/>
    <w:p>
      <w:pPr>
        <w:pStyle w:val="Heading2"/>
      </w:pPr>
      <w:r>
        <w:t xml:space="preserve">9.33 Hybrid Quick Wins vs Structural Waves</w:t>
      </w:r>
    </w:p>
    <w:p>
      <w:pPr>
        <w:pStyle w:val="FirstParagraph"/>
      </w:pPr>
      <w:r>
        <w:t xml:space="preserve">Programmes need</w:t>
      </w:r>
      <w:r>
        <w:t xml:space="preserve"> </w:t>
      </w:r>
      <w:r>
        <w:rPr>
          <w:bCs/>
          <w:b/>
        </w:rPr>
        <w:t xml:space="preserve">early demonstrable progress</w:t>
      </w:r>
      <w:r>
        <w:t xml:space="preserve"> </w:t>
      </w:r>
      <w:r>
        <w:t xml:space="preserve">without undermining Wave 0.</w:t>
      </w:r>
      <w:r>
        <w:t xml:space="preserve"> </w:t>
      </w:r>
      <w:r>
        <w:rPr>
          <w:bCs/>
          <w:b/>
        </w:rPr>
        <w:t xml:space="preserve">Quick win criteria:</w:t>
      </w:r>
    </w:p>
    <w:p>
      <w:pPr>
        <w:numPr>
          <w:ilvl w:val="0"/>
          <w:numId w:val="1009"/>
        </w:numPr>
        <w:pStyle w:val="Compact"/>
      </w:pPr>
      <w:r>
        <w:t xml:space="preserve">MPI ≥ 3.2</w:t>
      </w:r>
    </w:p>
    <w:p>
      <w:pPr>
        <w:numPr>
          <w:ilvl w:val="0"/>
          <w:numId w:val="1009"/>
        </w:numPr>
        <w:pStyle w:val="Compact"/>
      </w:pPr>
      <w:r>
        <w:t xml:space="preserve">Not dependent on blocking node (CDG check)</w:t>
      </w:r>
    </w:p>
    <w:p>
      <w:pPr>
        <w:numPr>
          <w:ilvl w:val="0"/>
          <w:numId w:val="1009"/>
        </w:numPr>
        <w:pStyle w:val="Compact"/>
      </w:pPr>
      <w:r>
        <w:t xml:space="preserve">E ≥ 4</w:t>
      </w:r>
    </w:p>
    <w:p>
      <w:pPr>
        <w:numPr>
          <w:ilvl w:val="0"/>
          <w:numId w:val="1009"/>
        </w:numPr>
        <w:pStyle w:val="Compact"/>
      </w:pPr>
      <w:r>
        <w:t xml:space="preserve">Isolated blast radius — failure does not affect payment or safety systems</w:t>
      </w:r>
    </w:p>
    <w:p>
      <w:pPr>
        <w:numPr>
          <w:ilvl w:val="0"/>
          <w:numId w:val="1009"/>
        </w:numPr>
        <w:pStyle w:val="Compact"/>
      </w:pPr>
      <w:r>
        <w:t xml:space="preserve">Completable in &lt; 90 days engineering effort</w:t>
      </w:r>
    </w:p>
    <w:p>
      <w:pPr>
        <w:pStyle w:val="FirstParagraph"/>
      </w:pPr>
      <w:r>
        <w:t xml:space="preserve">Meridian quick win: internal engineering wiki TLS upgrade — MPI 3.1, marginal quick win approval for team morale.</w:t>
      </w:r>
      <w:r>
        <w:t xml:space="preserve"> </w:t>
      </w:r>
      <w:r>
        <w:rPr>
          <w:bCs/>
          <w:b/>
        </w:rPr>
        <w:t xml:space="preserve">Rejected</w:t>
      </w:r>
      <w:r>
        <w:t xml:space="preserve"> </w:t>
      </w:r>
      <w:r>
        <w:t xml:space="preserve">quick win: customer mobile app without partner policy check — CDG showed partner webhook verification dependency.</w:t>
      </w:r>
    </w:p>
    <w:p>
      <w:pPr>
        <w:pStyle w:val="BodyText"/>
      </w:pPr>
      <w:r>
        <w:t xml:space="preserve">GlobalSync quick win: internal admin SSO cert upgrade — E = 5, no partner dependency.</w:t>
      </w:r>
      <w:r>
        <w:t xml:space="preserve"> </w:t>
      </w:r>
      <w:r>
        <w:rPr>
          <w:bCs/>
          <w:b/>
        </w:rPr>
        <w:t xml:space="preserve">Approved</w:t>
      </w:r>
      <w:r>
        <w:t xml:space="preserve"> </w:t>
      </w:r>
      <w:r>
        <w:t xml:space="preserve">as parallel to Wave 0 — separate budget line to prevent Wave 0 starvation.</w:t>
      </w:r>
    </w:p>
    <w:p>
      <w:r>
        <w:pict>
          <v:rect style="width:0;height:1.5pt" o:hralign="center" o:hrstd="t" o:hr="t"/>
        </w:pict>
      </w:r>
    </w:p>
    <w:bookmarkEnd w:id="64"/>
    <w:bookmarkStart w:id="65" w:name="mpi-sensitivity-analysis"/>
    <w:p>
      <w:pPr>
        <w:pStyle w:val="Heading2"/>
      </w:pPr>
      <w:r>
        <w:t xml:space="preserve">9.34 MPI Sensitivity Analysis</w:t>
      </w:r>
    </w:p>
    <w:p>
      <w:pPr>
        <w:pStyle w:val="FirstParagraph"/>
      </w:pPr>
      <w:r>
        <w:t xml:space="preserve">Leadership may challenge weights. Programme office should run</w:t>
      </w:r>
      <w:r>
        <w:t xml:space="preserve"> </w:t>
      </w:r>
      <w:r>
        <w:rPr>
          <w:bCs/>
          <w:b/>
        </w:rPr>
        <w:t xml:space="preserve">sensitivity analysis</w:t>
      </w:r>
      <w:r>
        <w:t xml:space="preserve"> </w:t>
      </w:r>
      <w:r>
        <w:t xml:space="preserve">— if wT varies ±0.25, how many systems change wave membership?</w:t>
      </w:r>
    </w:p>
    <w:p>
      <w:pPr>
        <w:pStyle w:val="BodyText"/>
      </w:pPr>
      <w:r>
        <w:t xml:space="preserve">Meridian analysis: ±0.25 on wT moved</w:t>
      </w:r>
      <w:r>
        <w:t xml:space="preserve"> </w:t>
      </w:r>
      <w:r>
        <w:rPr>
          <w:bCs/>
          <w:b/>
        </w:rPr>
        <w:t xml:space="preserve">4%</w:t>
      </w:r>
      <w:r>
        <w:t xml:space="preserve"> </w:t>
      </w:r>
      <w:r>
        <w:t xml:space="preserve">of systems across wave boundaries — stable enough for board confidence. ±0.5 on wE moved</w:t>
      </w:r>
      <w:r>
        <w:t xml:space="preserve"> </w:t>
      </w:r>
      <w:r>
        <w:rPr>
          <w:bCs/>
          <w:b/>
        </w:rPr>
        <w:t xml:space="preserve">11%</w:t>
      </w:r>
      <w:r>
        <w:t xml:space="preserve"> </w:t>
      </w:r>
      <w:r>
        <w:t xml:space="preserve">— ecosystem weight changes require steering approval.</w:t>
      </w:r>
    </w:p>
    <w:p>
      <w:pPr>
        <w:pStyle w:val="BodyText"/>
      </w:pPr>
      <w:r>
        <w:t xml:space="preserve">Document sensitivity in board pack appendix — demonstrates methodology robustness.</w:t>
      </w:r>
    </w:p>
    <w:p>
      <w:r>
        <w:pict>
          <v:rect style="width:0;height:1.5pt" o:hralign="center" o:hrstd="t" o:hr="t"/>
        </w:pict>
      </w:r>
    </w:p>
    <w:bookmarkEnd w:id="65"/>
    <w:bookmarkStart w:id="66" w:name="regulatory-dimension-deep-dive"/>
    <w:p>
      <w:pPr>
        <w:pStyle w:val="Heading2"/>
      </w:pPr>
      <w:r>
        <w:t xml:space="preserve">9.35 Regulatory Dimension Deep Dive</w:t>
      </w:r>
    </w:p>
    <w:p>
      <w:pPr>
        <w:pStyle w:val="FirstParagraph"/>
      </w:pPr>
      <w:r>
        <w:t xml:space="preserve">Regulatory scoring (R) draws from Chapter 3 overlay matrix. Practical assignment rules: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Signal</w:t>
            </w:r>
          </w:p>
        </w:tc>
        <w:tc>
          <w:tcPr/>
          <w:p>
            <w:pPr>
              <w:pStyle w:val="Compact"/>
              <w:jc w:val="left"/>
            </w:pPr>
            <w:r>
              <w:t xml:space="preserve">R score guidance</w:t>
            </w:r>
          </w:p>
        </w:tc>
      </w:tr>
      <w:tr>
        <w:tc>
          <w:tcPr/>
          <w:p>
            <w:pPr>
              <w:pStyle w:val="Compact"/>
              <w:jc w:val="left"/>
            </w:pPr>
            <w:r>
              <w:t xml:space="preserve">NSS/CNSA flow-down</w:t>
            </w:r>
          </w:p>
        </w:tc>
        <w:tc>
          <w:tcPr/>
          <w:p>
            <w:pPr>
              <w:pStyle w:val="Compact"/>
              <w:jc w:val="left"/>
            </w:pPr>
            <w:r>
              <w:t xml:space="preserve">5</w:t>
            </w:r>
          </w:p>
        </w:tc>
      </w:tr>
      <w:tr>
        <w:tc>
          <w:tcPr/>
          <w:p>
            <w:pPr>
              <w:pStyle w:val="Compact"/>
              <w:jc w:val="left"/>
            </w:pPr>
            <w:r>
              <w:t xml:space="preserve">DORA essential entity ICT risk</w:t>
            </w:r>
          </w:p>
        </w:tc>
        <w:tc>
          <w:tcPr/>
          <w:p>
            <w:pPr>
              <w:pStyle w:val="Compact"/>
              <w:jc w:val="left"/>
            </w:pPr>
            <w:r>
              <w:t xml:space="preserve">4–5 for critical providers</w:t>
            </w:r>
          </w:p>
        </w:tc>
      </w:tr>
      <w:tr>
        <w:tc>
          <w:tcPr/>
          <w:p>
            <w:pPr>
              <w:pStyle w:val="Compact"/>
              <w:jc w:val="left"/>
            </w:pPr>
            <w:r>
              <w:t xml:space="preserve">PCI DSS crypto scope</w:t>
            </w:r>
          </w:p>
        </w:tc>
        <w:tc>
          <w:tcPr/>
          <w:p>
            <w:pPr>
              <w:pStyle w:val="Compact"/>
              <w:jc w:val="left"/>
            </w:pPr>
            <w:r>
              <w:t xml:space="preserve">4 for in-scope systems</w:t>
            </w:r>
          </w:p>
        </w:tc>
      </w:tr>
      <w:tr>
        <w:tc>
          <w:tcPr/>
          <w:p>
            <w:pPr>
              <w:pStyle w:val="Compact"/>
              <w:jc w:val="left"/>
            </w:pPr>
            <w:r>
              <w:t xml:space="preserve">NIS2 essential entity measures</w:t>
            </w:r>
          </w:p>
        </w:tc>
        <w:tc>
          <w:tcPr/>
          <w:p>
            <w:pPr>
              <w:pStyle w:val="Compact"/>
              <w:jc w:val="left"/>
            </w:pPr>
            <w:r>
              <w:t xml:space="preserve">4 for critical infrastructure OT</w:t>
            </w:r>
          </w:p>
        </w:tc>
      </w:tr>
      <w:tr>
        <w:tc>
          <w:tcPr/>
          <w:p>
            <w:pPr>
              <w:pStyle w:val="Compact"/>
              <w:jc w:val="left"/>
            </w:pPr>
            <w:r>
              <w:t xml:space="preserve">Customer contract explicit PQ clause</w:t>
            </w:r>
          </w:p>
        </w:tc>
        <w:tc>
          <w:tcPr/>
          <w:p>
            <w:pPr>
              <w:pStyle w:val="Compact"/>
              <w:jc w:val="left"/>
            </w:pPr>
            <w:r>
              <w:t xml:space="preserve">3–4</w:t>
            </w:r>
          </w:p>
        </w:tc>
      </w:tr>
      <w:tr>
        <w:tc>
          <w:tcPr/>
          <w:p>
            <w:pPr>
              <w:pStyle w:val="Compact"/>
              <w:jc w:val="left"/>
            </w:pPr>
            <w:r>
              <w:t xml:space="preserve">Voluntary NIST alignment</w:t>
            </w:r>
          </w:p>
        </w:tc>
        <w:tc>
          <w:tcPr/>
          <w:p>
            <w:pPr>
              <w:pStyle w:val="Compact"/>
              <w:jc w:val="left"/>
            </w:pPr>
            <w:r>
              <w:t xml:space="preserve">2–3</w:t>
            </w:r>
          </w:p>
        </w:tc>
      </w:tr>
    </w:tbl>
    <w:p>
      <w:pPr>
        <w:pStyle w:val="BodyText"/>
      </w:pPr>
      <w:r>
        <w:rPr>
          <w:bCs/>
          <w:b/>
        </w:rPr>
        <w:t xml:space="preserve">Multi-jurisdiction systems:</w:t>
      </w:r>
      <w:r>
        <w:t xml:space="preserve"> </w:t>
      </w:r>
      <w:r>
        <w:t xml:space="preserve">Use</w:t>
      </w:r>
      <w:r>
        <w:t xml:space="preserve"> </w:t>
      </w:r>
      <w:r>
        <w:rPr>
          <w:bCs/>
          <w:b/>
        </w:rPr>
        <w:t xml:space="preserve">highest applicable R</w:t>
      </w:r>
      <w:r>
        <w:t xml:space="preserve"> </w:t>
      </w:r>
      <w:r>
        <w:t xml:space="preserve">per jurisdiction where system processes data — GlobalSync tenant workloads scored per tenant overlay, not platform default.</w:t>
      </w:r>
    </w:p>
    <w:p>
      <w:pPr>
        <w:pStyle w:val="BodyText"/>
      </w:pPr>
      <w:r>
        <w:rPr>
          <w:bCs/>
          <w:b/>
        </w:rPr>
        <w:t xml:space="preserve">Evidence link:</w:t>
      </w:r>
      <w:r>
        <w:t xml:space="preserve"> </w:t>
      </w:r>
      <w:r>
        <w:t xml:space="preserve">Worksheet field</w:t>
      </w:r>
      <w:r>
        <w:t xml:space="preserve"> </w:t>
      </w:r>
      <w:r>
        <w:rPr>
          <w:rStyle w:val="VerbatimChar"/>
        </w:rPr>
        <w:t xml:space="preserve">regulatory_ref</w:t>
      </w:r>
      <w:r>
        <w:t xml:space="preserve"> </w:t>
      </w:r>
      <w:r>
        <w:t xml:space="preserve">points to contract clause, policy section, or supervisory letter — auditors trace wave decision to obligation source.</w:t>
      </w:r>
    </w:p>
    <w:p>
      <w:pPr>
        <w:pStyle w:val="BodyText"/>
      </w:pPr>
      <w:r>
        <w:t xml:space="preserve">Thomas Bergström used R dimension traceability in DORA dialogue — wire transfer system R = 5 linked to ECB supervisory expectation letter reference, not generic</w:t>
      </w:r>
      <w:r>
        <w:t xml:space="preserve"> </w:t>
      </w:r>
      <w:r>
        <w:t xml:space="preserve">“</w:t>
      </w:r>
      <w:r>
        <w:t xml:space="preserve">banking is regulated.</w:t>
      </w:r>
      <w:r>
        <w:t xml:space="preserve">”</w:t>
      </w:r>
    </w:p>
    <w:p>
      <w:r>
        <w:pict>
          <v:rect style="width:0;height:1.5pt" o:hralign="center" o:hrstd="t" o:hr="t"/>
        </w:pict>
      </w:r>
    </w:p>
    <w:bookmarkEnd w:id="66"/>
    <w:bookmarkStart w:id="67" w:name="architectural-dependency-deep-dive"/>
    <w:p>
      <w:pPr>
        <w:pStyle w:val="Heading2"/>
      </w:pPr>
      <w:r>
        <w:t xml:space="preserve">9.36 Architectural Dependency Deep Dive</w:t>
      </w:r>
    </w:p>
    <w:p>
      <w:pPr>
        <w:pStyle w:val="FirstParagraph"/>
      </w:pPr>
      <w:r>
        <w:t xml:space="preserve">A dimension (Chapter 8) scoring consumes CDG metrics: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CDG metric</w:t>
            </w:r>
          </w:p>
        </w:tc>
        <w:tc>
          <w:tcPr/>
          <w:p>
            <w:pPr>
              <w:pStyle w:val="Compact"/>
              <w:jc w:val="left"/>
            </w:pPr>
            <w:r>
              <w:t xml:space="preserve">A score</w:t>
            </w:r>
          </w:p>
        </w:tc>
      </w:tr>
      <w:tr>
        <w:tc>
          <w:tcPr/>
          <w:p>
            <w:pPr>
              <w:pStyle w:val="Compact"/>
              <w:jc w:val="left"/>
            </w:pPr>
            <w:r>
              <w:rPr>
                <w:rStyle w:val="VerbatimChar"/>
              </w:rPr>
              <w:t xml:space="preserve">blocking: true</w:t>
            </w:r>
          </w:p>
        </w:tc>
        <w:tc>
          <w:tcPr/>
          <w:p>
            <w:pPr>
              <w:pStyle w:val="Compact"/>
              <w:jc w:val="left"/>
            </w:pPr>
            <w:r>
              <w:t xml:space="preserve">5</w:t>
            </w:r>
          </w:p>
        </w:tc>
      </w:tr>
      <w:tr>
        <w:tc>
          <w:tcPr/>
          <w:p>
            <w:pPr>
              <w:pStyle w:val="Compact"/>
              <w:jc w:val="left"/>
            </w:pPr>
            <w:r>
              <w:t xml:space="preserve">Fan-in &gt; 50</w:t>
            </w:r>
          </w:p>
        </w:tc>
        <w:tc>
          <w:tcPr/>
          <w:p>
            <w:pPr>
              <w:pStyle w:val="Compact"/>
              <w:jc w:val="left"/>
            </w:pPr>
            <w:r>
              <w:t xml:space="preserve">5</w:t>
            </w:r>
          </w:p>
        </w:tc>
      </w:tr>
      <w:tr>
        <w:tc>
          <w:tcPr/>
          <w:p>
            <w:pPr>
              <w:pStyle w:val="Compact"/>
              <w:jc w:val="left"/>
            </w:pPr>
            <w:r>
              <w:t xml:space="preserve">Fan-in 20–50</w:t>
            </w:r>
          </w:p>
        </w:tc>
        <w:tc>
          <w:tcPr/>
          <w:p>
            <w:pPr>
              <w:pStyle w:val="Compact"/>
              <w:jc w:val="left"/>
            </w:pPr>
            <w:r>
              <w:t xml:space="preserve">4</w:t>
            </w:r>
          </w:p>
        </w:tc>
      </w:tr>
      <w:tr>
        <w:tc>
          <w:tcPr/>
          <w:p>
            <w:pPr>
              <w:pStyle w:val="Compact"/>
              <w:jc w:val="left"/>
            </w:pPr>
            <w:r>
              <w:t xml:space="preserve">Fan-in 5–19</w:t>
            </w:r>
          </w:p>
        </w:tc>
        <w:tc>
          <w:tcPr/>
          <w:p>
            <w:pPr>
              <w:pStyle w:val="Compact"/>
              <w:jc w:val="left"/>
            </w:pPr>
            <w:r>
              <w:t xml:space="preserve">3</w:t>
            </w:r>
          </w:p>
        </w:tc>
      </w:tr>
      <w:tr>
        <w:tc>
          <w:tcPr/>
          <w:p>
            <w:pPr>
              <w:pStyle w:val="Compact"/>
              <w:jc w:val="left"/>
            </w:pPr>
            <w:r>
              <w:t xml:space="preserve">Shared KMS partition</w:t>
            </w:r>
          </w:p>
        </w:tc>
        <w:tc>
          <w:tcPr/>
          <w:p>
            <w:pPr>
              <w:pStyle w:val="Compact"/>
              <w:jc w:val="left"/>
            </w:pPr>
            <w:r>
              <w:t xml:space="preserve">3</w:t>
            </w:r>
          </w:p>
        </w:tc>
      </w:tr>
      <w:tr>
        <w:tc>
          <w:tcPr/>
          <w:p>
            <w:pPr>
              <w:pStyle w:val="Compact"/>
              <w:jc w:val="left"/>
            </w:pPr>
            <w:r>
              <w:t xml:space="preserve">Fan-in 1–4</w:t>
            </w:r>
          </w:p>
        </w:tc>
        <w:tc>
          <w:tcPr/>
          <w:p>
            <w:pPr>
              <w:pStyle w:val="Compact"/>
              <w:jc w:val="left"/>
            </w:pPr>
            <w:r>
              <w:t xml:space="preserve">2</w:t>
            </w:r>
          </w:p>
        </w:tc>
      </w:tr>
      <w:tr>
        <w:tc>
          <w:tcPr/>
          <w:p>
            <w:pPr>
              <w:pStyle w:val="Compact"/>
              <w:jc w:val="left"/>
            </w:pPr>
            <w:r>
              <w:t xml:space="preserve">Isolated leaf</w:t>
            </w:r>
          </w:p>
        </w:tc>
        <w:tc>
          <w:tcPr/>
          <w:p>
            <w:pPr>
              <w:pStyle w:val="Compact"/>
              <w:jc w:val="left"/>
            </w:pPr>
            <w:r>
              <w:t xml:space="preserve">1</w:t>
            </w:r>
          </w:p>
        </w:tc>
      </w:tr>
    </w:tbl>
    <w:p>
      <w:pPr>
        <w:pStyle w:val="BodyText"/>
      </w:pPr>
      <w:r>
        <w:rPr>
          <w:bCs/>
          <w:b/>
        </w:rPr>
        <w:t xml:space="preserve">Negative dependency:</w:t>
      </w:r>
      <w:r>
        <w:t xml:space="preserve"> </w:t>
      </w:r>
      <w:r>
        <w:t xml:space="preserve">System is</w:t>
      </w:r>
      <w:r>
        <w:t xml:space="preserve"> </w:t>
      </w:r>
      <w:r>
        <w:rPr>
          <w:bCs/>
          <w:b/>
        </w:rPr>
        <w:t xml:space="preserve">only</w:t>
      </w:r>
      <w:r>
        <w:t xml:space="preserve"> </w:t>
      </w:r>
      <w:r>
        <w:t xml:space="preserve">dependent — does not block others. High T, low A — Wave 1 candidate after Wave 0 clears blockers.</w:t>
      </w:r>
    </w:p>
    <w:p>
      <w:pPr>
        <w:pStyle w:val="BodyText"/>
      </w:pPr>
      <w:r>
        <w:rPr>
          <w:bCs/>
          <w:b/>
        </w:rPr>
        <w:t xml:space="preserve">Positive dependency (blocking):</w:t>
      </w:r>
      <w:r>
        <w:t xml:space="preserve"> </w:t>
      </w:r>
      <w:r>
        <w:t xml:space="preserve">System blocks others. May have moderate T but</w:t>
      </w:r>
      <w:r>
        <w:t xml:space="preserve"> </w:t>
      </w:r>
      <w:r>
        <w:rPr>
          <w:bCs/>
          <w:b/>
        </w:rPr>
        <w:t xml:space="preserve">Wave 0</w:t>
      </w:r>
      <w:r>
        <w:t xml:space="preserve"> </w:t>
      </w:r>
      <w:r>
        <w:t xml:space="preserve">via CDG override — GlobalSync partner policy exemplar.</w:t>
      </w:r>
    </w:p>
    <w:p>
      <w:r>
        <w:pict>
          <v:rect style="width:0;height:1.5pt" o:hralign="center" o:hrstd="t" o:hr="t"/>
        </w:pict>
      </w:r>
    </w:p>
    <w:bookmarkEnd w:id="67"/>
    <w:bookmarkStart w:id="68" w:name="ecosystem-readiness-deep-dive"/>
    <w:p>
      <w:pPr>
        <w:pStyle w:val="Heading2"/>
      </w:pPr>
      <w:r>
        <w:t xml:space="preserve">9.37 Ecosystem Readiness Deep Dive</w:t>
      </w:r>
    </w:p>
    <w:p>
      <w:pPr>
        <w:pStyle w:val="FirstParagraph"/>
      </w:pPr>
      <w:r>
        <w:t xml:space="preserve">E dimension gates production — low E is not low priority for</w:t>
      </w:r>
      <w:r>
        <w:t xml:space="preserve"> </w:t>
      </w:r>
      <w:r>
        <w:rPr>
          <w:bCs/>
          <w:b/>
        </w:rPr>
        <w:t xml:space="preserve">planning</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w:t>
            </w:r>
          </w:p>
        </w:tc>
        <w:tc>
          <w:tcPr/>
          <w:p>
            <w:pPr>
              <w:pStyle w:val="Compact"/>
              <w:jc w:val="left"/>
            </w:pPr>
            <w:r>
              <w:t xml:space="preserve">Vendor/partner state</w:t>
            </w:r>
          </w:p>
        </w:tc>
        <w:tc>
          <w:tcPr/>
          <w:p>
            <w:pPr>
              <w:pStyle w:val="Compact"/>
              <w:jc w:val="left"/>
            </w:pPr>
            <w:r>
              <w:t xml:space="preserve">Programme action</w:t>
            </w:r>
          </w:p>
        </w:tc>
      </w:tr>
      <w:tr>
        <w:tc>
          <w:tcPr/>
          <w:p>
            <w:pPr>
              <w:pStyle w:val="Compact"/>
              <w:jc w:val="left"/>
            </w:pPr>
            <w:r>
              <w:t xml:space="preserve">5</w:t>
            </w:r>
          </w:p>
        </w:tc>
        <w:tc>
          <w:tcPr/>
          <w:p>
            <w:pPr>
              <w:pStyle w:val="Compact"/>
              <w:jc w:val="left"/>
            </w:pPr>
            <w:r>
              <w:t xml:space="preserve">GA, validated in prod</w:t>
            </w:r>
          </w:p>
        </w:tc>
        <w:tc>
          <w:tcPr/>
          <w:p>
            <w:pPr>
              <w:pStyle w:val="Compact"/>
              <w:jc w:val="left"/>
            </w:pPr>
            <w:r>
              <w:t xml:space="preserve">Deploy PQC-native or H2</w:t>
            </w:r>
          </w:p>
        </w:tc>
      </w:tr>
      <w:tr>
        <w:tc>
          <w:tcPr/>
          <w:p>
            <w:pPr>
              <w:pStyle w:val="Compact"/>
              <w:jc w:val="left"/>
            </w:pPr>
            <w:r>
              <w:t xml:space="preserve">4</w:t>
            </w:r>
          </w:p>
        </w:tc>
        <w:tc>
          <w:tcPr/>
          <w:p>
            <w:pPr>
              <w:pStyle w:val="Compact"/>
              <w:jc w:val="left"/>
            </w:pPr>
            <w:r>
              <w:t xml:space="preserve">Hybrid production-ready</w:t>
            </w:r>
          </w:p>
        </w:tc>
        <w:tc>
          <w:tcPr/>
          <w:p>
            <w:pPr>
              <w:pStyle w:val="Compact"/>
              <w:jc w:val="left"/>
            </w:pPr>
            <w:r>
              <w:t xml:space="preserve">H1 with H2 trigger</w:t>
            </w:r>
          </w:p>
        </w:tc>
      </w:tr>
      <w:tr>
        <w:tc>
          <w:tcPr/>
          <w:p>
            <w:pPr>
              <w:pStyle w:val="Compact"/>
              <w:jc w:val="left"/>
            </w:pPr>
            <w:r>
              <w:t xml:space="preserve">3</w:t>
            </w:r>
          </w:p>
        </w:tc>
        <w:tc>
          <w:tcPr/>
          <w:p>
            <w:pPr>
              <w:pStyle w:val="Compact"/>
              <w:jc w:val="left"/>
            </w:pPr>
            <w:r>
              <w:t xml:space="preserve">Pilot / limited prod</w:t>
            </w:r>
          </w:p>
        </w:tc>
        <w:tc>
          <w:tcPr/>
          <w:p>
            <w:pPr>
              <w:pStyle w:val="Compact"/>
              <w:jc w:val="left"/>
            </w:pPr>
            <w:r>
              <w:t xml:space="preserve">H1 pilot only</w:t>
            </w:r>
          </w:p>
        </w:tc>
      </w:tr>
      <w:tr>
        <w:tc>
          <w:tcPr/>
          <w:p>
            <w:pPr>
              <w:pStyle w:val="Compact"/>
              <w:jc w:val="left"/>
            </w:pPr>
            <w:r>
              <w:t xml:space="preserve">2</w:t>
            </w:r>
          </w:p>
        </w:tc>
        <w:tc>
          <w:tcPr/>
          <w:p>
            <w:pPr>
              <w:pStyle w:val="Compact"/>
              <w:jc w:val="left"/>
            </w:pPr>
            <w:r>
              <w:t xml:space="preserve">Roadmap</w:t>
            </w:r>
          </w:p>
        </w:tc>
        <w:tc>
          <w:tcPr/>
          <w:p>
            <w:pPr>
              <w:pStyle w:val="Compact"/>
              <w:jc w:val="left"/>
            </w:pPr>
            <w:r>
              <w:t xml:space="preserve">Architecture, vendor escalation, Wave 0 negotiation</w:t>
            </w:r>
          </w:p>
        </w:tc>
      </w:tr>
      <w:tr>
        <w:tc>
          <w:tcPr/>
          <w:p>
            <w:pPr>
              <w:pStyle w:val="Compact"/>
              <w:jc w:val="left"/>
            </w:pPr>
            <w:r>
              <w:t xml:space="preserve">1</w:t>
            </w:r>
          </w:p>
        </w:tc>
        <w:tc>
          <w:tcPr/>
          <w:p>
            <w:pPr>
              <w:pStyle w:val="Compact"/>
              <w:jc w:val="left"/>
            </w:pPr>
            <w:r>
              <w:t xml:space="preserve">No path</w:t>
            </w:r>
          </w:p>
        </w:tc>
        <w:tc>
          <w:tcPr/>
          <w:p>
            <w:pPr>
              <w:pStyle w:val="Compact"/>
              <w:jc w:val="left"/>
            </w:pPr>
            <w:r>
              <w:t xml:space="preserve">Defer; compensating controls; refresh planning</w:t>
            </w:r>
          </w:p>
        </w:tc>
      </w:tr>
    </w:tbl>
    <w:p>
      <w:pPr>
        <w:pStyle w:val="BodyText"/>
      </w:pPr>
      <w:r>
        <w:rPr>
          <w:bCs/>
          <w:b/>
        </w:rPr>
        <w:t xml:space="preserve">Partner ecosystem:</w:t>
      </w:r>
      <w:r>
        <w:t xml:space="preserve"> </w:t>
      </w:r>
      <w:r>
        <w:t xml:space="preserve">E score for consumer microservice</w:t>
      </w:r>
      <w:r>
        <w:t xml:space="preserve"> </w:t>
      </w:r>
      <w:r>
        <w:rPr>
          <w:bCs/>
          <w:b/>
        </w:rPr>
        <w:t xml:space="preserve">cannot exceed</w:t>
      </w:r>
      <w:r>
        <w:t xml:space="preserve"> </w:t>
      </w:r>
      <w:r>
        <w:t xml:space="preserve">partner policy E score for mutual TLS — consumer E capped by minimum partner readiness along CDG path.</w:t>
      </w:r>
    </w:p>
    <w:p>
      <w:r>
        <w:pict>
          <v:rect style="width:0;height:1.5pt" o:hralign="center" o:hrstd="t" o:hr="t"/>
        </w:pict>
      </w:r>
    </w:p>
    <w:bookmarkEnd w:id="68"/>
    <w:bookmarkStart w:id="69" w:name="wave-exit-criteria-and-completion-gates"/>
    <w:p>
      <w:pPr>
        <w:pStyle w:val="Heading2"/>
      </w:pPr>
      <w:r>
        <w:t xml:space="preserve">9.38 Wave Exit Criteria and Completion Gates</w:t>
      </w:r>
    </w:p>
    <w:p>
      <w:pPr>
        <w:pStyle w:val="FirstParagraph"/>
      </w:pPr>
      <w:r>
        <w:t xml:space="preserve">Each wave requires</w:t>
      </w:r>
      <w:r>
        <w:t xml:space="preserve"> </w:t>
      </w:r>
      <w:r>
        <w:rPr>
          <w:bCs/>
          <w:b/>
        </w:rPr>
        <w:t xml:space="preserve">measurable exit criteria</w:t>
      </w:r>
      <w:r>
        <w:t xml:space="preserve"> </w:t>
      </w:r>
      <w:r>
        <w:t xml:space="preserve">— not</w:t>
      </w:r>
      <w:r>
        <w:t xml:space="preserve"> </w:t>
      </w:r>
      <w:r>
        <w:t xml:space="preserve">“</w:t>
      </w:r>
      <w:r>
        <w:t xml:space="preserve">migration complete</w:t>
      </w:r>
      <w:r>
        <w:t xml:space="preserve">”</w:t>
      </w:r>
      <w:r>
        <w:t xml:space="preserve"> </w:t>
      </w:r>
      <w:r>
        <w:t xml:space="preserve">narrative:</w:t>
      </w:r>
    </w:p>
    <w:p>
      <w:pPr>
        <w:pStyle w:val="BodyText"/>
      </w:pPr>
      <w:r>
        <w:rPr>
          <w:bCs/>
          <w:b/>
        </w:rPr>
        <w:t xml:space="preserve">Table 9.3 — Wave Exit Criteria Template</w:t>
      </w:r>
    </w:p>
    <w:tbl>
      <w:tblPr>
        <w:tblStyle w:val="Table"/>
        <w:tblW w:type="pct" w:w="5000"/>
        <w:tblLook w:firstRow="1" w:lastRow="0" w:firstColumn="0" w:lastColumn="0" w:noHBand="0" w:noVBand="0" w:val="0020"/>
        <w:jc w:val="start"/>
      </w:tblPr>
      <w:tblGrid>
        <w:gridCol w:w="2754"/>
        <w:gridCol w:w="2754"/>
        <w:gridCol w:w="2410"/>
      </w:tblGrid>
      <w:tr>
        <w:trPr>
          <w:tblHeader w:val="true"/>
        </w:trPr>
        <w:tc>
          <w:tcPr/>
          <w:p>
            <w:pPr>
              <w:pStyle w:val="Compact"/>
              <w:jc w:val="left"/>
            </w:pPr>
            <w:r>
              <w:t xml:space="preserve">Criterion type</w:t>
            </w:r>
          </w:p>
        </w:tc>
        <w:tc>
          <w:tcPr/>
          <w:p>
            <w:pPr>
              <w:pStyle w:val="Compact"/>
              <w:jc w:val="left"/>
            </w:pPr>
            <w:r>
              <w:t xml:space="preserve">Example metric</w:t>
            </w:r>
          </w:p>
        </w:tc>
        <w:tc>
          <w:tcPr/>
          <w:p>
            <w:pPr>
              <w:pStyle w:val="Compact"/>
              <w:jc w:val="left"/>
            </w:pPr>
            <w:r>
              <w:t xml:space="preserve">Verification</w:t>
            </w:r>
          </w:p>
        </w:tc>
      </w:tr>
      <w:tr>
        <w:tc>
          <w:tcPr/>
          <w:p>
            <w:pPr>
              <w:pStyle w:val="Compact"/>
              <w:jc w:val="left"/>
            </w:pPr>
            <w:r>
              <w:t xml:space="preserve">Coverage</w:t>
            </w:r>
          </w:p>
        </w:tc>
        <w:tc>
          <w:tcPr/>
          <w:p>
            <w:pPr>
              <w:pStyle w:val="Compact"/>
              <w:jc w:val="left"/>
            </w:pPr>
            <w:r>
              <w:t xml:space="preserve">100% in-scope systems migrated or deferred with approval</w:t>
            </w:r>
          </w:p>
        </w:tc>
        <w:tc>
          <w:tcPr/>
          <w:p>
            <w:pPr>
              <w:pStyle w:val="Compact"/>
              <w:jc w:val="left"/>
            </w:pPr>
            <w:r>
              <w:t xml:space="preserve">CBOM</w:t>
            </w:r>
            <w:r>
              <w:t xml:space="preserve"> </w:t>
            </w:r>
            <w:r>
              <w:rPr>
                <w:rStyle w:val="VerbatimChar"/>
              </w:rPr>
              <w:t xml:space="preserve">hlm_phase</w:t>
            </w:r>
          </w:p>
        </w:tc>
      </w:tr>
      <w:tr>
        <w:tc>
          <w:tcPr/>
          <w:p>
            <w:pPr>
              <w:pStyle w:val="Compact"/>
              <w:jc w:val="left"/>
            </w:pPr>
            <w:r>
              <w:t xml:space="preserve">Blocking resolution</w:t>
            </w:r>
          </w:p>
        </w:tc>
        <w:tc>
          <w:tcPr/>
          <w:p>
            <w:pPr>
              <w:pStyle w:val="Compact"/>
              <w:jc w:val="left"/>
            </w:pPr>
            <w:r>
              <w:t xml:space="preserve">Fan-in on Wave 0 nodes reduced to agreed threshold</w:t>
            </w:r>
          </w:p>
        </w:tc>
        <w:tc>
          <w:tcPr/>
          <w:p>
            <w:pPr>
              <w:pStyle w:val="Compact"/>
              <w:jc w:val="left"/>
            </w:pPr>
            <w:r>
              <w:t xml:space="preserve">CDG query</w:t>
            </w:r>
          </w:p>
        </w:tc>
      </w:tr>
      <w:tr>
        <w:tc>
          <w:tcPr/>
          <w:p>
            <w:pPr>
              <w:pStyle w:val="Compact"/>
              <w:jc w:val="left"/>
            </w:pPr>
            <w:r>
              <w:t xml:space="preserve">Ecosystem</w:t>
            </w:r>
          </w:p>
        </w:tc>
        <w:tc>
          <w:tcPr/>
          <w:p>
            <w:pPr>
              <w:pStyle w:val="Compact"/>
              <w:jc w:val="left"/>
            </w:pPr>
            <w:r>
              <w:t xml:space="preserve">Partner acceptance ≥ 85% for affected integrations</w:t>
            </w:r>
          </w:p>
        </w:tc>
        <w:tc>
          <w:tcPr/>
          <w:p>
            <w:pPr>
              <w:pStyle w:val="Compact"/>
              <w:jc w:val="left"/>
            </w:pPr>
            <w:r>
              <w:t xml:space="preserve">Partner programme</w:t>
            </w:r>
          </w:p>
        </w:tc>
      </w:tr>
      <w:tr>
        <w:tc>
          <w:tcPr/>
          <w:p>
            <w:pPr>
              <w:pStyle w:val="Compact"/>
              <w:jc w:val="left"/>
            </w:pPr>
            <w:r>
              <w:t xml:space="preserve">Policy</w:t>
            </w:r>
          </w:p>
        </w:tc>
        <w:tc>
          <w:tcPr/>
          <w:p>
            <w:pPr>
              <w:pStyle w:val="Compact"/>
              <w:jc w:val="left"/>
            </w:pPr>
            <w:r>
              <w:t xml:space="preserve">Zero new classical-only deploys in wave scope</w:t>
            </w:r>
          </w:p>
        </w:tc>
        <w:tc>
          <w:tcPr/>
          <w:p>
            <w:pPr>
              <w:pStyle w:val="Compact"/>
              <w:jc w:val="left"/>
            </w:pPr>
            <w:r>
              <w:t xml:space="preserve">Change tickets</w:t>
            </w:r>
          </w:p>
        </w:tc>
      </w:tr>
      <w:tr>
        <w:tc>
          <w:tcPr/>
          <w:p>
            <w:pPr>
              <w:pStyle w:val="Compact"/>
              <w:jc w:val="left"/>
            </w:pPr>
            <w:r>
              <w:t xml:space="preserve">Audit</w:t>
            </w:r>
          </w:p>
        </w:tc>
        <w:tc>
          <w:tcPr/>
          <w:p>
            <w:pPr>
              <w:pStyle w:val="Compact"/>
              <w:jc w:val="left"/>
            </w:pPr>
            <w:r>
              <w:t xml:space="preserve">TRADE worksheets archived for all wave members</w:t>
            </w:r>
          </w:p>
        </w:tc>
        <w:tc>
          <w:tcPr/>
          <w:p>
            <w:pPr>
              <w:pStyle w:val="Compact"/>
              <w:jc w:val="left"/>
            </w:pPr>
            <w:r>
              <w:t xml:space="preserve">GRC export</w:t>
            </w:r>
          </w:p>
        </w:tc>
      </w:tr>
    </w:tbl>
    <w:p>
      <w:pPr>
        <w:pStyle w:val="BodyText"/>
      </w:pPr>
      <w:r>
        <w:rPr>
          <w:bCs/>
          <w:b/>
        </w:rPr>
        <w:t xml:space="preserve">Meridian Wave 0 exit:</w:t>
      </w:r>
      <w:r>
        <w:t xml:space="preserve"> </w:t>
      </w:r>
      <w:r>
        <w:t xml:space="preserve">Manufacturing root dual-trust operational; payment HSM firmware dual-signature in production; card-scheme policy negotiation memorandum signed — three gates, not single technical milestone.</w:t>
      </w:r>
    </w:p>
    <w:p>
      <w:pPr>
        <w:pStyle w:val="BodyText"/>
      </w:pPr>
      <w:r>
        <w:rPr>
          <w:bCs/>
          <w:b/>
        </w:rPr>
        <w:t xml:space="preserve">GlobalSync Wave 0 exit:</w:t>
      </w:r>
      <w:r>
        <w:t xml:space="preserve"> </w:t>
      </w:r>
      <w:r>
        <w:t xml:space="preserve">Partner acceptance 85%; mesh root hybrid profile in staging validated across 50 namespace sample; tenant KMS partition policy updated.</w:t>
      </w:r>
    </w:p>
    <w:p>
      <w:pPr>
        <w:pStyle w:val="BodyText"/>
      </w:pPr>
      <w:r>
        <w:t xml:space="preserve">Failed exit criteria</w:t>
      </w:r>
      <w:r>
        <w:t xml:space="preserve"> </w:t>
      </w:r>
      <w:r>
        <w:rPr>
          <w:bCs/>
          <w:b/>
        </w:rPr>
        <w:t xml:space="preserve">extend wave</w:t>
      </w:r>
      <w:r>
        <w:t xml:space="preserve"> </w:t>
      </w:r>
      <w:r>
        <w:t xml:space="preserve">— do not silently roll incomplete items to next wave without steering approval. Meridian extended Wave 0 by one quarter when terminal trust store update reached 78% not 95% target.</w:t>
      </w:r>
    </w:p>
    <w:p>
      <w:r>
        <w:pict>
          <v:rect style="width:0;height:1.5pt" o:hralign="center" o:hrstd="t" o:hr="t"/>
        </w:pict>
      </w:r>
    </w:p>
    <w:bookmarkEnd w:id="69"/>
    <w:bookmarkStart w:id="72" w:name="Xb4fbbbf5af62e5d0cbce8da4d727f8b28a867d6"/>
    <w:p>
      <w:pPr>
        <w:pStyle w:val="Heading2"/>
      </w:pPr>
      <w:r>
        <w:t xml:space="preserve">9.39 Threat and Data Longevity Dimension Deep Dives</w:t>
      </w:r>
    </w:p>
    <w:bookmarkStart w:id="70" w:name="threat-t-extended-guidance"/>
    <w:p>
      <w:pPr>
        <w:pStyle w:val="Heading3"/>
      </w:pPr>
      <w:r>
        <w:t xml:space="preserve">Threat (T) — extended guidance</w:t>
      </w:r>
    </w:p>
    <w:p>
      <w:pPr>
        <w:pStyle w:val="FirstParagraph"/>
      </w:pPr>
      <w:r>
        <w:t xml:space="preserve">Align T scoring with Chapter 2 TES workshop outputs. Additional rules:</w:t>
      </w:r>
    </w:p>
    <w:tbl>
      <w:tblPr>
        <w:tblStyle w:val="Table"/>
        <w:tblW w:type="pct" w:w="5000"/>
        <w:tblLook w:firstRow="1" w:lastRow="0" w:firstColumn="0" w:lastColumn="0" w:noHBand="0" w:noVBand="0" w:val="0020"/>
        <w:jc w:val="start"/>
      </w:tblPr>
      <w:tblGrid>
        <w:gridCol w:w="3484"/>
        <w:gridCol w:w="4435"/>
      </w:tblGrid>
      <w:tr>
        <w:trPr>
          <w:tblHeader w:val="true"/>
        </w:trPr>
        <w:tc>
          <w:tcPr/>
          <w:p>
            <w:pPr>
              <w:pStyle w:val="Compact"/>
              <w:jc w:val="left"/>
            </w:pPr>
            <w:r>
              <w:t xml:space="preserve">Situation</w:t>
            </w:r>
          </w:p>
        </w:tc>
        <w:tc>
          <w:tcPr/>
          <w:p>
            <w:pPr>
              <w:pStyle w:val="Compact"/>
              <w:jc w:val="left"/>
            </w:pPr>
            <w:r>
              <w:t xml:space="preserve">T adjustment</w:t>
            </w:r>
          </w:p>
        </w:tc>
      </w:tr>
      <w:tr>
        <w:tc>
          <w:tcPr/>
          <w:p>
            <w:pPr>
              <w:pStyle w:val="Compact"/>
              <w:jc w:val="left"/>
            </w:pPr>
            <w:r>
              <w:t xml:space="preserve">Public internet exposure</w:t>
            </w:r>
          </w:p>
        </w:tc>
        <w:tc>
          <w:tcPr/>
          <w:p>
            <w:pPr>
              <w:pStyle w:val="Compact"/>
              <w:jc w:val="left"/>
            </w:pPr>
            <w:r>
              <w:t xml:space="preserve">+1 (max 5)</w:t>
            </w:r>
          </w:p>
        </w:tc>
      </w:tr>
      <w:tr>
        <w:tc>
          <w:tcPr/>
          <w:p>
            <w:pPr>
              <w:pStyle w:val="Compact"/>
              <w:jc w:val="left"/>
            </w:pPr>
            <w:r>
              <w:t xml:space="preserve">Air-gapped OT</w:t>
            </w:r>
          </w:p>
        </w:tc>
        <w:tc>
          <w:tcPr/>
          <w:p>
            <w:pPr>
              <w:pStyle w:val="Compact"/>
              <w:jc w:val="left"/>
            </w:pPr>
            <w:r>
              <w:t xml:space="preserve">Base TES; integrity may dominate</w:t>
            </w:r>
          </w:p>
        </w:tc>
      </w:tr>
      <w:tr>
        <w:tc>
          <w:tcPr/>
          <w:p>
            <w:pPr>
              <w:pStyle w:val="Compact"/>
              <w:jc w:val="left"/>
            </w:pPr>
            <w:r>
              <w:t xml:space="preserve">Aggregated multi-tenant data</w:t>
            </w:r>
          </w:p>
        </w:tc>
        <w:tc>
          <w:tcPr/>
          <w:p>
            <w:pPr>
              <w:pStyle w:val="Compact"/>
              <w:jc w:val="left"/>
            </w:pPr>
            <w:r>
              <w:t xml:space="preserve">Use highest tenant classification</w:t>
            </w:r>
          </w:p>
        </w:tc>
      </w:tr>
      <w:tr>
        <w:tc>
          <w:tcPr/>
          <w:p>
            <w:pPr>
              <w:pStyle w:val="Compact"/>
              <w:jc w:val="left"/>
            </w:pPr>
            <w:r>
              <w:t xml:space="preserve">Ephemeral session keys only</w:t>
            </w:r>
          </w:p>
        </w:tc>
        <w:tc>
          <w:tcPr/>
          <w:p>
            <w:pPr>
              <w:pStyle w:val="Compact"/>
              <w:jc w:val="left"/>
            </w:pPr>
            <w:r>
              <w:t xml:space="preserve">Cap T at 3 unless long-lived derived keys</w:t>
            </w:r>
          </w:p>
        </w:tc>
      </w:tr>
    </w:tbl>
    <w:p>
      <w:pPr>
        <w:pStyle w:val="BodyText"/>
      </w:pPr>
      <w:r>
        <w:rPr>
          <w:bCs/>
          <w:b/>
        </w:rPr>
        <w:t xml:space="preserve">Document</w:t>
      </w:r>
      <w:r>
        <w:t xml:space="preserve"> </w:t>
      </w:r>
      <w:r>
        <w:rPr>
          <w:rStyle w:val="VerbatimChar"/>
        </w:rPr>
        <w:t xml:space="preserve">threat_actor_basis</w:t>
      </w:r>
      <w:r>
        <w:t xml:space="preserve"> </w:t>
      </w:r>
      <w:r>
        <w:t xml:space="preserve">and</w:t>
      </w:r>
      <w:r>
        <w:t xml:space="preserve"> </w:t>
      </w:r>
      <w:r>
        <w:rPr>
          <w:rStyle w:val="VerbatimChar"/>
        </w:rPr>
        <w:t xml:space="preserve">tes_rationale</w:t>
      </w:r>
      <w:r>
        <w:t xml:space="preserve"> </w:t>
      </w:r>
      <w:r>
        <w:t xml:space="preserve">on every worksheet — Meridian auditors sampled 10% annually.</w:t>
      </w:r>
    </w:p>
    <w:bookmarkEnd w:id="70"/>
    <w:bookmarkStart w:id="71" w:name="data-longevity-d-extended-guidance"/>
    <w:p>
      <w:pPr>
        <w:pStyle w:val="Heading3"/>
      </w:pPr>
      <w:r>
        <w:t xml:space="preserve">Data longevity (D) — extended guidance</w:t>
      </w:r>
    </w:p>
    <w:p>
      <w:pPr>
        <w:pStyle w:val="FirstParagraph"/>
      </w:pPr>
      <w:r>
        <w:t xml:space="preserve">Map</w:t>
      </w:r>
      <w:r>
        <w:t xml:space="preserve"> </w:t>
      </w:r>
      <w:r>
        <w:rPr>
          <w:rStyle w:val="VerbatimChar"/>
        </w:rPr>
        <w:t xml:space="preserve">confidentiality_horizon_years</w:t>
      </w:r>
      <w:r>
        <w:t xml:space="preserve"> </w:t>
      </w:r>
      <w:r>
        <w:t xml:space="preserve">from CBOM to D score (§9.3.4). Special cases: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Data type</w:t>
            </w:r>
          </w:p>
        </w:tc>
        <w:tc>
          <w:tcPr/>
          <w:p>
            <w:pPr>
              <w:pStyle w:val="Compact"/>
              <w:jc w:val="left"/>
            </w:pPr>
            <w:r>
              <w:t xml:space="preserve">Horizon consideration</w:t>
            </w:r>
          </w:p>
        </w:tc>
      </w:tr>
      <w:tr>
        <w:tc>
          <w:tcPr/>
          <w:p>
            <w:pPr>
              <w:pStyle w:val="Compact"/>
              <w:jc w:val="left"/>
            </w:pPr>
            <w:r>
              <w:t xml:space="preserve">Backup tapes</w:t>
            </w:r>
          </w:p>
        </w:tc>
        <w:tc>
          <w:tcPr/>
          <w:p>
            <w:pPr>
              <w:pStyle w:val="Compact"/>
              <w:jc w:val="left"/>
            </w:pPr>
            <w:r>
              <w:t xml:space="preserve">Retention policy years, not last access</w:t>
            </w:r>
          </w:p>
        </w:tc>
      </w:tr>
      <w:tr>
        <w:tc>
          <w:tcPr/>
          <w:p>
            <w:pPr>
              <w:pStyle w:val="Compact"/>
              <w:jc w:val="left"/>
            </w:pPr>
            <w:r>
              <w:t xml:space="preserve">Legal hold archives</w:t>
            </w:r>
          </w:p>
        </w:tc>
        <w:tc>
          <w:tcPr/>
          <w:p>
            <w:pPr>
              <w:pStyle w:val="Compact"/>
              <w:jc w:val="left"/>
            </w:pPr>
            <w:r>
              <w:t xml:space="preserve">Hold duration may exceed retention</w:t>
            </w:r>
          </w:p>
        </w:tc>
      </w:tr>
      <w:tr>
        <w:tc>
          <w:tcPr/>
          <w:p>
            <w:pPr>
              <w:pStyle w:val="Compact"/>
              <w:jc w:val="left"/>
            </w:pPr>
            <w:r>
              <w:t xml:space="preserve">Aggregated analytics</w:t>
            </w:r>
          </w:p>
        </w:tc>
        <w:tc>
          <w:tcPr/>
          <w:p>
            <w:pPr>
              <w:pStyle w:val="Compact"/>
              <w:jc w:val="left"/>
            </w:pPr>
            <w:r>
              <w:t xml:space="preserve">Re-identification risk may extend horizon</w:t>
            </w:r>
          </w:p>
        </w:tc>
      </w:tr>
      <w:tr>
        <w:tc>
          <w:tcPr/>
          <w:p>
            <w:pPr>
              <w:pStyle w:val="Compact"/>
              <w:jc w:val="left"/>
            </w:pPr>
            <w:r>
              <w:t xml:space="preserve">OT historian</w:t>
            </w:r>
          </w:p>
        </w:tc>
        <w:tc>
          <w:tcPr/>
          <w:p>
            <w:pPr>
              <w:pStyle w:val="Compact"/>
              <w:jc w:val="left"/>
            </w:pPr>
            <w:r>
              <w:t xml:space="preserve">Operational lifespan of asset (30+ years common)</w:t>
            </w:r>
          </w:p>
        </w:tc>
      </w:tr>
    </w:tbl>
    <w:p>
      <w:pPr>
        <w:pStyle w:val="BodyText"/>
      </w:pPr>
      <w:r>
        <w:t xml:space="preserve">Northfield historian D = 5 drove Wave 1 membership despite WAN Wave 0 dependency — TRADE dimensions identify urgency; CDG identifies sequence.</w:t>
      </w:r>
    </w:p>
    <w:p>
      <w:r>
        <w:pict>
          <v:rect style="width:0;height:1.5pt" o:hralign="center" o:hrstd="t" o:hr="t"/>
        </w:pict>
      </w:r>
    </w:p>
    <w:bookmarkEnd w:id="71"/>
    <w:bookmarkEnd w:id="72"/>
    <w:bookmarkStart w:id="73" w:name="X95acd5994b94085f0457acec09af591f5fb4b01"/>
    <w:p>
      <w:pPr>
        <w:pStyle w:val="Heading2"/>
      </w:pPr>
      <w:r>
        <w:t xml:space="preserve">9.40 Worked Example: Northfield VPN Concentrator Wave 0</w:t>
      </w:r>
    </w:p>
    <w:p>
      <w:pPr>
        <w:pStyle w:val="FirstParagraph"/>
      </w:pPr>
      <w:r>
        <w:t xml:space="preserve">Full worksheet for</w:t>
      </w:r>
      <w:r>
        <w:t xml:space="preserve"> </w:t>
      </w:r>
      <w:r>
        <w:rPr>
          <w:rStyle w:val="VerbatimChar"/>
        </w:rPr>
        <w:t xml:space="preserve">wan-concentrator-cluster-NE</w:t>
      </w:r>
      <w:r>
        <w:t xml:space="preserve"> </w:t>
      </w:r>
      <w:r>
        <w:t xml:space="preserve">— structural blocker, moderate MPI: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Rationale</w:t>
            </w:r>
          </w:p>
        </w:tc>
      </w:tr>
      <w:tr>
        <w:tc>
          <w:tcPr/>
          <w:p>
            <w:pPr>
              <w:pStyle w:val="Compact"/>
              <w:jc w:val="left"/>
            </w:pPr>
            <w:r>
              <w:t xml:space="preserve">T</w:t>
            </w:r>
          </w:p>
        </w:tc>
        <w:tc>
          <w:tcPr/>
          <w:p>
            <w:pPr>
              <w:pStyle w:val="Compact"/>
              <w:jc w:val="left"/>
            </w:pPr>
            <w:r>
              <w:t xml:space="preserve">4</w:t>
            </w:r>
          </w:p>
        </w:tc>
        <w:tc>
          <w:tcPr/>
          <w:p>
            <w:pPr>
              <w:pStyle w:val="Compact"/>
              <w:jc w:val="left"/>
            </w:pPr>
            <w:r>
              <w:t xml:space="preserve">OT operational data transits WAN</w:t>
            </w:r>
          </w:p>
        </w:tc>
      </w:tr>
      <w:tr>
        <w:tc>
          <w:tcPr/>
          <w:p>
            <w:pPr>
              <w:pStyle w:val="Compact"/>
              <w:jc w:val="left"/>
            </w:pPr>
            <w:r>
              <w:t xml:space="preserve">R</w:t>
            </w:r>
          </w:p>
        </w:tc>
        <w:tc>
          <w:tcPr/>
          <w:p>
            <w:pPr>
              <w:pStyle w:val="Compact"/>
              <w:jc w:val="left"/>
            </w:pPr>
            <w:r>
              <w:t xml:space="preserve">4</w:t>
            </w:r>
          </w:p>
        </w:tc>
        <w:tc>
          <w:tcPr/>
          <w:p>
            <w:pPr>
              <w:pStyle w:val="Compact"/>
              <w:jc w:val="left"/>
            </w:pPr>
            <w:r>
              <w:t xml:space="preserve">NIS2 essential entity</w:t>
            </w:r>
          </w:p>
        </w:tc>
      </w:tr>
      <w:tr>
        <w:tc>
          <w:tcPr/>
          <w:p>
            <w:pPr>
              <w:pStyle w:val="Compact"/>
              <w:jc w:val="left"/>
            </w:pPr>
            <w:r>
              <w:t xml:space="preserve">A</w:t>
            </w:r>
          </w:p>
        </w:tc>
        <w:tc>
          <w:tcPr/>
          <w:p>
            <w:pPr>
              <w:pStyle w:val="Compact"/>
              <w:jc w:val="left"/>
            </w:pPr>
            <w:r>
              <w:t xml:space="preserve">5</w:t>
            </w:r>
          </w:p>
        </w:tc>
        <w:tc>
          <w:tcPr/>
          <w:p>
            <w:pPr>
              <w:pStyle w:val="Compact"/>
              <w:jc w:val="left"/>
            </w:pPr>
            <w:r>
              <w:t xml:space="preserve">14 sites, 1,200+ devices fan-in</w:t>
            </w:r>
          </w:p>
        </w:tc>
      </w:tr>
      <w:tr>
        <w:tc>
          <w:tcPr/>
          <w:p>
            <w:pPr>
              <w:pStyle w:val="Compact"/>
              <w:jc w:val="left"/>
            </w:pPr>
            <w:r>
              <w:t xml:space="preserve">D</w:t>
            </w:r>
          </w:p>
        </w:tc>
        <w:tc>
          <w:tcPr/>
          <w:p>
            <w:pPr>
              <w:pStyle w:val="Compact"/>
              <w:jc w:val="left"/>
            </w:pPr>
            <w:r>
              <w:t xml:space="preserve">3</w:t>
            </w:r>
          </w:p>
        </w:tc>
        <w:tc>
          <w:tcPr/>
          <w:p>
            <w:pPr>
              <w:pStyle w:val="Compact"/>
              <w:jc w:val="left"/>
            </w:pPr>
            <w:r>
              <w:t xml:space="preserve">Operational data 7-year retention</w:t>
            </w:r>
          </w:p>
        </w:tc>
      </w:tr>
      <w:tr>
        <w:tc>
          <w:tcPr/>
          <w:p>
            <w:pPr>
              <w:pStyle w:val="Compact"/>
              <w:jc w:val="left"/>
            </w:pPr>
            <w:r>
              <w:t xml:space="preserve">E</w:t>
            </w:r>
          </w:p>
        </w:tc>
        <w:tc>
          <w:tcPr/>
          <w:p>
            <w:pPr>
              <w:pStyle w:val="Compact"/>
              <w:jc w:val="left"/>
            </w:pPr>
            <w:r>
              <w:t xml:space="preserve">2</w:t>
            </w:r>
          </w:p>
        </w:tc>
        <w:tc>
          <w:tcPr/>
          <w:p>
            <w:pPr>
              <w:pStyle w:val="Compact"/>
              <w:jc w:val="left"/>
            </w:pPr>
            <w:r>
              <w:t xml:space="preserve">Vendor IKE hybrid roadmap Q3 2027</w:t>
            </w:r>
          </w:p>
        </w:tc>
      </w:tr>
    </w:tbl>
    <w:p>
      <w:pPr>
        <w:pStyle w:val="BodyText"/>
      </w:pPr>
      <w:r>
        <w:t xml:space="preserve">MPI = (1.5×4 + 1.25×4 + 1.25×5 + 1.0×3 + 0.75×2) / 5.75 =</w:t>
      </w:r>
      <w:r>
        <w:t xml:space="preserve"> </w:t>
      </w:r>
      <w:r>
        <w:rPr>
          <w:bCs/>
          <w:b/>
        </w:rPr>
        <w:t xml:space="preserve">3.87</w:t>
      </w:r>
    </w:p>
    <w:p>
      <w:pPr>
        <w:pStyle w:val="BodyText"/>
      </w:pPr>
      <w:r>
        <w:t xml:space="preserve">MPI suggests Wave 1 —</w:t>
      </w:r>
      <w:r>
        <w:t xml:space="preserve"> </w:t>
      </w:r>
      <w:r>
        <w:rPr>
          <w:bCs/>
          <w:b/>
        </w:rPr>
        <w:t xml:space="preserve">CDG override to Wave 0</w:t>
      </w:r>
      <w:r>
        <w:t xml:space="preserve"> </w:t>
      </w:r>
      <w:r>
        <w:t xml:space="preserve">documented:</w:t>
      </w:r>
      <w:r>
        <w:t xml:space="preserve"> </w:t>
      </w:r>
      <w:r>
        <w:rPr>
          <w:rStyle w:val="VerbatimChar"/>
        </w:rPr>
        <w:t xml:space="preserve">blocking: true</w:t>
      </w:r>
      <w:r>
        <w:t xml:space="preserve">,</w:t>
      </w:r>
      <w:r>
        <w:t xml:space="preserve"> </w:t>
      </w:r>
      <w:r>
        <w:rPr>
          <w:rStyle w:val="VerbatimChar"/>
        </w:rPr>
        <w:t xml:space="preserve">fan_in: 1247</w:t>
      </w:r>
      <w:r>
        <w:t xml:space="preserve">. Wave charter assigned €1.2M (</w:t>
      </w:r>
      <w:r>
        <w:rPr>
          <w:iCs/>
          <w:i/>
        </w:rPr>
        <w:t xml:space="preserve">illustrative</w:t>
      </w:r>
      <w:r>
        <w:t xml:space="preserve">) for concentrator firmware qualification programme.</w:t>
      </w:r>
    </w:p>
    <w:p>
      <w:pPr>
        <w:pStyle w:val="BodyText"/>
      </w:pPr>
      <w:r>
        <w:rPr>
          <w:bCs/>
          <w:b/>
        </w:rPr>
        <w:t xml:space="preserve">“</w:t>
      </w:r>
      <w:r>
        <w:rPr>
          <w:bCs/>
          <w:b/>
        </w:rPr>
        <w:t xml:space="preserve">Do not migrate yet</w:t>
      </w:r>
      <w:r>
        <w:rPr>
          <w:bCs/>
          <w:b/>
        </w:rPr>
        <w:t xml:space="preserve">”</w:t>
      </w:r>
      <w:r>
        <w:rPr>
          <w:bCs/>
          <w:b/>
        </w:rPr>
        <w:t xml:space="preserve">:</w:t>
      </w:r>
      <w:r>
        <w:t xml:space="preserve"> </w:t>
      </w:r>
      <w:r>
        <w:t xml:space="preserve">Individual compressor TLS endpoints — E = 1, dependent on concentrator — 340 systems on deferral register until Wave 0 exit.</w:t>
      </w:r>
    </w:p>
    <w:p>
      <w:r>
        <w:pict>
          <v:rect style="width:0;height:1.5pt" o:hralign="center" o:hrstd="t" o:hr="t"/>
        </w:pict>
      </w:r>
    </w:p>
    <w:bookmarkEnd w:id="73"/>
    <w:bookmarkStart w:id="74" w:name="Xa5a84f6f3ade8b75c8621d99bab1bbfca062d23"/>
    <w:p>
      <w:pPr>
        <w:pStyle w:val="Heading2"/>
      </w:pPr>
      <w:r>
        <w:t xml:space="preserve">9.41 Worked Example: Apex NSS Deliverable Signing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Rationale</w:t>
            </w:r>
          </w:p>
        </w:tc>
      </w:tr>
      <w:tr>
        <w:tc>
          <w:tcPr/>
          <w:p>
            <w:pPr>
              <w:pStyle w:val="Compact"/>
              <w:jc w:val="left"/>
            </w:pPr>
            <w:r>
              <w:t xml:space="preserve">T</w:t>
            </w:r>
          </w:p>
        </w:tc>
        <w:tc>
          <w:tcPr/>
          <w:p>
            <w:pPr>
              <w:pStyle w:val="Compact"/>
              <w:jc w:val="left"/>
            </w:pPr>
            <w:r>
              <w:t xml:space="preserve">4</w:t>
            </w:r>
          </w:p>
        </w:tc>
        <w:tc>
          <w:tcPr/>
          <w:p>
            <w:pPr>
              <w:pStyle w:val="Compact"/>
              <w:jc w:val="left"/>
            </w:pPr>
            <w:r>
              <w:t xml:space="preserve">Integrity-critical deliverables</w:t>
            </w:r>
          </w:p>
        </w:tc>
      </w:tr>
      <w:tr>
        <w:tc>
          <w:tcPr/>
          <w:p>
            <w:pPr>
              <w:pStyle w:val="Compact"/>
              <w:jc w:val="left"/>
            </w:pPr>
            <w:r>
              <w:t xml:space="preserve">R</w:t>
            </w:r>
          </w:p>
        </w:tc>
        <w:tc>
          <w:tcPr/>
          <w:p>
            <w:pPr>
              <w:pStyle w:val="Compact"/>
              <w:jc w:val="left"/>
            </w:pPr>
            <w:r>
              <w:t xml:space="preserve">5</w:t>
            </w:r>
          </w:p>
        </w:tc>
        <w:tc>
          <w:tcPr/>
          <w:p>
            <w:pPr>
              <w:pStyle w:val="Compact"/>
              <w:jc w:val="left"/>
            </w:pPr>
            <w:r>
              <w:t xml:space="preserve">CNSA flow-down, contract clause</w:t>
            </w:r>
          </w:p>
        </w:tc>
      </w:tr>
      <w:tr>
        <w:tc>
          <w:tcPr/>
          <w:p>
            <w:pPr>
              <w:pStyle w:val="Compact"/>
              <w:jc w:val="left"/>
            </w:pPr>
            <w:r>
              <w:t xml:space="preserve">A</w:t>
            </w:r>
          </w:p>
        </w:tc>
        <w:tc>
          <w:tcPr/>
          <w:p>
            <w:pPr>
              <w:pStyle w:val="Compact"/>
              <w:jc w:val="left"/>
            </w:pPr>
            <w:r>
              <w:t xml:space="preserve">5</w:t>
            </w:r>
          </w:p>
        </w:tc>
        <w:tc>
          <w:tcPr/>
          <w:p>
            <w:pPr>
              <w:pStyle w:val="Compact"/>
              <w:jc w:val="left"/>
            </w:pPr>
            <w:r>
              <w:t xml:space="preserve">All NSS deliverables fan-in</w:t>
            </w:r>
          </w:p>
        </w:tc>
      </w:tr>
      <w:tr>
        <w:tc>
          <w:tcPr/>
          <w:p>
            <w:pPr>
              <w:pStyle w:val="Compact"/>
              <w:jc w:val="left"/>
            </w:pPr>
            <w:r>
              <w:t xml:space="preserve">D</w:t>
            </w:r>
          </w:p>
        </w:tc>
        <w:tc>
          <w:tcPr/>
          <w:p>
            <w:pPr>
              <w:pStyle w:val="Compact"/>
              <w:jc w:val="left"/>
            </w:pPr>
            <w:r>
              <w:t xml:space="preserve">3</w:t>
            </w:r>
          </w:p>
        </w:tc>
        <w:tc>
          <w:tcPr/>
          <w:p>
            <w:pPr>
              <w:pStyle w:val="Compact"/>
              <w:jc w:val="left"/>
            </w:pPr>
            <w:r>
              <w:t xml:space="preserve">Programme data 10-year retention</w:t>
            </w:r>
          </w:p>
        </w:tc>
      </w:tr>
      <w:tr>
        <w:tc>
          <w:tcPr/>
          <w:p>
            <w:pPr>
              <w:pStyle w:val="Compact"/>
              <w:jc w:val="left"/>
            </w:pPr>
            <w:r>
              <w:t xml:space="preserve">E</w:t>
            </w:r>
          </w:p>
        </w:tc>
        <w:tc>
          <w:tcPr/>
          <w:p>
            <w:pPr>
              <w:pStyle w:val="Compact"/>
              <w:jc w:val="left"/>
            </w:pPr>
            <w:r>
              <w:t xml:space="preserve">2</w:t>
            </w:r>
          </w:p>
        </w:tc>
        <w:tc>
          <w:tcPr/>
          <w:p>
            <w:pPr>
              <w:pStyle w:val="Compact"/>
              <w:jc w:val="left"/>
            </w:pPr>
            <w:r>
              <w:t xml:space="preserve">HSM module in qualification</w:t>
            </w:r>
          </w:p>
        </w:tc>
      </w:tr>
    </w:tbl>
    <w:p>
      <w:pPr>
        <w:pStyle w:val="BodyText"/>
      </w:pPr>
      <w:r>
        <w:t xml:space="preserve">MPI = (1.5×4 + 1.25×5 + 1.25×5 + 1.0×3 + 0.75×2) / 5.75 =</w:t>
      </w:r>
      <w:r>
        <w:t xml:space="preserve"> </w:t>
      </w:r>
      <w:r>
        <w:rPr>
          <w:bCs/>
          <w:b/>
        </w:rPr>
        <w:t xml:space="preserve">4.26</w:t>
      </w:r>
    </w:p>
    <w:p>
      <w:pPr>
        <w:pStyle w:val="BodyText"/>
      </w:pPr>
      <w:r>
        <w:t xml:space="preserve">Wave 0 NSS track — commercial IT items with MPI 3.0–3.5 did not displace NSS funding. Priya’s board slide showed</w:t>
      </w:r>
      <w:r>
        <w:t xml:space="preserve"> </w:t>
      </w:r>
      <w:r>
        <w:rPr>
          <w:bCs/>
          <w:b/>
        </w:rPr>
        <w:t xml:space="preserve">separate budget bars</w:t>
      </w:r>
      <w:r>
        <w:t xml:space="preserve"> </w:t>
      </w:r>
      <w:r>
        <w:t xml:space="preserve">per track — prevented NSS starvation during commercial quick wins.</w:t>
      </w:r>
    </w:p>
    <w:p>
      <w:pPr>
        <w:pStyle w:val="BodyText"/>
      </w:pPr>
      <w:r>
        <w:rPr>
          <w:bCs/>
          <w:b/>
        </w:rPr>
        <w:t xml:space="preserve">Contract linkage:</w:t>
      </w:r>
      <w:r>
        <w:t xml:space="preserve"> </w:t>
      </w:r>
      <w:r>
        <w:t xml:space="preserve">Three primes with 2027 renewal — wave charter referenced</w:t>
      </w:r>
      <w:r>
        <w:t xml:space="preserve"> </w:t>
      </w:r>
      <w:r>
        <w:rPr>
          <w:rStyle w:val="VerbatimChar"/>
        </w:rPr>
        <w:t xml:space="preserve">contract_id</w:t>
      </w:r>
      <w:r>
        <w:t xml:space="preserve"> </w:t>
      </w:r>
      <w:r>
        <w:t xml:space="preserve">fields on TRADE worksheets.</w:t>
      </w:r>
    </w:p>
    <w:p>
      <w:r>
        <w:pict>
          <v:rect style="width:0;height:1.5pt" o:hralign="center" o:hrstd="t" o:hr="t"/>
        </w:pict>
      </w:r>
    </w:p>
    <w:bookmarkEnd w:id="74"/>
    <w:bookmarkStart w:id="75" w:name="board-and-executive-narrative-templates"/>
    <w:p>
      <w:pPr>
        <w:pStyle w:val="Heading2"/>
      </w:pPr>
      <w:r>
        <w:t xml:space="preserve">9.42 Board and Executive Narrative Templates</w:t>
      </w:r>
    </w:p>
    <w:p>
      <w:pPr>
        <w:pStyle w:val="FirstParagraph"/>
      </w:pPr>
      <w:r>
        <w:rPr>
          <w:bCs/>
          <w:b/>
        </w:rPr>
        <w:t xml:space="preserve">Template A — Wave approval request:</w:t>
      </w:r>
    </w:p>
    <w:p>
      <w:pPr>
        <w:pStyle w:val="BlockText"/>
      </w:pPr>
      <w:r>
        <w:t xml:space="preserve">We request approval for Wave [N] execution, budget range [€X–Y], [date range]. Wave addresses [N] workloads (see appendix) prioritised by TRADE analysis with CDG dependency gates. Wave 0 blocking items [status]. Regulatory alignment: [DORA/CNSA/NIS2 references]. Risks: [top 3 from register].</w:t>
      </w:r>
    </w:p>
    <w:p>
      <w:pPr>
        <w:pStyle w:val="FirstParagraph"/>
      </w:pPr>
      <w:r>
        <w:rPr>
          <w:bCs/>
          <w:b/>
        </w:rPr>
        <w:t xml:space="preserve">Template B — Deferral escalation:</w:t>
      </w:r>
    </w:p>
    <w:p>
      <w:pPr>
        <w:pStyle w:val="BlockText"/>
      </w:pPr>
      <w:r>
        <w:t xml:space="preserve">[N] systems remain on</w:t>
      </w:r>
      <w:r>
        <w:t xml:space="preserve"> </w:t>
      </w:r>
      <w:r>
        <w:t xml:space="preserve">“</w:t>
      </w:r>
      <w:r>
        <w:t xml:space="preserve">do not migrate yet</w:t>
      </w:r>
      <w:r>
        <w:t xml:space="preserve">”</w:t>
      </w:r>
      <w:r>
        <w:t xml:space="preserve"> </w:t>
      </w:r>
      <w:r>
        <w:t xml:space="preserve">past review date. Highest MPI: [system], MPI [X.XX], reason: [E&lt;3 / partner / accreditation]. Requested action: [risk acceptance renewal / funding / contract amendment].</w:t>
      </w:r>
    </w:p>
    <w:p>
      <w:pPr>
        <w:pStyle w:val="FirstParagraph"/>
      </w:pPr>
      <w:r>
        <w:rPr>
          <w:bCs/>
          <w:b/>
        </w:rPr>
        <w:t xml:space="preserve">Template C — Wave completion:</w:t>
      </w:r>
    </w:p>
    <w:p>
      <w:pPr>
        <w:pStyle w:val="BlockText"/>
      </w:pPr>
      <w:r>
        <w:t xml:space="preserve">Wave [N] exit criteria met: [criteria list with evidence links]. [M] items rolled to Wave [N+1] with steering approval. CDG blocking fan-in reduced from [X] to [Y].</w:t>
      </w:r>
    </w:p>
    <w:p>
      <w:pPr>
        <w:pStyle w:val="FirstParagraph"/>
      </w:pPr>
      <w:r>
        <w:t xml:space="preserve">Elena used Template A for Meridian Wave 0 — board approved in single session with appendix TRADE tables.</w:t>
      </w:r>
    </w:p>
    <w:p>
      <w:r>
        <w:pict>
          <v:rect style="width:0;height:1.5pt" o:hralign="center" o:hrstd="t" o:hr="t"/>
        </w:pict>
      </w:r>
    </w:p>
    <w:bookmarkEnd w:id="75"/>
    <w:bookmarkStart w:id="76" w:name="wave-capacity-and-portfolio-management"/>
    <w:p>
      <w:pPr>
        <w:pStyle w:val="Heading2"/>
      </w:pPr>
      <w:r>
        <w:t xml:space="preserve">9.43 Wave Capacity and Portfolio Management</w:t>
      </w:r>
    </w:p>
    <w:p>
      <w:pPr>
        <w:pStyle w:val="FirstParagraph"/>
      </w:pPr>
      <w:r>
        <w:t xml:space="preserve">Enterprises run change portfolios — PQC waves compete with cloud migration, ERP upgrades, regulatory programmes.</w:t>
      </w:r>
      <w:r>
        <w:t xml:space="preserve"> </w:t>
      </w:r>
      <w:r>
        <w:rPr>
          <w:bCs/>
          <w:b/>
        </w:rPr>
        <w:t xml:space="preserve">Portfolio rules:</w:t>
      </w:r>
    </w:p>
    <w:tbl>
      <w:tblPr>
        <w:tblStyle w:val="Table"/>
        <w:tblW w:type="pct" w:w="5000"/>
        <w:tblLook w:firstRow="1" w:lastRow="0" w:firstColumn="0" w:lastColumn="0" w:noHBand="0" w:noVBand="0" w:val="0020"/>
        <w:jc w:val="start"/>
      </w:tblPr>
      <w:tblGrid>
        <w:gridCol w:w="2795"/>
        <w:gridCol w:w="5124"/>
      </w:tblGrid>
      <w:tr>
        <w:trPr>
          <w:tblHeader w:val="true"/>
        </w:trPr>
        <w:tc>
          <w:tcPr/>
          <w:p>
            <w:pPr>
              <w:pStyle w:val="Compact"/>
              <w:jc w:val="left"/>
            </w:pPr>
            <w:r>
              <w:t xml:space="preserve">Rule</w:t>
            </w:r>
          </w:p>
        </w:tc>
        <w:tc>
          <w:tcPr/>
          <w:p>
            <w:pPr>
              <w:pStyle w:val="Compact"/>
              <w:jc w:val="left"/>
            </w:pPr>
            <w:r>
              <w:t xml:space="preserve">Rationale</w:t>
            </w:r>
          </w:p>
        </w:tc>
      </w:tr>
      <w:tr>
        <w:tc>
          <w:tcPr/>
          <w:p>
            <w:pPr>
              <w:pStyle w:val="Compact"/>
              <w:jc w:val="left"/>
            </w:pPr>
            <w:r>
              <w:t xml:space="preserve">Cap Wave 0 at 30% annual change budget</w:t>
            </w:r>
          </w:p>
        </w:tc>
        <w:tc>
          <w:tcPr/>
          <w:p>
            <w:pPr>
              <w:pStyle w:val="Compact"/>
              <w:jc w:val="left"/>
            </w:pPr>
            <w:r>
              <w:t xml:space="preserve">Blocking work is expensive but foundational</w:t>
            </w:r>
          </w:p>
        </w:tc>
      </w:tr>
      <w:tr>
        <w:tc>
          <w:tcPr/>
          <w:p>
            <w:pPr>
              <w:pStyle w:val="Compact"/>
              <w:jc w:val="left"/>
            </w:pPr>
            <w:r>
              <w:t xml:space="preserve">No more than 2 active waves per domain team</w:t>
            </w:r>
          </w:p>
        </w:tc>
        <w:tc>
          <w:tcPr/>
          <w:p>
            <w:pPr>
              <w:pStyle w:val="Compact"/>
              <w:jc w:val="left"/>
            </w:pPr>
            <w:r>
              <w:t xml:space="preserve">Prevents collapse</w:t>
            </w:r>
          </w:p>
        </w:tc>
      </w:tr>
      <w:tr>
        <w:tc>
          <w:tcPr/>
          <w:p>
            <w:pPr>
              <w:pStyle w:val="Compact"/>
              <w:jc w:val="left"/>
            </w:pPr>
            <w:r>
              <w:t xml:space="preserve">Quick wins ≤ 10% wave budget</w:t>
            </w:r>
          </w:p>
        </w:tc>
        <w:tc>
          <w:tcPr/>
          <w:p>
            <w:pPr>
              <w:pStyle w:val="Compact"/>
              <w:jc w:val="left"/>
            </w:pPr>
            <w:r>
              <w:t xml:space="preserve">Morale without starvation</w:t>
            </w:r>
          </w:p>
        </w:tc>
      </w:tr>
      <w:tr>
        <w:tc>
          <w:tcPr/>
          <w:p>
            <w:pPr>
              <w:pStyle w:val="Compact"/>
              <w:jc w:val="left"/>
            </w:pPr>
            <w:r>
              <w:t xml:space="preserve">NSS/defence track ring-fenced</w:t>
            </w:r>
          </w:p>
        </w:tc>
        <w:tc>
          <w:tcPr/>
          <w:p>
            <w:pPr>
              <w:pStyle w:val="Compact"/>
              <w:jc w:val="left"/>
            </w:pPr>
            <w:r>
              <w:t xml:space="preserve">Commercial portfolio cannot borrow NSS budget</w:t>
            </w:r>
          </w:p>
        </w:tc>
      </w:tr>
    </w:tbl>
    <w:p>
      <w:pPr>
        <w:pStyle w:val="BodyText"/>
      </w:pPr>
      <w:r>
        <w:t xml:space="preserve">GlobalSync programme office reported</w:t>
      </w:r>
      <w:r>
        <w:t xml:space="preserve"> </w:t>
      </w:r>
      <w:r>
        <w:rPr>
          <w:bCs/>
          <w:b/>
        </w:rPr>
        <w:t xml:space="preserve">wave capacity utilization</w:t>
      </w:r>
      <w:r>
        <w:t xml:space="preserve"> </w:t>
      </w:r>
      <w:r>
        <w:t xml:space="preserve">monthly — domains above 85% utilization deferred new wave members to next quarter.</w:t>
      </w:r>
    </w:p>
    <w:p>
      <w:r>
        <w:pict>
          <v:rect style="width:0;height:1.5pt" o:hralign="center" o:hrstd="t" o:hr="t"/>
        </w:pict>
      </w:r>
    </w:p>
    <w:bookmarkEnd w:id="76"/>
    <w:bookmarkStart w:id="77" w:name="Xe415344b65e0d43c6d3dac00711f55dc9bb6b02"/>
    <w:p>
      <w:pPr>
        <w:pStyle w:val="Heading2"/>
      </w:pPr>
      <w:r>
        <w:t xml:space="preserve">9.44 TRADE Score Decay and Re-Scoring Triggers</w:t>
      </w:r>
    </w:p>
    <w:p>
      <w:pPr>
        <w:pStyle w:val="FirstParagraph"/>
      </w:pPr>
      <w:r>
        <w:t xml:space="preserve">Scores are not permanent.</w:t>
      </w:r>
      <w:r>
        <w:t xml:space="preserve"> </w:t>
      </w:r>
      <w:r>
        <w:rPr>
          <w:bCs/>
          <w:b/>
        </w:rPr>
        <w:t xml:space="preserve">Mandatory re-score triggers: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Trigger</w:t>
            </w:r>
          </w:p>
        </w:tc>
        <w:tc>
          <w:tcPr/>
          <w:p>
            <w:pPr>
              <w:pStyle w:val="Compact"/>
              <w:jc w:val="left"/>
            </w:pPr>
            <w:r>
              <w:t xml:space="preserve">Affected dimensions</w:t>
            </w:r>
          </w:p>
        </w:tc>
      </w:tr>
      <w:tr>
        <w:tc>
          <w:tcPr/>
          <w:p>
            <w:pPr>
              <w:pStyle w:val="Compact"/>
              <w:jc w:val="left"/>
            </w:pPr>
            <w:r>
              <w:t xml:space="preserve">Vendor PQC GA announcement</w:t>
            </w:r>
          </w:p>
        </w:tc>
        <w:tc>
          <w:tcPr/>
          <w:p>
            <w:pPr>
              <w:pStyle w:val="Compact"/>
              <w:jc w:val="left"/>
            </w:pPr>
            <w:r>
              <w:t xml:space="preserve">E</w:t>
            </w:r>
          </w:p>
        </w:tc>
      </w:tr>
      <w:tr>
        <w:tc>
          <w:tcPr/>
          <w:p>
            <w:pPr>
              <w:pStyle w:val="Compact"/>
              <w:jc w:val="left"/>
            </w:pPr>
            <w:r>
              <w:t xml:space="preserve">Data classification change</w:t>
            </w:r>
          </w:p>
        </w:tc>
        <w:tc>
          <w:tcPr/>
          <w:p>
            <w:pPr>
              <w:pStyle w:val="Compact"/>
              <w:jc w:val="left"/>
            </w:pPr>
            <w:r>
              <w:t xml:space="preserve">T, D, R</w:t>
            </w:r>
          </w:p>
        </w:tc>
      </w:tr>
      <w:tr>
        <w:tc>
          <w:tcPr/>
          <w:p>
            <w:pPr>
              <w:pStyle w:val="Compact"/>
              <w:jc w:val="left"/>
            </w:pPr>
            <w:r>
              <w:t xml:space="preserve">CDG edge added/removed</w:t>
            </w:r>
          </w:p>
        </w:tc>
        <w:tc>
          <w:tcPr/>
          <w:p>
            <w:pPr>
              <w:pStyle w:val="Compact"/>
              <w:jc w:val="left"/>
            </w:pPr>
            <w:r>
              <w:t xml:space="preserve">A</w:t>
            </w:r>
          </w:p>
        </w:tc>
      </w:tr>
      <w:tr>
        <w:tc>
          <w:tcPr/>
          <w:p>
            <w:pPr>
              <w:pStyle w:val="Compact"/>
              <w:jc w:val="left"/>
            </w:pPr>
            <w:r>
              <w:t xml:space="preserve">Regulatory publication</w:t>
            </w:r>
          </w:p>
        </w:tc>
        <w:tc>
          <w:tcPr/>
          <w:p>
            <w:pPr>
              <w:pStyle w:val="Compact"/>
              <w:jc w:val="left"/>
            </w:pPr>
            <w:r>
              <w:t xml:space="preserve">R</w:t>
            </w:r>
          </w:p>
        </w:tc>
      </w:tr>
      <w:tr>
        <w:tc>
          <w:tcPr/>
          <w:p>
            <w:pPr>
              <w:pStyle w:val="Compact"/>
              <w:jc w:val="left"/>
            </w:pPr>
            <w:r>
              <w:t xml:space="preserve">Decommission date set</w:t>
            </w:r>
          </w:p>
        </w:tc>
        <w:tc>
          <w:tcPr/>
          <w:p>
            <w:pPr>
              <w:pStyle w:val="Compact"/>
              <w:jc w:val="left"/>
            </w:pPr>
            <w:r>
              <w:t xml:space="preserve">Remove from scoring</w:t>
            </w:r>
          </w:p>
        </w:tc>
      </w:tr>
      <w:tr>
        <w:tc>
          <w:tcPr/>
          <w:p>
            <w:pPr>
              <w:pStyle w:val="Compact"/>
              <w:jc w:val="left"/>
            </w:pPr>
            <w:r>
              <w:t xml:space="preserve">Partner acceptance threshold met</w:t>
            </w:r>
          </w:p>
        </w:tc>
        <w:tc>
          <w:tcPr/>
          <w:p>
            <w:pPr>
              <w:pStyle w:val="Compact"/>
              <w:jc w:val="left"/>
            </w:pPr>
            <w:r>
              <w:t xml:space="preserve">E, wave membership</w:t>
            </w:r>
          </w:p>
        </w:tc>
      </w:tr>
    </w:tbl>
    <w:p>
      <w:pPr>
        <w:pStyle w:val="BodyText"/>
      </w:pPr>
      <w:r>
        <w:rPr>
          <w:bCs/>
          <w:b/>
        </w:rPr>
        <w:t xml:space="preserve">Score decay:</w:t>
      </w:r>
      <w:r>
        <w:t xml:space="preserve"> </w:t>
      </w:r>
      <w:r>
        <w:t xml:space="preserve">Systems in</w:t>
      </w:r>
      <w:r>
        <w:t xml:space="preserve"> </w:t>
      </w:r>
      <w:r>
        <w:t xml:space="preserve">“</w:t>
      </w:r>
      <w:r>
        <w:t xml:space="preserve">do not migrate yet</w:t>
      </w:r>
      <w:r>
        <w:t xml:space="preserve">”</w:t>
      </w:r>
      <w:r>
        <w:t xml:space="preserve"> </w:t>
      </w:r>
      <w:r>
        <w:t xml:space="preserve">&gt; 12 months without review — steering escalation, not automatic score reduction. Meridian quarterly re-score for TES 5; annual for TES 3–4.</w:t>
      </w:r>
    </w:p>
    <w:p>
      <w:r>
        <w:pict>
          <v:rect style="width:0;height:1.5pt" o:hralign="center" o:hrstd="t" o:hr="t"/>
        </w:pict>
      </w:r>
    </w:p>
    <w:bookmarkEnd w:id="77"/>
    <w:bookmarkStart w:id="78" w:name="X6ff869af7bb436908b057f85e03f4384634fb00"/>
    <w:p>
      <w:pPr>
        <w:pStyle w:val="Heading2"/>
      </w:pPr>
      <w:r>
        <w:t xml:space="preserve">9.45 Integrating Waves with HLM and CBOM Attributes</w:t>
      </w:r>
    </w:p>
    <w:p>
      <w:pPr>
        <w:pStyle w:val="FirstParagraph"/>
      </w:pPr>
      <w:r>
        <w:t xml:space="preserve">Wave execution updates CBOM: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Wave action</w:t>
            </w:r>
          </w:p>
        </w:tc>
        <w:tc>
          <w:tcPr/>
          <w:p>
            <w:pPr>
              <w:pStyle w:val="Compact"/>
              <w:jc w:val="left"/>
            </w:pPr>
            <w:r>
              <w:t xml:space="preserve">CBOM update</w:t>
            </w:r>
          </w:p>
        </w:tc>
      </w:tr>
      <w:tr>
        <w:tc>
          <w:tcPr/>
          <w:p>
            <w:pPr>
              <w:pStyle w:val="Compact"/>
              <w:jc w:val="left"/>
            </w:pPr>
            <w:r>
              <w:t xml:space="preserve">Wave 0 blocking resolved</w:t>
            </w:r>
          </w:p>
        </w:tc>
        <w:tc>
          <w:tcPr/>
          <w:p>
            <w:pPr>
              <w:pStyle w:val="Compact"/>
              <w:jc w:val="left"/>
            </w:pPr>
            <w:r>
              <w:rPr>
                <w:rStyle w:val="VerbatimChar"/>
              </w:rPr>
              <w:t xml:space="preserve">blocking_resolved_date</w:t>
            </w:r>
            <w:r>
              <w:t xml:space="preserve"> </w:t>
            </w:r>
            <w:r>
              <w:t xml:space="preserve">on CDG mirror field</w:t>
            </w:r>
          </w:p>
        </w:tc>
      </w:tr>
      <w:tr>
        <w:tc>
          <w:tcPr/>
          <w:p>
            <w:pPr>
              <w:pStyle w:val="Compact"/>
              <w:jc w:val="left"/>
            </w:pPr>
            <w:r>
              <w:t xml:space="preserve">Hybrid deployed</w:t>
            </w:r>
          </w:p>
        </w:tc>
        <w:tc>
          <w:tcPr/>
          <w:p>
            <w:pPr>
              <w:pStyle w:val="Compact"/>
              <w:jc w:val="left"/>
            </w:pPr>
            <w:r>
              <w:rPr>
                <w:rStyle w:val="VerbatimChar"/>
              </w:rPr>
              <w:t xml:space="preserve">hlm_phase=H1</w:t>
            </w:r>
            <w:r>
              <w:t xml:space="preserve">,</w:t>
            </w:r>
            <w:r>
              <w:t xml:space="preserve"> </w:t>
            </w:r>
            <w:r>
              <w:rPr>
                <w:rStyle w:val="VerbatimChar"/>
              </w:rPr>
              <w:t xml:space="preserve">h2_trigger_value</w:t>
            </w:r>
            <w:r>
              <w:t xml:space="preserve"> </w:t>
            </w:r>
            <w:r>
              <w:t xml:space="preserve">set</w:t>
            </w:r>
          </w:p>
        </w:tc>
      </w:tr>
      <w:tr>
        <w:tc>
          <w:tcPr/>
          <w:p>
            <w:pPr>
              <w:pStyle w:val="Compact"/>
              <w:jc w:val="left"/>
            </w:pPr>
            <w:r>
              <w:t xml:space="preserve">PQC-native complete</w:t>
            </w:r>
          </w:p>
        </w:tc>
        <w:tc>
          <w:tcPr/>
          <w:p>
            <w:pPr>
              <w:pStyle w:val="Compact"/>
              <w:jc w:val="left"/>
            </w:pPr>
            <w:r>
              <w:rPr>
                <w:rStyle w:val="VerbatimChar"/>
              </w:rPr>
              <w:t xml:space="preserve">hlm_phase=H3</w:t>
            </w:r>
            <w:r>
              <w:t xml:space="preserve">,</w:t>
            </w:r>
            <w:r>
              <w:t xml:space="preserve"> </w:t>
            </w:r>
            <w:r>
              <w:rPr>
                <w:rStyle w:val="VerbatimChar"/>
              </w:rPr>
              <w:t xml:space="preserve">quantum_vulnerable=false</w:t>
            </w:r>
          </w:p>
        </w:tc>
      </w:tr>
      <w:tr>
        <w:tc>
          <w:tcPr/>
          <w:p>
            <w:pPr>
              <w:pStyle w:val="Compact"/>
              <w:jc w:val="left"/>
            </w:pPr>
            <w:r>
              <w:t xml:space="preserve">Deferred</w:t>
            </w:r>
          </w:p>
        </w:tc>
        <w:tc>
          <w:tcPr/>
          <w:p>
            <w:pPr>
              <w:pStyle w:val="Compact"/>
              <w:jc w:val="left"/>
            </w:pPr>
            <w:r>
              <w:rPr>
                <w:rStyle w:val="VerbatimChar"/>
              </w:rPr>
              <w:t xml:space="preserve">deferral_id</w:t>
            </w:r>
            <w:r>
              <w:t xml:space="preserve">,</w:t>
            </w:r>
            <w:r>
              <w:t xml:space="preserve"> </w:t>
            </w:r>
            <w:r>
              <w:rPr>
                <w:rStyle w:val="VerbatimChar"/>
              </w:rPr>
              <w:t xml:space="preserve">review_date</w:t>
            </w:r>
          </w:p>
        </w:tc>
      </w:tr>
    </w:tbl>
    <w:p>
      <w:pPr>
        <w:pStyle w:val="BodyText"/>
      </w:pPr>
      <w:r>
        <w:t xml:space="preserve">GlobalSync automated wave status from CBOM — steering dashboard pulled live data, not slide decks.</w:t>
      </w:r>
    </w:p>
    <w:p>
      <w:r>
        <w:pict>
          <v:rect style="width:0;height:1.5pt" o:hralign="center" o:hrstd="t" o:hr="t"/>
        </w:pict>
      </w:r>
    </w:p>
    <w:bookmarkEnd w:id="78"/>
    <w:bookmarkStart w:id="79" w:name="globalsync-tenant-segmentation-for-trade"/>
    <w:p>
      <w:pPr>
        <w:pStyle w:val="Heading2"/>
      </w:pPr>
      <w:r>
        <w:t xml:space="preserve">9.46 GlobalSync Tenant Segmentation for TRADE</w:t>
      </w:r>
    </w:p>
    <w:p>
      <w:pPr>
        <w:pStyle w:val="FirstParagraph"/>
      </w:pPr>
      <w:r>
        <w:t xml:space="preserve">Multi-tenant platforms cannot assign single TRADE score to</w:t>
      </w:r>
      <w:r>
        <w:t xml:space="preserve"> </w:t>
      </w:r>
      <w:r>
        <w:rPr>
          <w:bCs/>
          <w:b/>
        </w:rPr>
        <w:t xml:space="preserve">platform cryptography</w:t>
      </w:r>
      <w:r>
        <w:t xml:space="preserve"> </w:t>
      </w:r>
      <w:r>
        <w:t xml:space="preserve">— tenant data classification varies: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Scoring unit</w:t>
            </w:r>
          </w:p>
        </w:tc>
        <w:tc>
          <w:tcPr/>
          <w:p>
            <w:pPr>
              <w:pStyle w:val="Compact"/>
              <w:jc w:val="left"/>
            </w:pPr>
            <w:r>
              <w:t xml:space="preserve">Rationale</w:t>
            </w:r>
          </w:p>
        </w:tc>
      </w:tr>
      <w:tr>
        <w:tc>
          <w:tcPr/>
          <w:p>
            <w:pPr>
              <w:pStyle w:val="Compact"/>
              <w:jc w:val="left"/>
            </w:pPr>
            <w:r>
              <w:t xml:space="preserve">Platform shared service</w:t>
            </w:r>
          </w:p>
        </w:tc>
        <w:tc>
          <w:tcPr/>
          <w:p>
            <w:pPr>
              <w:pStyle w:val="Compact"/>
              <w:jc w:val="left"/>
            </w:pPr>
            <w:r>
              <w:t xml:space="preserve">Score once; highest tenant R applies</w:t>
            </w:r>
          </w:p>
        </w:tc>
      </w:tr>
      <w:tr>
        <w:tc>
          <w:tcPr/>
          <w:p>
            <w:pPr>
              <w:pStyle w:val="Compact"/>
              <w:jc w:val="left"/>
            </w:pPr>
            <w:r>
              <w:t xml:space="preserve">Tenant-dedicated partition</w:t>
            </w:r>
          </w:p>
        </w:tc>
        <w:tc>
          <w:tcPr/>
          <w:p>
            <w:pPr>
              <w:pStyle w:val="Compact"/>
              <w:jc w:val="left"/>
            </w:pPr>
            <w:r>
              <w:t xml:space="preserve">Per-tenant worksheet</w:t>
            </w:r>
          </w:p>
        </w:tc>
      </w:tr>
      <w:tr>
        <w:tc>
          <w:tcPr/>
          <w:p>
            <w:pPr>
              <w:pStyle w:val="Compact"/>
              <w:jc w:val="left"/>
            </w:pPr>
            <w:r>
              <w:t xml:space="preserve">Per-tenant integration</w:t>
            </w:r>
          </w:p>
        </w:tc>
        <w:tc>
          <w:tcPr/>
          <w:p>
            <w:pPr>
              <w:pStyle w:val="Compact"/>
              <w:jc w:val="left"/>
            </w:pPr>
            <w:r>
              <w:t xml:space="preserve">Per-tenant T and R</w:t>
            </w:r>
          </w:p>
        </w:tc>
      </w:tr>
    </w:tbl>
    <w:p>
      <w:pPr>
        <w:pStyle w:val="BodyText"/>
      </w:pPr>
      <w:r>
        <w:t xml:space="preserve">Marcus segmented</w:t>
      </w:r>
      <w:r>
        <w:t xml:space="preserve"> </w:t>
      </w:r>
      <w:r>
        <w:rPr>
          <w:bCs/>
          <w:b/>
        </w:rPr>
        <w:t xml:space="preserve">healthcare tenants</w:t>
      </w:r>
      <w:r>
        <w:t xml:space="preserve"> </w:t>
      </w:r>
      <w:r>
        <w:t xml:space="preserve">(GDPR Article 9) — R modifier +1, Wave 2 priority within EU region. Standard logistics tenants — R baseline, later wave.</w:t>
      </w:r>
    </w:p>
    <w:p>
      <w:pPr>
        <w:pStyle w:val="BodyText"/>
      </w:pPr>
      <w:r>
        <w:rPr>
          <w:bCs/>
          <w:b/>
        </w:rPr>
        <w:t xml:space="preserve">CBOM linkage:</w:t>
      </w:r>
      <w:r>
        <w:t xml:space="preserve"> </w:t>
      </w:r>
      <w:r>
        <w:rPr>
          <w:rStyle w:val="VerbatimChar"/>
        </w:rPr>
        <w:t xml:space="preserve">tenant_id</w:t>
      </w:r>
      <w:r>
        <w:t xml:space="preserve"> </w:t>
      </w:r>
      <w:r>
        <w:t xml:space="preserve">on rows enabled filtered TRADE export for customer compliance questionnaires — product feature emerging from migration programme discipline.</w:t>
      </w:r>
    </w:p>
    <w:p>
      <w:r>
        <w:pict>
          <v:rect style="width:0;height:1.5pt" o:hralign="center" o:hrstd="t" o:hr="t"/>
        </w:pict>
      </w:r>
    </w:p>
    <w:bookmarkEnd w:id="79"/>
    <w:bookmarkStart w:id="80" w:name="meridian-wave-24-sketch"/>
    <w:p>
      <w:pPr>
        <w:pStyle w:val="Heading2"/>
      </w:pPr>
      <w:r>
        <w:t xml:space="preserve">9.47 Meridian Wave 2–4 Sketch</w:t>
      </w:r>
    </w:p>
    <w:p>
      <w:pPr>
        <w:pStyle w:val="FirstParagraph"/>
      </w:pPr>
      <w:r>
        <w:rPr>
          <w:bCs/>
          <w:b/>
        </w:rPr>
        <w:t xml:space="preserve">Wave 2 (PKI and shared services):</w:t>
      </w:r>
      <w:r>
        <w:t xml:space="preserve"> </w:t>
      </w:r>
      <w:r>
        <w:t xml:space="preserve">Internal issuing CAs, API gateway templates, workforce IdP signing — 8 meta-nodes, 45 CBOM rows rolled up. Exit: no new server certs from quantum-vulnerable issuers without exception.</w:t>
      </w:r>
    </w:p>
    <w:p>
      <w:pPr>
        <w:pStyle w:val="BodyText"/>
      </w:pPr>
      <w:r>
        <w:rPr>
          <w:bCs/>
          <w:b/>
        </w:rPr>
        <w:t xml:space="preserve">Wave 3 (application estate):</w:t>
      </w:r>
      <w:r>
        <w:t xml:space="preserve"> </w:t>
      </w:r>
      <w:r>
        <w:t xml:space="preserve">340 microservices, MPI 2.5–3.9 — bulk of engineering effort 2028–2031. Natural refresh alignment for container base images carrying OpenSSL upgrades.</w:t>
      </w:r>
    </w:p>
    <w:p>
      <w:pPr>
        <w:pStyle w:val="BodyText"/>
      </w:pPr>
      <w:r>
        <w:rPr>
          <w:bCs/>
          <w:b/>
        </w:rPr>
        <w:t xml:space="preserve">Wave 4 (third-party residual):</w:t>
      </w:r>
      <w:r>
        <w:t xml:space="preserve"> </w:t>
      </w:r>
      <w:r>
        <w:t xml:space="preserve">SaaS with E = 2 — contractual pressure programme; 22% unknown at Phase 1 reduced to 8% by Wave 4 entry.</w:t>
      </w:r>
    </w:p>
    <w:p>
      <w:pPr>
        <w:pStyle w:val="BodyText"/>
      </w:pPr>
      <w:r>
        <w:rPr>
          <w:bCs/>
          <w:b/>
        </w:rPr>
        <w:t xml:space="preserve">Decommission path:</w:t>
      </w:r>
      <w:r>
        <w:t xml:space="preserve"> </w:t>
      </w:r>
      <w:r>
        <w:t xml:space="preserve">1,800 systems never entered waves — retirement before deprecation cheaper than migration.</w:t>
      </w:r>
    </w:p>
    <w:p>
      <w:r>
        <w:pict>
          <v:rect style="width:0;height:1.5pt" o:hralign="center" o:hrstd="t" o:hr="t"/>
        </w:pict>
      </w:r>
    </w:p>
    <w:bookmarkEnd w:id="80"/>
    <w:bookmarkStart w:id="81" w:name="measuring-programme-success-beyond-mpi"/>
    <w:p>
      <w:pPr>
        <w:pStyle w:val="Heading2"/>
      </w:pPr>
      <w:r>
        <w:t xml:space="preserve">9.48 Measuring Programme Success Beyond MPI</w:t>
      </w:r>
    </w:p>
    <w:p>
      <w:pPr>
        <w:pStyle w:val="FirstParagraph"/>
      </w:pPr>
      <w:r>
        <w:t xml:space="preserve">Wave plans succeed on</w:t>
      </w:r>
      <w:r>
        <w:t xml:space="preserve"> </w:t>
      </w:r>
      <w:r>
        <w:rPr>
          <w:bCs/>
          <w:b/>
        </w:rPr>
        <w:t xml:space="preserve">outcome metrics</w:t>
      </w:r>
      <w:r>
        <w:t xml:space="preserve">, not scoring activity: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Definition</w:t>
            </w:r>
          </w:p>
        </w:tc>
      </w:tr>
      <w:tr>
        <w:tc>
          <w:tcPr/>
          <w:p>
            <w:pPr>
              <w:pStyle w:val="Compact"/>
              <w:jc w:val="left"/>
            </w:pPr>
            <w:r>
              <w:t xml:space="preserve">Blocking fan-in reduction</w:t>
            </w:r>
          </w:p>
        </w:tc>
        <w:tc>
          <w:tcPr/>
          <w:p>
            <w:pPr>
              <w:pStyle w:val="Compact"/>
              <w:jc w:val="left"/>
            </w:pPr>
            <w:r>
              <w:t xml:space="preserve">CDG metric quarter-over-quarter</w:t>
            </w:r>
          </w:p>
        </w:tc>
      </w:tr>
      <w:tr>
        <w:tc>
          <w:tcPr/>
          <w:p>
            <w:pPr>
              <w:pStyle w:val="Compact"/>
              <w:jc w:val="left"/>
            </w:pPr>
            <w:r>
              <w:t xml:space="preserve">Quantum-vulnerable % verified</w:t>
            </w:r>
          </w:p>
        </w:tc>
        <w:tc>
          <w:tcPr/>
          <w:p>
            <w:pPr>
              <w:pStyle w:val="Compact"/>
              <w:jc w:val="left"/>
            </w:pPr>
            <w:r>
              <w:t xml:space="preserve">CBOM trend</w:t>
            </w:r>
          </w:p>
        </w:tc>
      </w:tr>
      <w:tr>
        <w:tc>
          <w:tcPr/>
          <w:p>
            <w:pPr>
              <w:pStyle w:val="Compact"/>
              <w:jc w:val="left"/>
            </w:pPr>
            <w:r>
              <w:t xml:space="preserve">Wave exit on time</w:t>
            </w:r>
          </w:p>
        </w:tc>
        <w:tc>
          <w:tcPr/>
          <w:p>
            <w:pPr>
              <w:pStyle w:val="Compact"/>
              <w:jc w:val="left"/>
            </w:pPr>
            <w:r>
              <w:t xml:space="preserve">% waves meeting exit criteria by target date</w:t>
            </w:r>
          </w:p>
        </w:tc>
      </w:tr>
      <w:tr>
        <w:tc>
          <w:tcPr/>
          <w:p>
            <w:pPr>
              <w:pStyle w:val="Compact"/>
              <w:jc w:val="left"/>
            </w:pPr>
            <w:r>
              <w:t xml:space="preserve">Deferral backlog</w:t>
            </w:r>
          </w:p>
        </w:tc>
        <w:tc>
          <w:tcPr/>
          <w:p>
            <w:pPr>
              <w:pStyle w:val="Compact"/>
              <w:jc w:val="left"/>
            </w:pPr>
            <w:r>
              <w:t xml:space="preserve">Count overdue</w:t>
            </w:r>
            <w:r>
              <w:t xml:space="preserve"> </w:t>
            </w:r>
            <w:r>
              <w:t xml:space="preserve">“</w:t>
            </w:r>
            <w:r>
              <w:t xml:space="preserve">do not migrate yet</w:t>
            </w:r>
            <w:r>
              <w:t xml:space="preserve">”</w:t>
            </w:r>
          </w:p>
        </w:tc>
      </w:tr>
      <w:tr>
        <w:tc>
          <w:tcPr/>
          <w:p>
            <w:pPr>
              <w:pStyle w:val="Compact"/>
              <w:jc w:val="left"/>
            </w:pPr>
            <w:r>
              <w:t xml:space="preserve">Partner acceptance</w:t>
            </w:r>
          </w:p>
        </w:tc>
        <w:tc>
          <w:tcPr/>
          <w:p>
            <w:pPr>
              <w:pStyle w:val="Compact"/>
              <w:jc w:val="left"/>
            </w:pPr>
            <w:r>
              <w:t xml:space="preserve">% partners on approved profiles</w:t>
            </w:r>
          </w:p>
        </w:tc>
      </w:tr>
      <w:tr>
        <w:tc>
          <w:tcPr/>
          <w:p>
            <w:pPr>
              <w:pStyle w:val="Compact"/>
              <w:jc w:val="left"/>
            </w:pPr>
            <w:r>
              <w:t xml:space="preserve">Budget variance</w:t>
            </w:r>
          </w:p>
        </w:tc>
        <w:tc>
          <w:tcPr/>
          <w:p>
            <w:pPr>
              <w:pStyle w:val="Compact"/>
              <w:jc w:val="left"/>
            </w:pPr>
            <w:r>
              <w:t xml:space="preserve">Actual vs wave budget range</w:t>
            </w:r>
          </w:p>
        </w:tc>
      </w:tr>
    </w:tbl>
    <w:p>
      <w:pPr>
        <w:pStyle w:val="BodyText"/>
      </w:pPr>
      <w:r>
        <w:t xml:space="preserve">Meridian steering committee shifted from MPI coverage discussions to</w:t>
      </w:r>
      <w:r>
        <w:t xml:space="preserve"> </w:t>
      </w:r>
      <w:r>
        <w:rPr>
          <w:bCs/>
          <w:b/>
        </w:rPr>
        <w:t xml:space="preserve">blocking fan-in reduction</w:t>
      </w:r>
      <w:r>
        <w:t xml:space="preserve"> </w:t>
      </w:r>
      <w:r>
        <w:t xml:space="preserve">— better aligned with Chapter 1 synchronisation thesis.</w:t>
      </w:r>
    </w:p>
    <w:p>
      <w:r>
        <w:pict>
          <v:rect style="width:0;height:1.5pt" o:hralign="center" o:hrstd="t" o:hr="t"/>
        </w:pict>
      </w:r>
    </w:p>
    <w:bookmarkEnd w:id="81"/>
    <w:bookmarkStart w:id="82" w:name="what-wave-planning-deliberately-omits"/>
    <w:p>
      <w:pPr>
        <w:pStyle w:val="Heading2"/>
      </w:pPr>
      <w:r>
        <w:t xml:space="preserve">9.49 What Wave Planning Deliberately Omits</w:t>
      </w:r>
    </w:p>
    <w:p>
      <w:pPr>
        <w:pStyle w:val="FirstParagraph"/>
      </w:pPr>
      <w:r>
        <w:t xml:space="preserve">This chapter does not specify</w:t>
      </w:r>
      <w:r>
        <w:t xml:space="preserve"> </w:t>
      </w:r>
      <w:r>
        <w:rPr>
          <w:bCs/>
          <w:b/>
        </w:rPr>
        <w:t xml:space="preserve">how</w:t>
      </w:r>
      <w:r>
        <w:t xml:space="preserve"> </w:t>
      </w:r>
      <w:r>
        <w:t xml:space="preserve">to implement hybrid TLS, re-wrap KMS keys, or negotiate partner cert profiles — Part IV and Part V. Wave plan identifies</w:t>
      </w:r>
      <w:r>
        <w:t xml:space="preserve"> </w:t>
      </w:r>
      <w:r>
        <w:rPr>
          <w:bCs/>
          <w:b/>
        </w:rPr>
        <w:t xml:space="preserve">what moves when</w:t>
      </w:r>
      <w:r>
        <w:t xml:space="preserve">; implementation chapters define</w:t>
      </w:r>
      <w:r>
        <w:t xml:space="preserve"> </w:t>
      </w:r>
      <w:r>
        <w:rPr>
          <w:bCs/>
          <w:b/>
        </w:rPr>
        <w:t xml:space="preserve">how</w:t>
      </w:r>
      <w:r>
        <w:t xml:space="preserve">.</w:t>
      </w:r>
    </w:p>
    <w:p>
      <w:pPr>
        <w:pStyle w:val="BodyText"/>
      </w:pPr>
      <w:r>
        <w:t xml:space="preserve">Wave planning also does not replace</w:t>
      </w:r>
      <w:r>
        <w:t xml:space="preserve"> </w:t>
      </w:r>
      <w:r>
        <w:rPr>
          <w:bCs/>
          <w:b/>
        </w:rPr>
        <w:t xml:space="preserve">programme charter</w:t>
      </w:r>
      <w:r>
        <w:t xml:space="preserve"> </w:t>
      </w:r>
      <w:r>
        <w:t xml:space="preserve">— RACI, steering cadence, and budget authority remain Part V.</w:t>
      </w:r>
    </w:p>
    <w:p>
      <w:r>
        <w:pict>
          <v:rect style="width:0;height:1.5pt" o:hralign="center" o:hrstd="t" o:hr="t"/>
        </w:pict>
      </w:r>
    </w:p>
    <w:bookmarkEnd w:id="82"/>
    <w:bookmarkStart w:id="83" w:name="part-iii-exit-checklist"/>
    <w:p>
      <w:pPr>
        <w:pStyle w:val="Heading2"/>
      </w:pPr>
      <w:r>
        <w:t xml:space="preserve">9.50 Part III Exit Checklist</w:t>
      </w:r>
    </w:p>
    <w:p>
      <w:pPr>
        <w:pStyle w:val="FirstParagraph"/>
      </w:pPr>
      <w:r>
        <w:t xml:space="preserve">Before proceeding to Part IV, programme office confirms:</w:t>
      </w:r>
    </w:p>
    <w:p>
      <w:pPr>
        <w:numPr>
          <w:ilvl w:val="0"/>
          <w:numId w:val="1010"/>
        </w:numPr>
        <w:pStyle w:val="Compact"/>
      </w:pPr>
      <w:r>
        <w:t xml:space="preserve">☐ CBOM baseline declared (PQ-ADAPT Level 2)</w:t>
      </w:r>
    </w:p>
    <w:p>
      <w:pPr>
        <w:numPr>
          <w:ilvl w:val="0"/>
          <w:numId w:val="1010"/>
        </w:numPr>
        <w:pStyle w:val="Compact"/>
      </w:pPr>
      <w:r>
        <w:t xml:space="preserve">☐ CDG at CDG-2 minimum with blocking nodes flagged</w:t>
      </w:r>
    </w:p>
    <w:p>
      <w:pPr>
        <w:numPr>
          <w:ilvl w:val="0"/>
          <w:numId w:val="1010"/>
        </w:numPr>
        <w:pStyle w:val="Compact"/>
      </w:pPr>
      <w:r>
        <w:t xml:space="preserve">☐ TRADE worksheets complete for in-scope workloads</w:t>
      </w:r>
    </w:p>
    <w:p>
      <w:pPr>
        <w:numPr>
          <w:ilvl w:val="0"/>
          <w:numId w:val="1010"/>
        </w:numPr>
        <w:pStyle w:val="Compact"/>
      </w:pPr>
      <w:r>
        <w:t xml:space="preserve">☐ Board-approved wave plan with exit criteria</w:t>
      </w:r>
    </w:p>
    <w:p>
      <w:pPr>
        <w:numPr>
          <w:ilvl w:val="0"/>
          <w:numId w:val="1010"/>
        </w:numPr>
        <w:pStyle w:val="Compact"/>
      </w:pPr>
      <w:r>
        <w:t xml:space="preserve">☐</w:t>
      </w:r>
      <w:r>
        <w:t xml:space="preserve"> </w:t>
      </w:r>
      <w:r>
        <w:t xml:space="preserve">“</w:t>
      </w:r>
      <w:r>
        <w:t xml:space="preserve">Do not migrate yet</w:t>
      </w:r>
      <w:r>
        <w:t xml:space="preserve">”</w:t>
      </w:r>
      <w:r>
        <w:t xml:space="preserve"> </w:t>
      </w:r>
      <w:r>
        <w:t xml:space="preserve">register with review dates</w:t>
      </w:r>
    </w:p>
    <w:p>
      <w:pPr>
        <w:numPr>
          <w:ilvl w:val="0"/>
          <w:numId w:val="1010"/>
        </w:numPr>
        <w:pStyle w:val="Compact"/>
      </w:pPr>
      <w:r>
        <w:t xml:space="preserve">☐ Deferral and risk acceptance integration active</w:t>
      </w:r>
    </w:p>
    <w:p>
      <w:pPr>
        <w:numPr>
          <w:ilvl w:val="0"/>
          <w:numId w:val="1010"/>
        </w:numPr>
        <w:pStyle w:val="Compact"/>
      </w:pPr>
      <w:r>
        <w:t xml:space="preserve">☐ Reassessment schedule published</w:t>
      </w:r>
    </w:p>
    <w:p>
      <w:pPr>
        <w:pStyle w:val="FirstParagraph"/>
      </w:pPr>
      <w:r>
        <w:t xml:space="preserve">Meridian completed checklist October 2026 — Part IV hybrid TLS standards referenced Wave 1 and Wave 2 members by CBOM ID from day one.</w:t>
      </w:r>
    </w:p>
    <w:p>
      <w:r>
        <w:pict>
          <v:rect style="width:0;height:1.5pt" o:hralign="center" o:hrstd="t" o:hr="t"/>
        </w:pict>
      </w:r>
    </w:p>
    <w:bookmarkEnd w:id="83"/>
    <w:bookmarkStart w:id="84" w:name="escalation-paths-when-waves-stall"/>
    <w:p>
      <w:pPr>
        <w:pStyle w:val="Heading2"/>
      </w:pPr>
      <w:r>
        <w:t xml:space="preserve">9.51 Escalation Paths When Waves Stall</w:t>
      </w:r>
    </w:p>
    <w:p>
      <w:pPr>
        <w:pStyle w:val="FirstParagraph"/>
      </w:pPr>
      <w:r>
        <w:t xml:space="preserve">When Wave 0 blocking nodes miss exit dates, programme office follows</w:t>
      </w:r>
      <w:r>
        <w:t xml:space="preserve"> </w:t>
      </w:r>
      <w:r>
        <w:rPr>
          <w:bCs/>
          <w:b/>
        </w:rPr>
        <w:t xml:space="preserve">escalation ladder</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Week overdue</w:t>
            </w:r>
          </w:p>
        </w:tc>
        <w:tc>
          <w:tcPr/>
          <w:p>
            <w:pPr>
              <w:pStyle w:val="Compact"/>
              <w:jc w:val="left"/>
            </w:pPr>
            <w:r>
              <w:t xml:space="preserve">Action</w:t>
            </w:r>
          </w:p>
        </w:tc>
      </w:tr>
      <w:tr>
        <w:tc>
          <w:tcPr/>
          <w:p>
            <w:pPr>
              <w:pStyle w:val="Compact"/>
              <w:jc w:val="left"/>
            </w:pPr>
            <w:r>
              <w:t xml:space="preserve">2</w:t>
            </w:r>
          </w:p>
        </w:tc>
        <w:tc>
          <w:tcPr/>
          <w:p>
            <w:pPr>
              <w:pStyle w:val="Compact"/>
              <w:jc w:val="left"/>
            </w:pPr>
            <w:r>
              <w:t xml:space="preserve">Domain architect escalation to VP Engineering</w:t>
            </w:r>
          </w:p>
        </w:tc>
      </w:tr>
      <w:tr>
        <w:tc>
          <w:tcPr/>
          <w:p>
            <w:pPr>
              <w:pStyle w:val="Compact"/>
              <w:jc w:val="left"/>
            </w:pPr>
            <w:r>
              <w:t xml:space="preserve">4</w:t>
            </w:r>
          </w:p>
        </w:tc>
        <w:tc>
          <w:tcPr/>
          <w:p>
            <w:pPr>
              <w:pStyle w:val="Compact"/>
              <w:jc w:val="left"/>
            </w:pPr>
            <w:r>
              <w:t xml:space="preserve">Steering committee agenda item</w:t>
            </w:r>
          </w:p>
        </w:tc>
      </w:tr>
      <w:tr>
        <w:tc>
          <w:tcPr/>
          <w:p>
            <w:pPr>
              <w:pStyle w:val="Compact"/>
              <w:jc w:val="left"/>
            </w:pPr>
            <w:r>
              <w:t xml:space="preserve">8</w:t>
            </w:r>
          </w:p>
        </w:tc>
        <w:tc>
          <w:tcPr/>
          <w:p>
            <w:pPr>
              <w:pStyle w:val="Compact"/>
              <w:jc w:val="left"/>
            </w:pPr>
            <w:r>
              <w:t xml:space="preserve">Board risk committee briefing</w:t>
            </w:r>
          </w:p>
        </w:tc>
      </w:tr>
      <w:tr>
        <w:tc>
          <w:tcPr/>
          <w:p>
            <w:pPr>
              <w:pStyle w:val="Compact"/>
              <w:jc w:val="left"/>
            </w:pPr>
            <w:r>
              <w:t xml:space="preserve">12</w:t>
            </w:r>
          </w:p>
        </w:tc>
        <w:tc>
          <w:tcPr/>
          <w:p>
            <w:pPr>
              <w:pStyle w:val="Compact"/>
              <w:jc w:val="left"/>
            </w:pPr>
            <w:r>
              <w:t xml:space="preserve">Risk acceptance or contract/legal escalation</w:t>
            </w:r>
          </w:p>
        </w:tc>
      </w:tr>
    </w:tbl>
    <w:p>
      <w:pPr>
        <w:pStyle w:val="BodyText"/>
      </w:pPr>
      <w:r>
        <w:t xml:space="preserve">GlobalSync partner programme hit week-8 escalation — board authorised additional partner incentive budget. Meridian HSM vendor delay hit week-4 — steering approved temporary classical continuation with</w:t>
      </w:r>
      <w:r>
        <w:t xml:space="preserve"> </w:t>
      </w:r>
      <w:r>
        <w:rPr>
          <w:bCs/>
          <w:b/>
        </w:rPr>
        <w:t xml:space="preserve">12-month maximum</w:t>
      </w:r>
      <w:r>
        <w:t xml:space="preserve"> </w:t>
      </w:r>
      <w:r>
        <w:t xml:space="preserve">risk acceptance.</w:t>
      </w:r>
    </w:p>
    <w:p>
      <w:pPr>
        <w:pStyle w:val="BodyText"/>
      </w:pPr>
      <w:r>
        <w:t xml:space="preserve">Escalation without pre-defined ladder produces ad hoc heroics — programme director owns ladder definition in charter.</w:t>
      </w:r>
    </w:p>
    <w:p>
      <w:r>
        <w:pict>
          <v:rect style="width:0;height:1.5pt" o:hralign="center" o:hrstd="t" o:hr="t"/>
        </w:pict>
      </w:r>
    </w:p>
    <w:bookmarkEnd w:id="84"/>
    <w:bookmarkStart w:id="85" w:name="wave-plan-anti-patterns-catalogue"/>
    <w:p>
      <w:pPr>
        <w:pStyle w:val="Heading2"/>
      </w:pPr>
      <w:r>
        <w:t xml:space="preserve">9.52 Wave Plan Anti-Patterns Catalogue</w:t>
      </w:r>
    </w:p>
    <w:tbl>
      <w:tblPr>
        <w:tblStyle w:val="Table"/>
        <w:tblW w:type="pct" w:w="5000"/>
        <w:tblLook w:firstRow="1" w:lastRow="0" w:firstColumn="0" w:lastColumn="0" w:noHBand="0" w:noVBand="0" w:val="0020"/>
        <w:jc w:val="start"/>
      </w:tblPr>
      <w:tblGrid>
        <w:gridCol w:w="3080"/>
        <w:gridCol w:w="1980"/>
        <w:gridCol w:w="2860"/>
      </w:tblGrid>
      <w:tr>
        <w:trPr>
          <w:tblHeader w:val="true"/>
        </w:trPr>
        <w:tc>
          <w:tcPr/>
          <w:p>
            <w:pPr>
              <w:pStyle w:val="Compact"/>
              <w:jc w:val="left"/>
            </w:pPr>
            <w:r>
              <w:t xml:space="preserve">Anti-pattern</w:t>
            </w:r>
          </w:p>
        </w:tc>
        <w:tc>
          <w:tcPr/>
          <w:p>
            <w:pPr>
              <w:pStyle w:val="Compact"/>
              <w:jc w:val="left"/>
            </w:pPr>
            <w:r>
              <w:t xml:space="preserve">Symptom</w:t>
            </w:r>
          </w:p>
        </w:tc>
        <w:tc>
          <w:tcPr/>
          <w:p>
            <w:pPr>
              <w:pStyle w:val="Compact"/>
              <w:jc w:val="left"/>
            </w:pPr>
            <w:r>
              <w:t xml:space="preserve">Remediation</w:t>
            </w:r>
          </w:p>
        </w:tc>
      </w:tr>
      <w:tr>
        <w:tc>
          <w:tcPr/>
          <w:p>
            <w:pPr>
              <w:pStyle w:val="Compact"/>
              <w:jc w:val="left"/>
            </w:pPr>
            <w:r>
              <w:rPr>
                <w:bCs/>
                <w:b/>
              </w:rPr>
              <w:t xml:space="preserve">Spreadsheet waves</w:t>
            </w:r>
          </w:p>
        </w:tc>
        <w:tc>
          <w:tcPr/>
          <w:p>
            <w:pPr>
              <w:pStyle w:val="Compact"/>
              <w:jc w:val="left"/>
            </w:pPr>
            <w:r>
              <w:t xml:space="preserve">Unmaintained Excel</w:t>
            </w:r>
          </w:p>
        </w:tc>
        <w:tc>
          <w:tcPr/>
          <w:p>
            <w:pPr>
              <w:pStyle w:val="Compact"/>
              <w:jc w:val="left"/>
            </w:pPr>
            <w:r>
              <w:t xml:space="preserve">GRC-linked wave register</w:t>
            </w:r>
          </w:p>
        </w:tc>
      </w:tr>
      <w:tr>
        <w:tc>
          <w:tcPr/>
          <w:p>
            <w:pPr>
              <w:pStyle w:val="Compact"/>
              <w:jc w:val="left"/>
            </w:pPr>
            <w:r>
              <w:rPr>
                <w:bCs/>
                <w:b/>
              </w:rPr>
              <w:t xml:space="preserve">Hero wave</w:t>
            </w:r>
          </w:p>
        </w:tc>
        <w:tc>
          <w:tcPr/>
          <w:p>
            <w:pPr>
              <w:pStyle w:val="Compact"/>
              <w:jc w:val="left"/>
            </w:pPr>
            <w:r>
              <w:t xml:space="preserve">One team owns 80% of Wave 1</w:t>
            </w:r>
          </w:p>
        </w:tc>
        <w:tc>
          <w:tcPr/>
          <w:p>
            <w:pPr>
              <w:pStyle w:val="Compact"/>
              <w:jc w:val="left"/>
            </w:pPr>
            <w:r>
              <w:t xml:space="preserve">Rebalance or extend timeline</w:t>
            </w:r>
          </w:p>
        </w:tc>
      </w:tr>
      <w:tr>
        <w:tc>
          <w:tcPr/>
          <w:p>
            <w:pPr>
              <w:pStyle w:val="Compact"/>
              <w:jc w:val="left"/>
            </w:pPr>
            <w:r>
              <w:rPr>
                <w:bCs/>
                <w:b/>
              </w:rPr>
              <w:t xml:space="preserve">Zombie deferrals</w:t>
            </w:r>
          </w:p>
        </w:tc>
        <w:tc>
          <w:tcPr/>
          <w:p>
            <w:pPr>
              <w:pStyle w:val="Compact"/>
              <w:jc w:val="left"/>
            </w:pPr>
            <w:r>
              <w:t xml:space="preserve">Review dates pass silently</w:t>
            </w:r>
          </w:p>
        </w:tc>
        <w:tc>
          <w:tcPr/>
          <w:p>
            <w:pPr>
              <w:pStyle w:val="Compact"/>
              <w:jc w:val="left"/>
            </w:pPr>
            <w:r>
              <w:t xml:space="preserve">Steering escalation ladder (§9.51)</w:t>
            </w:r>
          </w:p>
        </w:tc>
      </w:tr>
      <w:tr>
        <w:tc>
          <w:tcPr/>
          <w:p>
            <w:pPr>
              <w:pStyle w:val="Compact"/>
              <w:jc w:val="left"/>
            </w:pPr>
            <w:r>
              <w:rPr>
                <w:bCs/>
                <w:b/>
              </w:rPr>
              <w:t xml:space="preserve">MPI without owner</w:t>
            </w:r>
          </w:p>
        </w:tc>
        <w:tc>
          <w:tcPr/>
          <w:p>
            <w:pPr>
              <w:pStyle w:val="Compact"/>
              <w:jc w:val="left"/>
            </w:pPr>
            <w:r>
              <w:t xml:space="preserve">Scored but unmigrated</w:t>
            </w:r>
          </w:p>
        </w:tc>
        <w:tc>
          <w:tcPr/>
          <w:p>
            <w:pPr>
              <w:pStyle w:val="Compact"/>
              <w:jc w:val="left"/>
            </w:pPr>
            <w:r>
              <w:t xml:space="preserve">Worksheet owner mandatory</w:t>
            </w:r>
          </w:p>
        </w:tc>
      </w:tr>
      <w:tr>
        <w:tc>
          <w:tcPr/>
          <w:p>
            <w:pPr>
              <w:pStyle w:val="Compact"/>
              <w:jc w:val="left"/>
            </w:pPr>
            <w:r>
              <w:rPr>
                <w:bCs/>
                <w:b/>
              </w:rPr>
              <w:t xml:space="preserve">Wave 0 neglect</w:t>
            </w:r>
          </w:p>
        </w:tc>
        <w:tc>
          <w:tcPr/>
          <w:p>
            <w:pPr>
              <w:pStyle w:val="Compact"/>
              <w:jc w:val="left"/>
            </w:pPr>
            <w:r>
              <w:t xml:space="preserve">Funding flows to visible TLS</w:t>
            </w:r>
          </w:p>
        </w:tc>
        <w:tc>
          <w:tcPr/>
          <w:p>
            <w:pPr>
              <w:pStyle w:val="Compact"/>
              <w:jc w:val="left"/>
            </w:pPr>
            <w:r>
              <w:t xml:space="preserve">CDG blocking dashboard</w:t>
            </w:r>
          </w:p>
        </w:tc>
      </w:tr>
      <w:tr>
        <w:tc>
          <w:tcPr/>
          <w:p>
            <w:pPr>
              <w:pStyle w:val="Compact"/>
              <w:jc w:val="left"/>
            </w:pPr>
            <w:r>
              <w:rPr>
                <w:bCs/>
                <w:b/>
              </w:rPr>
              <w:t xml:space="preserve">Single-track defence</w:t>
            </w:r>
          </w:p>
        </w:tc>
        <w:tc>
          <w:tcPr/>
          <w:p>
            <w:pPr>
              <w:pStyle w:val="Compact"/>
              <w:jc w:val="left"/>
            </w:pPr>
            <w:r>
              <w:t xml:space="preserve">NSS starved by commercial</w:t>
            </w:r>
          </w:p>
        </w:tc>
        <w:tc>
          <w:tcPr/>
          <w:p>
            <w:pPr>
              <w:pStyle w:val="Compact"/>
              <w:jc w:val="left"/>
            </w:pPr>
            <w:r>
              <w:t xml:space="preserve">Dual-track budget (Apex)</w:t>
            </w:r>
          </w:p>
        </w:tc>
      </w:tr>
    </w:tbl>
    <w:p>
      <w:r>
        <w:pict>
          <v:rect style="width:0;height:1.5pt" o:hralign="center" o:hrstd="t" o:hr="t"/>
        </w:pict>
      </w:r>
    </w:p>
    <w:bookmarkEnd w:id="85"/>
    <w:bookmarkStart w:id="86" w:name="X60b739b15404882055ecbc4395ec97147085e28"/>
    <w:p>
      <w:pPr>
        <w:pStyle w:val="Heading2"/>
      </w:pPr>
      <w:r>
        <w:t xml:space="preserve">9.53 Figure Production Brief — Migration Wave Gantt</w:t>
      </w:r>
    </w:p>
    <w:p>
      <w:pPr>
        <w:pStyle w:val="FirstParagraph"/>
      </w:pPr>
      <w:r>
        <w:rPr>
          <w:bCs/>
          <w:b/>
        </w:rPr>
        <w:t xml:space="preserve">Figure 9.1</w:t>
      </w:r>
      <w:r>
        <w:t xml:space="preserve"> </w:t>
      </w:r>
      <w:r>
        <w:t xml:space="preserve">(§9.6): Multi-year Gantt with overlapping waves 0–4. Solid bars for active execution, lighter bars for planning overlap. Vertical dashed lines for NIST deprecation (2030) and disallowance (2035) anchors. Gate diamonds at partner policy, HSM firmware, PKI root milestones. Include legend distinguishing NSS vs commercial track for defence enterprises.</w:t>
      </w:r>
    </w:p>
    <w:p>
      <w:r>
        <w:pict>
          <v:rect style="width:0;height:1.5pt" o:hralign="center" o:hrstd="t" o:hr="t"/>
        </w:pict>
      </w:r>
    </w:p>
    <w:bookmarkEnd w:id="86"/>
    <w:bookmarkStart w:id="87" w:name="cross-functional-wave-ownership"/>
    <w:p>
      <w:pPr>
        <w:pStyle w:val="Heading2"/>
      </w:pPr>
      <w:r>
        <w:t xml:space="preserve">9.54 Cross-Functional Wave Ownership</w:t>
      </w:r>
    </w:p>
    <w:p>
      <w:pPr>
        <w:pStyle w:val="FirstParagraph"/>
      </w:pPr>
      <w:r>
        <w:t xml:space="preserve">Each wave requires</w:t>
      </w:r>
      <w:r>
        <w:t xml:space="preserve"> </w:t>
      </w:r>
      <w:r>
        <w:rPr>
          <w:bCs/>
          <w:b/>
        </w:rPr>
        <w:t xml:space="preserve">triad ownership</w:t>
      </w:r>
      <w:r>
        <w:t xml:space="preserve"> </w:t>
      </w:r>
      <w:r>
        <w:t xml:space="preserve">— not security alone: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Wave responsibility</w:t>
            </w:r>
          </w:p>
        </w:tc>
      </w:tr>
      <w:tr>
        <w:tc>
          <w:tcPr/>
          <w:p>
            <w:pPr>
              <w:pStyle w:val="Compact"/>
              <w:jc w:val="left"/>
            </w:pPr>
            <w:r>
              <w:t xml:space="preserve">Programme director</w:t>
            </w:r>
          </w:p>
        </w:tc>
        <w:tc>
          <w:tcPr/>
          <w:p>
            <w:pPr>
              <w:pStyle w:val="Compact"/>
              <w:jc w:val="left"/>
            </w:pPr>
            <w:r>
              <w:t xml:space="preserve">Budget, steering, board narrative</w:t>
            </w:r>
          </w:p>
        </w:tc>
      </w:tr>
      <w:tr>
        <w:tc>
          <w:tcPr/>
          <w:p>
            <w:pPr>
              <w:pStyle w:val="Compact"/>
              <w:jc w:val="left"/>
            </w:pPr>
            <w:r>
              <w:t xml:space="preserve">Domain engineering VP</w:t>
            </w:r>
          </w:p>
        </w:tc>
        <w:tc>
          <w:tcPr/>
          <w:p>
            <w:pPr>
              <w:pStyle w:val="Compact"/>
              <w:jc w:val="left"/>
            </w:pPr>
            <w:r>
              <w:t xml:space="preserve">Capacity, delivery commitment</w:t>
            </w:r>
          </w:p>
        </w:tc>
      </w:tr>
      <w:tr>
        <w:tc>
          <w:tcPr/>
          <w:p>
            <w:pPr>
              <w:pStyle w:val="Compact"/>
              <w:jc w:val="left"/>
            </w:pPr>
            <w:r>
              <w:t xml:space="preserve">CISO / risk</w:t>
            </w:r>
          </w:p>
        </w:tc>
        <w:tc>
          <w:tcPr/>
          <w:p>
            <w:pPr>
              <w:pStyle w:val="Compact"/>
              <w:jc w:val="left"/>
            </w:pPr>
            <w:r>
              <w:t xml:space="preserve">TRADE integrity, deferral approvals</w:t>
            </w:r>
          </w:p>
        </w:tc>
      </w:tr>
    </w:tbl>
    <w:p>
      <w:pPr>
        <w:pStyle w:val="BodyText"/>
      </w:pPr>
      <w:r>
        <w:t xml:space="preserve">Meridian Wave 0 triad met weekly — Elena (programme), VP Payments Engineering, Thomas Bergström (regulatory affairs). GlobalSync added</w:t>
      </w:r>
      <w:r>
        <w:t xml:space="preserve"> </w:t>
      </w:r>
      <w:r>
        <w:rPr>
          <w:bCs/>
          <w:b/>
        </w:rPr>
        <w:t xml:space="preserve">partner programme director</w:t>
      </w:r>
      <w:r>
        <w:t xml:space="preserve"> </w:t>
      </w:r>
      <w:r>
        <w:t xml:space="preserve">as fourth chair for Wave 0 — ecosystem dimension mandatory.</w:t>
      </w:r>
    </w:p>
    <w:p>
      <w:r>
        <w:pict>
          <v:rect style="width:0;height:1.5pt" o:hralign="center" o:hrstd="t" o:hr="t"/>
        </w:pict>
      </w:r>
    </w:p>
    <w:bookmarkEnd w:id="87"/>
    <w:bookmarkStart w:id="88" w:name="chapter-summary"/>
    <w:p>
      <w:pPr>
        <w:pStyle w:val="Heading2"/>
      </w:pPr>
      <w:r>
        <w:t xml:space="preserve">9.55 Chapter Summary</w:t>
      </w:r>
    </w:p>
    <w:p>
      <w:pPr>
        <w:numPr>
          <w:ilvl w:val="0"/>
          <w:numId w:val="1011"/>
        </w:numPr>
        <w:pStyle w:val="Compact"/>
      </w:pPr>
      <w:r>
        <w:t xml:space="preserve">TRADE provides multi-dimensional prioritisation — Threat, Regulatory, Architectural dependency, Data longevity, Ecosystem readiness.</w:t>
      </w:r>
    </w:p>
    <w:p>
      <w:pPr>
        <w:numPr>
          <w:ilvl w:val="0"/>
          <w:numId w:val="1011"/>
        </w:numPr>
        <w:pStyle w:val="Compact"/>
      </w:pPr>
      <w:r>
        <w:t xml:space="preserve">MPI aggregates dimensions with documented weights; default formula in §9.2.</w:t>
      </w:r>
    </w:p>
    <w:p>
      <w:pPr>
        <w:numPr>
          <w:ilvl w:val="0"/>
          <w:numId w:val="1011"/>
        </w:numPr>
        <w:pStyle w:val="Compact"/>
      </w:pPr>
      <w:r>
        <w:t xml:space="preserve">CDG blocking nodes override pure MPI ordering — Wave 0 exists for structural unblockers.</w:t>
      </w:r>
    </w:p>
    <w:p>
      <w:pPr>
        <w:numPr>
          <w:ilvl w:val="0"/>
          <w:numId w:val="1011"/>
        </w:numPr>
        <w:pStyle w:val="Compact"/>
      </w:pPr>
      <w:r>
        <w:t xml:space="preserve">Waves 0–4 taxonomy sequences blocking, threat-immediate, PKI, general IT, and OT long-tail.</w:t>
      </w:r>
    </w:p>
    <w:p>
      <w:pPr>
        <w:numPr>
          <w:ilvl w:val="0"/>
          <w:numId w:val="1011"/>
        </w:numPr>
        <w:pStyle w:val="Compact"/>
      </w:pPr>
      <w:r>
        <w:t xml:space="preserve">“</w:t>
      </w:r>
      <w:r>
        <w:t xml:space="preserve">Do not migrate yet</w:t>
      </w:r>
      <w:r>
        <w:t xml:space="preserve">”</w:t>
      </w:r>
      <w:r>
        <w:t xml:space="preserve"> </w:t>
      </w:r>
      <w:r>
        <w:t xml:space="preserve">conditions prevent wasted execution — require review dates.</w:t>
      </w:r>
    </w:p>
    <w:p>
      <w:pPr>
        <w:numPr>
          <w:ilvl w:val="0"/>
          <w:numId w:val="1011"/>
        </w:numPr>
        <w:pStyle w:val="Compact"/>
      </w:pPr>
      <w:r>
        <w:t xml:space="preserve">Apex contract alignment, Meridian DORA evidence, GlobalSync partner-first, and Northfield OT/WAN cases illustrate application.</w:t>
      </w:r>
    </w:p>
    <w:p>
      <w:pPr>
        <w:numPr>
          <w:ilvl w:val="0"/>
          <w:numId w:val="1011"/>
        </w:numPr>
        <w:pStyle w:val="Compact"/>
      </w:pPr>
      <w:r>
        <w:t xml:space="preserve">Board approval package connects waves to budget, regulation, and dependency gates.</w:t>
      </w:r>
    </w:p>
    <w:p>
      <w:pPr>
        <w:numPr>
          <w:ilvl w:val="0"/>
          <w:numId w:val="1011"/>
        </w:numPr>
        <w:pStyle w:val="Compact"/>
      </w:pPr>
      <w:r>
        <w:t xml:space="preserve">Part III exit artefacts: CBOM, CDG, TRADE register, board-approved wave plan.</w:t>
      </w:r>
    </w:p>
    <w:p>
      <w:pPr>
        <w:pStyle w:val="FirstParagraph"/>
      </w:pPr>
      <w:r>
        <w:rPr>
          <w:bCs/>
          <w:b/>
        </w:rPr>
        <w:t xml:space="preserve">Next:</w:t>
      </w:r>
      <w:r>
        <w:t xml:space="preserve"> </w:t>
      </w:r>
      <w:r>
        <w:t xml:space="preserve">Part IV — Architecting for Transition — implements hybrid TLS, PKI migration, and application patterns within the waves defined here.</w:t>
      </w:r>
    </w:p>
    <w:p>
      <w:r>
        <w:pict>
          <v:rect style="width:0;height:1.5pt" o:hralign="center" o:hrstd="t" o:hr="t"/>
        </w:pict>
      </w:r>
    </w:p>
    <w:p>
      <w:pPr>
        <w:pStyle w:val="FirstParagraph"/>
      </w:pPr>
      <w:r>
        <w:rPr>
          <w:iCs/>
          <w:i/>
        </w:rPr>
        <w:t xml:space="preserve">Chapter 9 — References</w:t>
      </w:r>
    </w:p>
    <w:p>
      <w:pPr>
        <w:numPr>
          <w:ilvl w:val="0"/>
          <w:numId w:val="1012"/>
        </w:numPr>
        <w:pStyle w:val="Compact"/>
      </w:pPr>
      <w:r>
        <w:t xml:space="preserve">Campbell, P. (2025). Enterprise post-quantum migration timeline analysis.</w:t>
      </w:r>
      <w:r>
        <w:t xml:space="preserve"> </w:t>
      </w:r>
      <w:r>
        <w:rPr>
          <w:iCs/>
          <w:i/>
        </w:rPr>
        <w:t xml:space="preserve">Industry synthesis</w:t>
      </w:r>
      <w:r>
        <w:t xml:space="preserve">.</w:t>
      </w:r>
    </w:p>
    <w:p>
      <w:pPr>
        <w:numPr>
          <w:ilvl w:val="0"/>
          <w:numId w:val="1012"/>
        </w:numPr>
        <w:pStyle w:val="Compact"/>
      </w:pPr>
      <w:r>
        <w:t xml:space="preserve">National Institute of Standards and Technology. (2024).</w:t>
      </w:r>
      <w:r>
        <w:t xml:space="preserve"> </w:t>
      </w:r>
      <w:r>
        <w:rPr>
          <w:iCs/>
          <w:i/>
        </w:rPr>
        <w:t xml:space="preserve">IR 8547</w:t>
      </w:r>
      <w:r>
        <w:t xml:space="preserve"> </w:t>
      </w:r>
      <w:r>
        <w:t xml:space="preserve">— transition for post-quantum cryptography (draft).</w:t>
      </w:r>
    </w:p>
    <w:p>
      <w:pPr>
        <w:numPr>
          <w:ilvl w:val="0"/>
          <w:numId w:val="1012"/>
        </w:numPr>
        <w:pStyle w:val="Compact"/>
      </w:pPr>
      <w:r>
        <w:t xml:space="preserve">National Security Agency. (2022).</w:t>
      </w:r>
      <w:r>
        <w:t xml:space="preserve"> </w:t>
      </w:r>
      <w:r>
        <w:rPr>
          <w:iCs/>
          <w:i/>
        </w:rPr>
        <w:t xml:space="preserve">Commercial National Security Algorithm Suite 2.0</w:t>
      </w:r>
      <w:r>
        <w:t xml:space="preserve">.</w:t>
      </w:r>
    </w:p>
    <w:p>
      <w:pPr>
        <w:numPr>
          <w:ilvl w:val="0"/>
          <w:numId w:val="1012"/>
        </w:numPr>
        <w:pStyle w:val="Compact"/>
      </w:pPr>
      <w:r>
        <w:t xml:space="preserve">National Institute of Standards and Technology. (2024).</w:t>
      </w:r>
      <w:r>
        <w:t xml:space="preserve"> </w:t>
      </w:r>
      <w:r>
        <w:rPr>
          <w:iCs/>
          <w:i/>
        </w:rPr>
        <w:t xml:space="preserve">SP 1800-38</w:t>
      </w:r>
      <w:r>
        <w:t xml:space="preserve"> </w:t>
      </w:r>
      <w:r>
        <w:t xml:space="preserve">— PQC migration planning practices (informative).</w:t>
      </w:r>
    </w:p>
    <w:p>
      <w:pPr>
        <w:numPr>
          <w:ilvl w:val="0"/>
          <w:numId w:val="1012"/>
        </w:numPr>
        <w:pStyle w:val="Compact"/>
      </w:pPr>
      <w:r>
        <w:t xml:space="preserve">Cybersecurity and Infrastructure Security Agency. (2024). Post-quantum cryptography migration guidance.</w:t>
      </w:r>
    </w:p>
    <w:p>
      <w:pPr>
        <w:numPr>
          <w:ilvl w:val="0"/>
          <w:numId w:val="1012"/>
        </w:numPr>
        <w:pStyle w:val="Compact"/>
      </w:pPr>
      <w:r>
        <w:t xml:space="preserve">World Economic Forum. (2024).</w:t>
      </w:r>
      <w:r>
        <w:t xml:space="preserve"> </w:t>
      </w:r>
      <w:r>
        <w:rPr>
          <w:iCs/>
          <w:i/>
        </w:rPr>
        <w:t xml:space="preserve">Quantum security: Preparing for the post-quantum era</w:t>
      </w:r>
      <w:r>
        <w:t xml:space="preserve">.</w:t>
      </w:r>
    </w:p>
    <w:p>
      <w:pPr>
        <w:numPr>
          <w:ilvl w:val="0"/>
          <w:numId w:val="1012"/>
        </w:numPr>
        <w:pStyle w:val="Compact"/>
      </w:pPr>
      <w:r>
        <w:t xml:space="preserve">European Parliament and Council. (2022). Digital Operational Resilience Act (DORA).</w:t>
      </w:r>
    </w:p>
    <w:p>
      <w:pPr>
        <w:numPr>
          <w:ilvl w:val="0"/>
          <w:numId w:val="1012"/>
        </w:numPr>
        <w:pStyle w:val="Compact"/>
      </w:pPr>
      <w:r>
        <w:t xml:space="preserve">European Parliament and Council. (2022). NIS2 Directive — measures for high common level of cybersecurity.</w:t>
      </w:r>
    </w:p>
    <w:p>
      <w:pPr>
        <w:numPr>
          <w:ilvl w:val="0"/>
          <w:numId w:val="1012"/>
        </w:numPr>
        <w:pStyle w:val="Compact"/>
      </w:pPr>
      <w:r>
        <w:t xml:space="preserve">Meridian Mutual Bank programme office. (2026).</w:t>
      </w:r>
      <w:r>
        <w:t xml:space="preserve"> </w:t>
      </w:r>
      <w:r>
        <w:rPr>
          <w:iCs/>
          <w:i/>
        </w:rPr>
        <w:t xml:space="preserve">Illustrative TRADE methodology and wave governance</w:t>
      </w:r>
      <w:r>
        <w:t xml:space="preserve"> </w:t>
      </w:r>
      <w:r>
        <w:t xml:space="preserve">(composite case study).</w:t>
      </w:r>
    </w:p>
    <w:p>
      <w:r>
        <w:pict>
          <v:rect style="width:0;height:1.5pt" o:hralign="center" o:hrstd="t" o:hr="t"/>
        </w:pict>
      </w:r>
    </w:p>
    <w:p>
      <w:pPr>
        <w:pStyle w:val="FirstParagraph"/>
      </w:pPr>
      <w:r>
        <w:rPr>
          <w:iCs/>
          <w:i/>
        </w:rPr>
        <w:t xml:space="preserve">End of Part III. Proceed to Part IV: Architecting for Transition.</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2026-06-12T10:03:14Z</dcterms:created>
  <dcterms:modified xsi:type="dcterms:W3CDTF">2026-06-12T10:03:14Z</dcterms:modified>
</cp:coreProperties>
</file>

<file path=docProps/custom.xml><?xml version="1.0" encoding="utf-8"?>
<Properties xmlns="http://schemas.openxmlformats.org/officeDocument/2006/custom-properties" xmlns:vt="http://schemas.openxmlformats.org/officeDocument/2006/docPropsVTypes"/>
</file>