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1"/>
    <w:p>
      <w:pPr>
        <w:pStyle w:val="Heading1"/>
      </w:pPr>
      <w:r>
        <w:t xml:space="preserve">Chapter 11</w:t>
      </w:r>
    </w:p>
    <w:bookmarkEnd w:id="20"/>
    <w:bookmarkStart w:id="80" w:name="hybrid-deployment-patterns"/>
    <w:p>
      <w:pPr>
        <w:pStyle w:val="Heading1"/>
      </w:pPr>
      <w:r>
        <w:t xml:space="preserve">Hybrid Deployment Patterns</w:t>
      </w:r>
    </w:p>
    <w:p>
      <w:r>
        <w:pict>
          <v:rect style="width:0;height:1.5pt" o:hralign="center" o:hrstd="t" o:hr="t"/>
        </w:pict>
      </w:r>
    </w:p>
    <w:p>
      <w:pPr>
        <w:pStyle w:val="FirstParagraph"/>
      </w:pPr>
      <w:r>
        <w:t xml:space="preserve">Meridian Mutual Bank’s security architecture team had a working hybrid TLS configuration in the laboratory by February 2026. OpenSSL negotiated X25519MLKEM768 successfully. The security architecture slide deck declared the pilot complete.</w:t>
      </w:r>
    </w:p>
    <w:p>
      <w:pPr>
        <w:pStyle w:val="BodyText"/>
      </w:pPr>
      <w:r>
        <w:t xml:space="preserve">Production told a different story. Of</w:t>
      </w:r>
      <w:r>
        <w:t xml:space="preserve"> </w:t>
      </w:r>
      <w:r>
        <w:rPr>
          <w:bCs/>
          <w:b/>
        </w:rPr>
        <w:t xml:space="preserve">4.2 million</w:t>
      </w:r>
      <w:r>
        <w:t xml:space="preserve"> </w:t>
      </w:r>
      <w:r>
        <w:t xml:space="preserve">customer API handshakes analysed over thirty days,</w:t>
      </w:r>
      <w:r>
        <w:t xml:space="preserve"> </w:t>
      </w:r>
      <w:r>
        <w:rPr>
          <w:bCs/>
          <w:b/>
        </w:rPr>
        <w:t xml:space="preserve">11.3%</w:t>
      </w:r>
      <w:r>
        <w:t xml:space="preserve"> </w:t>
      </w:r>
      <w:r>
        <w:t xml:space="preserve">of unique client fingerprints failed to negotiate the hybrid group — not because the cryptography was wrong, but because three legacy mobile banking integrations, two corporate treasury middleware products, and a partner webhook platform sent ClientHello messages that middleboxes truncated before the hybrid extension could complete. The CDG showed those clients fanning into twelve downstream payment workflows. Thomas could not declare H1 exit at 90% compatibility without a tiered endpoint strategy, tenant outreach, and compensating controls for fixed embedded clients.</w:t>
      </w:r>
    </w:p>
    <w:p>
      <w:pPr>
        <w:pStyle w:val="BodyText"/>
      </w:pPr>
      <w:r>
        <w:t xml:space="preserve">This chapter teaches the deployment patterns Meridian, GlobalSync, Northfield, and Apex used to move hybrid cryptography from laboratory success to governed production — each pattern bound to the Hybrid Lifecycle Model (HLM) from Chapter 5, sequenced against wave plans from Chapter 9, and gated by blocking nodes from Chapter 8.</w:t>
      </w:r>
    </w:p>
    <w:p>
      <w:r>
        <w:pict>
          <v:rect style="width:0;height:1.5pt" o:hralign="center" o:hrstd="t" o:hr="t"/>
        </w:pict>
      </w:r>
    </w:p>
    <w:bookmarkStart w:id="25" w:name="X49a8fa434ae14ee3bc334c1aa041da043ff3e18"/>
    <w:p>
      <w:pPr>
        <w:pStyle w:val="Heading2"/>
      </w:pPr>
      <w:r>
        <w:t xml:space="preserve">11.1 The Hybrid Lifecycle Model: Full Deployment Specification</w:t>
      </w:r>
    </w:p>
    <w:p>
      <w:pPr>
        <w:pStyle w:val="FirstParagraph"/>
      </w:pPr>
      <w:r>
        <w:t xml:space="preserve">Chapter 5 introduced the Hybrid Lifecycle Model as</w:t>
      </w:r>
      <w:r>
        <w:t xml:space="preserve"> </w:t>
      </w:r>
      <w:r>
        <w:rPr>
          <w:bCs/>
          <w:b/>
        </w:rPr>
        <w:t xml:space="preserve">policy architecture</w:t>
      </w:r>
      <w:r>
        <w:t xml:space="preserve">. Part IV requires the</w:t>
      </w:r>
      <w:r>
        <w:t xml:space="preserve"> </w:t>
      </w:r>
      <w:r>
        <w:rPr>
          <w:bCs/>
          <w:b/>
        </w:rPr>
        <w:t xml:space="preserve">deployment specification</w:t>
      </w:r>
      <w:r>
        <w:t xml:space="preserve"> </w:t>
      </w:r>
      <w:r>
        <w:t xml:space="preserve">— what engineers implement, what architects approve, and what programme offices measure. HLM is not a label applied after deployment; it is a lifecycle contract signed at change approval.</w:t>
      </w:r>
    </w:p>
    <w:p>
      <w:pPr>
        <w:pStyle w:val="BodyText"/>
      </w:pPr>
      <w:r>
        <w:rPr>
          <w:bCs/>
          <w:b/>
        </w:rPr>
        <w:t xml:space="preserve">Table 11.1 — HLM Phase Specification (Deployment View)</w:t>
      </w:r>
    </w:p>
    <w:tbl>
      <w:tblPr>
        <w:tblStyle w:val="Table"/>
        <w:tblW w:type="pct" w:w="5000"/>
        <w:tblLook w:firstRow="1" w:lastRow="0" w:firstColumn="0" w:lastColumn="0" w:noHBand="0" w:noVBand="0" w:val="0020"/>
        <w:jc w:val="start"/>
      </w:tblPr>
      <w:tblGrid>
        <w:gridCol w:w="602"/>
        <w:gridCol w:w="516"/>
        <w:gridCol w:w="1893"/>
        <w:gridCol w:w="1119"/>
        <w:gridCol w:w="2238"/>
        <w:gridCol w:w="1549"/>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Cryptographic posture</w:t>
            </w:r>
          </w:p>
        </w:tc>
        <w:tc>
          <w:tcPr/>
          <w:p>
            <w:pPr>
              <w:pStyle w:val="Compact"/>
              <w:jc w:val="left"/>
            </w:pPr>
            <w:r>
              <w:t xml:space="preserve">Entry gates</w:t>
            </w:r>
          </w:p>
        </w:tc>
        <w:tc>
          <w:tcPr/>
          <w:p>
            <w:pPr>
              <w:pStyle w:val="Compact"/>
              <w:jc w:val="left"/>
            </w:pPr>
            <w:r>
              <w:t xml:space="preserve">Exit criteria (measurable)</w:t>
            </w:r>
          </w:p>
        </w:tc>
        <w:tc>
          <w:tcPr/>
          <w:p>
            <w:pPr>
              <w:pStyle w:val="Compact"/>
              <w:jc w:val="left"/>
            </w:pPr>
            <w:r>
              <w:t xml:space="preserve">CBOM</w:t>
            </w:r>
            <w:r>
              <w:t xml:space="preserve"> </w:t>
            </w:r>
            <w:r>
              <w:rPr>
                <w:rStyle w:val="VerbatimChar"/>
              </w:rPr>
              <w:t xml:space="preserve">hlm_phase</w:t>
            </w:r>
          </w:p>
        </w:tc>
      </w:tr>
      <w:tr>
        <w:tc>
          <w:tcPr/>
          <w:p>
            <w:pPr>
              <w:pStyle w:val="Compact"/>
              <w:jc w:val="left"/>
            </w:pPr>
            <w:r>
              <w:rPr>
                <w:bCs/>
                <w:b/>
              </w:rPr>
              <w:t xml:space="preserve">H1</w:t>
            </w:r>
          </w:p>
        </w:tc>
        <w:tc>
          <w:tcPr/>
          <w:p>
            <w:pPr>
              <w:pStyle w:val="Compact"/>
              <w:jc w:val="left"/>
            </w:pPr>
            <w:r>
              <w:t xml:space="preserve">Protective Hybrid</w:t>
            </w:r>
          </w:p>
        </w:tc>
        <w:tc>
          <w:tcPr/>
          <w:p>
            <w:pPr>
              <w:pStyle w:val="Compact"/>
              <w:jc w:val="left"/>
            </w:pPr>
            <w:r>
              <w:t xml:space="preserve">Classical + PQC combined per approved construction</w:t>
            </w:r>
          </w:p>
        </w:tc>
        <w:tc>
          <w:tcPr/>
          <w:p>
            <w:pPr>
              <w:pStyle w:val="Compact"/>
              <w:jc w:val="left"/>
            </w:pPr>
            <w:r>
              <w:t xml:space="preserve">Algorithm matrix approval; hybrid policy signed;</w:t>
            </w:r>
            <w:r>
              <w:t xml:space="preserve"> </w:t>
            </w:r>
            <w:r>
              <w:rPr>
                <w:rStyle w:val="VerbatimChar"/>
              </w:rPr>
              <w:t xml:space="preserve">h2_trigger_value</w:t>
            </w:r>
            <w:r>
              <w:t xml:space="preserve"> </w:t>
            </w:r>
            <w:r>
              <w:t xml:space="preserve">populated; infrastructure buffer assessment complete</w:t>
            </w:r>
          </w:p>
        </w:tc>
        <w:tc>
          <w:tcPr/>
          <w:p>
            <w:pPr>
              <w:pStyle w:val="Compact"/>
              <w:jc w:val="left"/>
            </w:pPr>
            <w:r>
              <w:t xml:space="preserve">Ecosystem threshold met</w:t>
            </w:r>
            <w:r>
              <w:t xml:space="preserve"> </w:t>
            </w:r>
            <w:r>
              <w:rPr>
                <w:bCs/>
                <w:b/>
              </w:rPr>
              <w:t xml:space="preserve">or</w:t>
            </w:r>
            <w:r>
              <w:t xml:space="preserve"> </w:t>
            </w:r>
            <w:r>
              <w:t xml:space="preserve">calendar/vendor trigger fired per policy</w:t>
            </w:r>
          </w:p>
        </w:tc>
        <w:tc>
          <w:tcPr/>
          <w:p>
            <w:pPr>
              <w:pStyle w:val="Compact"/>
              <w:jc w:val="left"/>
            </w:pPr>
            <w:r>
              <w:rPr>
                <w:rStyle w:val="VerbatimChar"/>
              </w:rPr>
              <w:t xml:space="preserve">H1</w:t>
            </w:r>
          </w:p>
        </w:tc>
      </w:tr>
      <w:tr>
        <w:tc>
          <w:tcPr/>
          <w:p>
            <w:pPr>
              <w:pStyle w:val="Compact"/>
              <w:jc w:val="left"/>
            </w:pPr>
            <w:r>
              <w:rPr>
                <w:bCs/>
                <w:b/>
              </w:rPr>
              <w:t xml:space="preserve">H2</w:t>
            </w:r>
          </w:p>
        </w:tc>
        <w:tc>
          <w:tcPr/>
          <w:p>
            <w:pPr>
              <w:pStyle w:val="Compact"/>
              <w:jc w:val="left"/>
            </w:pPr>
            <w:r>
              <w:t xml:space="preserve">Transitional Hybrid</w:t>
            </w:r>
          </w:p>
        </w:tc>
        <w:tc>
          <w:tcPr/>
          <w:p>
            <w:pPr>
              <w:pStyle w:val="Compact"/>
              <w:jc w:val="left"/>
            </w:pPr>
            <w:r>
              <w:t xml:space="preserve">PQC-primary; classical permitted only for documented exceptions</w:t>
            </w:r>
          </w:p>
        </w:tc>
        <w:tc>
          <w:tcPr/>
          <w:p>
            <w:pPr>
              <w:pStyle w:val="Compact"/>
              <w:jc w:val="left"/>
            </w:pPr>
            <w:r>
              <w:t xml:space="preserve">H1 exit for scope; enterprise policy deprecates classical component for new deployments</w:t>
            </w:r>
          </w:p>
        </w:tc>
        <w:tc>
          <w:tcPr/>
          <w:p>
            <w:pPr>
              <w:pStyle w:val="Compact"/>
              <w:jc w:val="left"/>
            </w:pPr>
            <w:r>
              <w:t xml:space="preserve">Zero new classical-only deployments in scope without exception; classical sunset date reached</w:t>
            </w:r>
          </w:p>
        </w:tc>
        <w:tc>
          <w:tcPr/>
          <w:p>
            <w:pPr>
              <w:pStyle w:val="Compact"/>
              <w:jc w:val="left"/>
            </w:pPr>
            <w:r>
              <w:rPr>
                <w:rStyle w:val="VerbatimChar"/>
              </w:rPr>
              <w:t xml:space="preserve">H2</w:t>
            </w:r>
          </w:p>
        </w:tc>
      </w:tr>
      <w:tr>
        <w:tc>
          <w:tcPr/>
          <w:p>
            <w:pPr>
              <w:pStyle w:val="Compact"/>
              <w:jc w:val="left"/>
            </w:pPr>
            <w:r>
              <w:rPr>
                <w:bCs/>
                <w:b/>
              </w:rPr>
              <w:t xml:space="preserve">H3</w:t>
            </w:r>
          </w:p>
        </w:tc>
        <w:tc>
          <w:tcPr/>
          <w:p>
            <w:pPr>
              <w:pStyle w:val="Compact"/>
              <w:jc w:val="left"/>
            </w:pPr>
            <w:r>
              <w:t xml:space="preserve">PQC-Native</w:t>
            </w:r>
          </w:p>
        </w:tc>
        <w:tc>
          <w:tcPr/>
          <w:p>
            <w:pPr>
              <w:pStyle w:val="Compact"/>
              <w:jc w:val="left"/>
            </w:pPr>
            <w:r>
              <w:t xml:space="preserve">Quantum-vulnerable PKC removed</w:t>
            </w:r>
          </w:p>
        </w:tc>
        <w:tc>
          <w:tcPr/>
          <w:p>
            <w:pPr>
              <w:pStyle w:val="Compact"/>
              <w:jc w:val="left"/>
            </w:pPr>
            <w:r>
              <w:t xml:space="preserve">H2 exit; validation complete; partner alignment confirmed</w:t>
            </w:r>
          </w:p>
        </w:tc>
        <w:tc>
          <w:tcPr/>
          <w:p>
            <w:pPr>
              <w:pStyle w:val="Compact"/>
              <w:jc w:val="left"/>
            </w:pPr>
            <w:r>
              <w:t xml:space="preserve">CBOM scan confirms zero disallowed algorithms; penetration test clean</w:t>
            </w:r>
          </w:p>
        </w:tc>
        <w:tc>
          <w:tcPr/>
          <w:p>
            <w:pPr>
              <w:pStyle w:val="Compact"/>
              <w:jc w:val="left"/>
            </w:pPr>
            <w:r>
              <w:rPr>
                <w:rStyle w:val="VerbatimChar"/>
              </w:rPr>
              <w:t xml:space="preserve">H3</w:t>
            </w:r>
          </w:p>
        </w:tc>
      </w:tr>
    </w:tbl>
    <w:bookmarkStart w:id="21" w:name="h1-deployment-requirements"/>
    <w:p>
      <w:pPr>
        <w:pStyle w:val="Heading3"/>
      </w:pPr>
      <w:r>
        <w:t xml:space="preserve">H1 deployment requirements</w:t>
      </w:r>
    </w:p>
    <w:p>
      <w:pPr>
        <w:pStyle w:val="FirstParagraph"/>
      </w:pPr>
      <w:r>
        <w:t xml:space="preserve">Every H1 production deployment must satisfy</w:t>
      </w:r>
      <w:r>
        <w:t xml:space="preserve"> </w:t>
      </w:r>
      <w:r>
        <w:rPr>
          <w:bCs/>
          <w:b/>
        </w:rPr>
        <w:t xml:space="preserve">seven mandatory controls</w:t>
      </w:r>
      <w:r>
        <w:t xml:space="preserve"> </w:t>
      </w:r>
      <w:r>
        <w:t xml:space="preserve">before change approval:</w:t>
      </w:r>
    </w:p>
    <w:p>
      <w:pPr>
        <w:numPr>
          <w:ilvl w:val="0"/>
          <w:numId w:val="1001"/>
        </w:numPr>
        <w:pStyle w:val="Compact"/>
      </w:pPr>
      <w:r>
        <w:rPr>
          <w:bCs/>
          <w:b/>
        </w:rPr>
        <w:t xml:space="preserve">Approved construction</w:t>
      </w:r>
      <w:r>
        <w:t xml:space="preserve"> </w:t>
      </w:r>
      <w:r>
        <w:t xml:space="preserve">— combination listed in enterprise hybrid policy (Chapter 5 §5.7);</w:t>
      </w:r>
      <w:r>
        <w:t xml:space="preserve"> </w:t>
      </w:r>
      <w:r>
        <w:rPr>
          <w:rStyle w:val="VerbatimChar"/>
        </w:rPr>
        <w:t xml:space="preserve">hybrid_construction_ref</w:t>
      </w:r>
      <w:r>
        <w:t xml:space="preserve"> </w:t>
      </w:r>
      <w:r>
        <w:t xml:space="preserve">populated in CBOM.</w:t>
      </w:r>
    </w:p>
    <w:p>
      <w:pPr>
        <w:numPr>
          <w:ilvl w:val="0"/>
          <w:numId w:val="1001"/>
        </w:numPr>
        <w:pStyle w:val="Compact"/>
      </w:pPr>
      <w:r>
        <w:rPr>
          <w:bCs/>
          <w:b/>
        </w:rPr>
        <w:t xml:space="preserve">H2 trigger</w:t>
      </w:r>
      <w:r>
        <w:t xml:space="preserve"> </w:t>
      </w:r>
      <w:r>
        <w:t xml:space="preserve">—</w:t>
      </w:r>
      <w:r>
        <w:t xml:space="preserve"> </w:t>
      </w:r>
      <w:r>
        <w:rPr>
          <w:rStyle w:val="VerbatimChar"/>
        </w:rPr>
        <w:t xml:space="preserve">h2_trigger_type</w:t>
      </w:r>
      <w:r>
        <w:t xml:space="preserve"> </w:t>
      </w:r>
      <w:r>
        <w:t xml:space="preserve">and</w:t>
      </w:r>
      <w:r>
        <w:t xml:space="preserve"> </w:t>
      </w:r>
      <w:r>
        <w:rPr>
          <w:rStyle w:val="VerbatimChar"/>
        </w:rPr>
        <w:t xml:space="preserve">h2_trigger_value</w:t>
      </w:r>
      <w:r>
        <w:t xml:space="preserve"> </w:t>
      </w:r>
      <w:r>
        <w:t xml:space="preserve">non-empty; change management rejects approvals without them.</w:t>
      </w:r>
    </w:p>
    <w:p>
      <w:pPr>
        <w:numPr>
          <w:ilvl w:val="0"/>
          <w:numId w:val="1001"/>
        </w:numPr>
        <w:pStyle w:val="Compact"/>
      </w:pPr>
      <w:r>
        <w:rPr>
          <w:bCs/>
          <w:b/>
        </w:rPr>
        <w:t xml:space="preserve">Classical component identification</w:t>
      </w:r>
      <w:r>
        <w:t xml:space="preserve"> </w:t>
      </w:r>
      <w:r>
        <w:t xml:space="preserve">—</w:t>
      </w:r>
      <w:r>
        <w:t xml:space="preserve"> </w:t>
      </w:r>
      <w:r>
        <w:rPr>
          <w:rStyle w:val="VerbatimChar"/>
        </w:rPr>
        <w:t xml:space="preserve">classical_component</w:t>
      </w:r>
      <w:r>
        <w:t xml:space="preserve"> </w:t>
      </w:r>
      <w:r>
        <w:t xml:space="preserve">attribute names algorithm subject to sunset (e.g. </w:t>
      </w:r>
      <w:r>
        <w:rPr>
          <w:rStyle w:val="VerbatimChar"/>
        </w:rPr>
        <w:t xml:space="preserve">ECDH_X25519</w:t>
      </w:r>
      <w:r>
        <w:t xml:space="preserve">,</w:t>
      </w:r>
      <w:r>
        <w:t xml:space="preserve"> </w:t>
      </w:r>
      <w:r>
        <w:rPr>
          <w:rStyle w:val="VerbatimChar"/>
        </w:rPr>
        <w:t xml:space="preserve">ECDSA_P256</w:t>
      </w:r>
      <w:r>
        <w:t xml:space="preserve">).</w:t>
      </w:r>
    </w:p>
    <w:p>
      <w:pPr>
        <w:numPr>
          <w:ilvl w:val="0"/>
          <w:numId w:val="1001"/>
        </w:numPr>
        <w:pStyle w:val="Compact"/>
      </w:pPr>
      <w:r>
        <w:rPr>
          <w:bCs/>
          <w:b/>
        </w:rPr>
        <w:t xml:space="preserve">Infrastructure assessment</w:t>
      </w:r>
      <w:r>
        <w:t xml:space="preserve"> </w:t>
      </w:r>
      <w:r>
        <w:t xml:space="preserve">— handshake buffer, MTU, proxy, and middlebox limits documented for the deployment path.</w:t>
      </w:r>
    </w:p>
    <w:p>
      <w:pPr>
        <w:numPr>
          <w:ilvl w:val="0"/>
          <w:numId w:val="1001"/>
        </w:numPr>
        <w:pStyle w:val="Compact"/>
      </w:pPr>
      <w:r>
        <w:rPr>
          <w:bCs/>
          <w:b/>
        </w:rPr>
        <w:t xml:space="preserve">Rollback plan</w:t>
      </w:r>
      <w:r>
        <w:t xml:space="preserve"> </w:t>
      </w:r>
      <w:r>
        <w:t xml:space="preserve">— classical-only fallback tested; rollback does not require emergency CAB.</w:t>
      </w:r>
    </w:p>
    <w:p>
      <w:pPr>
        <w:numPr>
          <w:ilvl w:val="0"/>
          <w:numId w:val="1001"/>
        </w:numPr>
        <w:pStyle w:val="Compact"/>
      </w:pPr>
      <w:r>
        <w:rPr>
          <w:bCs/>
          <w:b/>
        </w:rPr>
        <w:t xml:space="preserve">Monitoring</w:t>
      </w:r>
      <w:r>
        <w:t xml:space="preserve"> </w:t>
      </w:r>
      <w:r>
        <w:t xml:space="preserve">— production telemetry distinguishes hybrid vs classical negotiation rates by client cohort.</w:t>
      </w:r>
    </w:p>
    <w:p>
      <w:pPr>
        <w:numPr>
          <w:ilvl w:val="0"/>
          <w:numId w:val="1001"/>
        </w:numPr>
        <w:pStyle w:val="Compact"/>
      </w:pPr>
      <w:r>
        <w:rPr>
          <w:bCs/>
          <w:b/>
        </w:rPr>
        <w:t xml:space="preserve">Exception linkage</w:t>
      </w:r>
      <w:r>
        <w:t xml:space="preserve"> </w:t>
      </w:r>
      <w:r>
        <w:t xml:space="preserve">— clients unable to negotiate hybrid classified Tier B or C (Chapter 5 §5.18) with documented remediation or risk acceptance.</w:t>
      </w:r>
    </w:p>
    <w:p>
      <w:pPr>
        <w:pStyle w:val="FirstParagraph"/>
      </w:pPr>
      <w:r>
        <w:t xml:space="preserve">H1 is the phase most enterprises occupy in 2026–2028. It is also the phase where</w:t>
      </w:r>
      <w:r>
        <w:t xml:space="preserve"> </w:t>
      </w:r>
      <w:r>
        <w:rPr>
          <w:bCs/>
          <w:b/>
        </w:rPr>
        <w:t xml:space="preserve">permanent hybrid</w:t>
      </w:r>
      <w:r>
        <w:t xml:space="preserve"> </w:t>
      </w:r>
      <w:r>
        <w:t xml:space="preserve">failure mode originates — when teams treat H1 as destination rather than protective interim.</w:t>
      </w:r>
    </w:p>
    <w:bookmarkEnd w:id="21"/>
    <w:bookmarkStart w:id="22" w:name="h2-deployment-requirements"/>
    <w:p>
      <w:pPr>
        <w:pStyle w:val="Heading3"/>
      </w:pPr>
      <w:r>
        <w:t xml:space="preserve">H2 deployment requirements</w:t>
      </w:r>
    </w:p>
    <w:p>
      <w:pPr>
        <w:pStyle w:val="FirstParagraph"/>
      </w:pPr>
      <w:r>
        <w:t xml:space="preserve">H2 begins when H1 exit criteria are met for a</w:t>
      </w:r>
      <w:r>
        <w:t xml:space="preserve"> </w:t>
      </w:r>
      <w:r>
        <w:rPr>
          <w:bCs/>
          <w:b/>
        </w:rPr>
        <w:t xml:space="preserve">defined scope</w:t>
      </w:r>
      <w:r>
        <w:t xml:space="preserve"> </w:t>
      </w:r>
      <w:r>
        <w:t xml:space="preserve">— not necessarily the entire estate. Scope may be: a service tier (</w:t>
      </w:r>
      <w:r>
        <w:rPr>
          <w:rStyle w:val="VerbatimChar"/>
        </w:rPr>
        <w:t xml:space="preserve">api-public-v2</w:t>
      </w:r>
      <w:r>
        <w:t xml:space="preserve">), business unit, geographic region, or protocol class.</w:t>
      </w:r>
    </w:p>
    <w:p>
      <w:pPr>
        <w:pStyle w:val="BodyText"/>
      </w:pPr>
      <w:r>
        <w:t xml:space="preserve">H2 operational rules:</w:t>
      </w:r>
    </w:p>
    <w:p>
      <w:pPr>
        <w:numPr>
          <w:ilvl w:val="0"/>
          <w:numId w:val="1002"/>
        </w:numPr>
        <w:pStyle w:val="Compact"/>
      </w:pPr>
      <w:r>
        <w:rPr>
          <w:bCs/>
          <w:b/>
        </w:rPr>
        <w:t xml:space="preserve">New deployments</w:t>
      </w:r>
      <w:r>
        <w:t xml:space="preserve"> </w:t>
      </w:r>
      <w:r>
        <w:t xml:space="preserve">in scope use PQC-only where ecosystem readiness (TRADE E ≥ 4) permits.</w:t>
      </w:r>
    </w:p>
    <w:p>
      <w:pPr>
        <w:numPr>
          <w:ilvl w:val="0"/>
          <w:numId w:val="1002"/>
        </w:numPr>
        <w:pStyle w:val="Compact"/>
      </w:pPr>
      <w:r>
        <w:rPr>
          <w:bCs/>
          <w:b/>
        </w:rPr>
        <w:t xml:space="preserve">Existing hybrids</w:t>
      </w:r>
      <w:r>
        <w:t xml:space="preserve"> </w:t>
      </w:r>
      <w:r>
        <w:t xml:space="preserve">remain until classical sunset date or per-system remediation plan completes.</w:t>
      </w:r>
    </w:p>
    <w:p>
      <w:pPr>
        <w:numPr>
          <w:ilvl w:val="0"/>
          <w:numId w:val="1002"/>
        </w:numPr>
        <w:pStyle w:val="Compact"/>
      </w:pPr>
      <w:r>
        <w:rPr>
          <w:bCs/>
          <w:b/>
        </w:rPr>
        <w:t xml:space="preserve">SDLC gates</w:t>
      </w:r>
      <w:r>
        <w:t xml:space="preserve"> </w:t>
      </w:r>
      <w:r>
        <w:t xml:space="preserve">reject classical-only PKC in new code paths within H2 scope.</w:t>
      </w:r>
    </w:p>
    <w:p>
      <w:pPr>
        <w:numPr>
          <w:ilvl w:val="0"/>
          <w:numId w:val="1002"/>
        </w:numPr>
        <w:pStyle w:val="Compact"/>
      </w:pPr>
      <w:r>
        <w:rPr>
          <w:bCs/>
          <w:b/>
        </w:rPr>
        <w:t xml:space="preserve">Quarterly CBOM review</w:t>
      </w:r>
      <w:r>
        <w:t xml:space="preserve"> </w:t>
      </w:r>
      <w:r>
        <w:t xml:space="preserve">identifies systems that should have transitioned but remain H1 — trigger breach metric (Chapter 5 §5.26).</w:t>
      </w:r>
    </w:p>
    <w:p>
      <w:pPr>
        <w:pStyle w:val="FirstParagraph"/>
      </w:pPr>
      <w:r>
        <w:t xml:space="preserve">GlobalSync declared H2 entry for its Tier A API cohort when measured hybrid negotiation exceeded</w:t>
      </w:r>
      <w:r>
        <w:t xml:space="preserve"> </w:t>
      </w:r>
      <w:r>
        <w:rPr>
          <w:bCs/>
          <w:b/>
        </w:rPr>
        <w:t xml:space="preserve">92%</w:t>
      </w:r>
      <w:r>
        <w:t xml:space="preserve"> </w:t>
      </w:r>
      <w:r>
        <w:t xml:space="preserve">of production handshakes — not when engineering declared pilot success.</w:t>
      </w:r>
    </w:p>
    <w:bookmarkEnd w:id="22"/>
    <w:bookmarkStart w:id="23" w:name="h3-deployment-requirements"/>
    <w:p>
      <w:pPr>
        <w:pStyle w:val="Heading3"/>
      </w:pPr>
      <w:r>
        <w:t xml:space="preserve">H3 deployment requirements</w:t>
      </w:r>
    </w:p>
    <w:p>
      <w:pPr>
        <w:pStyle w:val="FirstParagraph"/>
      </w:pPr>
      <w:r>
        <w:t xml:space="preserve">H3 is disallowance-aligned target state. Verification is</w:t>
      </w:r>
      <w:r>
        <w:t xml:space="preserve"> </w:t>
      </w:r>
      <w:r>
        <w:rPr>
          <w:bCs/>
          <w:b/>
        </w:rPr>
        <w:t xml:space="preserve">evidence-based</w:t>
      </w:r>
      <w:r>
        <w:t xml:space="preserve">, not declarative:</w:t>
      </w:r>
    </w:p>
    <w:p>
      <w:pPr>
        <w:numPr>
          <w:ilvl w:val="0"/>
          <w:numId w:val="1003"/>
        </w:numPr>
        <w:pStyle w:val="Compact"/>
      </w:pPr>
      <w:r>
        <w:t xml:space="preserve">Automated CBOM scan with zero quantum-vulnerable PKC in scope (algorithm policy from Chapter 4).</w:t>
      </w:r>
    </w:p>
    <w:p>
      <w:pPr>
        <w:numPr>
          <w:ilvl w:val="0"/>
          <w:numId w:val="1003"/>
        </w:numPr>
        <w:pStyle w:val="Compact"/>
      </w:pPr>
      <w:r>
        <w:t xml:space="preserve">Sampled penetration test confirming no classical-only regression on in-scope endpoints.</w:t>
      </w:r>
    </w:p>
    <w:p>
      <w:pPr>
        <w:numPr>
          <w:ilvl w:val="0"/>
          <w:numId w:val="1003"/>
        </w:numPr>
        <w:pStyle w:val="Compact"/>
      </w:pPr>
      <w:r>
        <w:t xml:space="preserve">Partner and tenant notification archive for scopes that required contractual amendment.</w:t>
      </w:r>
    </w:p>
    <w:p>
      <w:pPr>
        <w:numPr>
          <w:ilvl w:val="0"/>
          <w:numId w:val="1003"/>
        </w:numPr>
        <w:pStyle w:val="Compact"/>
      </w:pPr>
      <w:r>
        <w:t xml:space="preserve">Regulatory evidence package updated where supervisory review applies (Meridian DORA pattern, Chapter 5 §5.11).</w:t>
      </w:r>
    </w:p>
    <w:p>
      <w:pPr>
        <w:pStyle w:val="BlockText"/>
      </w:pPr>
      <w:r>
        <w:rPr>
          <w:bCs/>
          <w:b/>
        </w:rPr>
        <w:t xml:space="preserve">Architect’s Decision</w:t>
      </w:r>
    </w:p>
    <w:p>
      <w:pPr>
        <w:pStyle w:val="BlockText"/>
      </w:pPr>
      <w:r>
        <w:rPr>
          <w:bCs/>
          <w:b/>
        </w:rPr>
        <w:t xml:space="preserve">Scope HLM phases per workload class, not per enterprise.</w:t>
      </w:r>
      <w:r>
        <w:t xml:space="preserve"> </w:t>
      </w:r>
      <w:r>
        <w:t xml:space="preserve">Apex maintains independent HLM tracks for NSS and corporate IT (Chapter 5 §5.13). Northfield tracks Gulf Coast compressor firmware separately from Midwest RTU rollout. A single enterprise-wide</w:t>
      </w:r>
      <w:r>
        <w:t xml:space="preserve"> </w:t>
      </w:r>
      <w:r>
        <w:t xml:space="preserve">“</w:t>
      </w:r>
      <w:r>
        <w:t xml:space="preserve">we are in H2</w:t>
      </w:r>
      <w:r>
        <w:t xml:space="preserve">”</w:t>
      </w:r>
      <w:r>
        <w:t xml:space="preserve"> </w:t>
      </w:r>
      <w:r>
        <w:t xml:space="preserve">claim obscures blocking nodes and produces audit findings.</w:t>
      </w:r>
    </w:p>
    <w:bookmarkEnd w:id="23"/>
    <w:bookmarkStart w:id="24" w:name="hlm-phase-transition-diagram"/>
    <w:p>
      <w:pPr>
        <w:pStyle w:val="Heading3"/>
      </w:pPr>
      <w:r>
        <w:t xml:space="preserve">HLM phase transition diagram</w:t>
      </w:r>
    </w:p>
    <w:p>
      <w:pPr>
        <w:pStyle w:val="FirstParagraph"/>
      </w:pPr>
      <w:r>
        <w:rPr>
          <w:bCs/>
          <w:b/>
        </w:rPr>
        <w:t xml:space="preserve">Figure 11.1 — HLM Phase Transitions with Programme Gates</w:t>
      </w:r>
    </w:p>
    <w:p>
      <w:pPr>
        <w:pStyle w:val="SourceCode"/>
      </w:pPr>
      <w:r>
        <w:rPr>
          <w:rStyle w:val="VerbatimChar"/>
        </w:rPr>
        <w:t xml:space="preserve">                    +------------------+</w:t>
      </w:r>
      <w:r>
        <w:br/>
      </w:r>
      <w:r>
        <w:rPr>
          <w:rStyle w:val="VerbatimChar"/>
        </w:rPr>
        <w:t xml:space="preserve">                    |  Policy + CBOM   |</w:t>
      </w:r>
      <w:r>
        <w:br/>
      </w:r>
      <w:r>
        <w:rPr>
          <w:rStyle w:val="VerbatimChar"/>
        </w:rPr>
        <w:t xml:space="preserve">                    |  baseline ready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H1: Protective Hybrid       |</w:t>
      </w:r>
      <w:r>
        <w:br/>
      </w:r>
      <w:r>
        <w:rPr>
          <w:rStyle w:val="VerbatimChar"/>
        </w:rPr>
        <w:t xml:space="preserve">              |  Classical + PQC combined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ecosystem      | calendar /     |</w:t>
      </w:r>
      <w:r>
        <w:br/>
      </w:r>
      <w:r>
        <w:rPr>
          <w:rStyle w:val="VerbatimChar"/>
        </w:rPr>
        <w:t xml:space="preserve">            | threshold met  | vendor trigger   |</w:t>
      </w:r>
      <w:r>
        <w:br/>
      </w:r>
      <w:r>
        <w:rPr>
          <w:rStyle w:val="VerbatimChar"/>
        </w:rPr>
        <w:t xml:space="preserve">            v                v                |</w:t>
      </w:r>
      <w:r>
        <w:br/>
      </w:r>
      <w:r>
        <w:rPr>
          <w:rStyle w:val="VerbatimChar"/>
        </w:rPr>
        <w:t xml:space="preserve">   +----------------+  +----------------+    |</w:t>
      </w:r>
      <w:r>
        <w:br/>
      </w:r>
      <w:r>
        <w:rPr>
          <w:rStyle w:val="VerbatimChar"/>
        </w:rPr>
        <w:t xml:space="preserve">   | H2: Transitional|  | Risk acceptance|    |</w:t>
      </w:r>
      <w:r>
        <w:br/>
      </w:r>
      <w:r>
        <w:rPr>
          <w:rStyle w:val="VerbatimChar"/>
        </w:rPr>
        <w:t xml:space="preserve">   | PQC-primary     |  | (bounded H1)   |    |</w:t>
      </w:r>
      <w:r>
        <w:br/>
      </w:r>
      <w:r>
        <w:rPr>
          <w:rStyle w:val="VerbatimChar"/>
        </w:rPr>
        <w:t xml:space="preserve">   +--------+--------+  +----------------+    |</w:t>
      </w:r>
      <w:r>
        <w:br/>
      </w:r>
      <w:r>
        <w:rPr>
          <w:rStyle w:val="VerbatimChar"/>
        </w:rPr>
        <w:t xml:space="preserve">            |                                  |</w:t>
      </w:r>
      <w:r>
        <w:br/>
      </w:r>
      <w:r>
        <w:rPr>
          <w:rStyle w:val="VerbatimChar"/>
        </w:rPr>
        <w:t xml:space="preserve">            | classical sunset + validation    |</w:t>
      </w:r>
      <w:r>
        <w:br/>
      </w:r>
      <w:r>
        <w:rPr>
          <w:rStyle w:val="VerbatimChar"/>
        </w:rPr>
        <w:t xml:space="preserve">            v                                  |</w:t>
      </w:r>
      <w:r>
        <w:br/>
      </w:r>
      <w:r>
        <w:rPr>
          <w:rStyle w:val="VerbatimChar"/>
        </w:rPr>
        <w:t xml:space="preserve">   +------------------+                        |</w:t>
      </w:r>
      <w:r>
        <w:br/>
      </w:r>
      <w:r>
        <w:rPr>
          <w:rStyle w:val="VerbatimChar"/>
        </w:rPr>
        <w:t xml:space="preserve">   | H3: PQC-Native   |&lt;-----------------------+</w:t>
      </w:r>
      <w:r>
        <w:br/>
      </w:r>
      <w:r>
        <w:rPr>
          <w:rStyle w:val="VerbatimChar"/>
        </w:rPr>
        <w:t xml:space="preserve">   | Zero disallowed  |</w:t>
      </w:r>
      <w:r>
        <w:br/>
      </w:r>
      <w:r>
        <w:rPr>
          <w:rStyle w:val="VerbatimChar"/>
        </w:rPr>
        <w:t xml:space="preserve">   | quantum-vuln PKC |</w:t>
      </w:r>
      <w:r>
        <w:br/>
      </w:r>
      <w:r>
        <w:rPr>
          <w:rStyle w:val="VerbatimChar"/>
        </w:rPr>
        <w:t xml:space="preserve">   +------------------+</w:t>
      </w:r>
    </w:p>
    <w:p>
      <w:pPr>
        <w:pStyle w:val="FirstParagraph"/>
      </w:pPr>
      <w:r>
        <w:rPr>
          <w:bCs/>
          <w:b/>
        </w:rPr>
        <w:t xml:space="preserve">Production brief — Figure 11.1:</w:t>
      </w:r>
      <w:r>
        <w:t xml:space="preserve"> </w:t>
      </w:r>
      <w:r>
        <w:t xml:space="preserve">Swim-lane diagram with solid arrows for normal transitions and dashed arrow for bounded H1 extension via risk acceptance. Annotate each gate with CBOM field names (</w:t>
      </w:r>
      <w:r>
        <w:rPr>
          <w:rStyle w:val="VerbatimChar"/>
        </w:rPr>
        <w:t xml:space="preserve">h2_trigger_value</w:t>
      </w:r>
      <w:r>
        <w:t xml:space="preserve">,</w:t>
      </w:r>
      <w:r>
        <w:t xml:space="preserve"> </w:t>
      </w:r>
      <w:r>
        <w:rPr>
          <w:rStyle w:val="VerbatimChar"/>
        </w:rPr>
        <w:t xml:space="preserve">exception_id</w:t>
      </w:r>
      <w:r>
        <w:t xml:space="preserve">).</w:t>
      </w:r>
    </w:p>
    <w:p>
      <w:r>
        <w:pict>
          <v:rect style="width:0;height:1.5pt" o:hralign="center" o:hrstd="t" o:hr="t"/>
        </w:pict>
      </w:r>
    </w:p>
    <w:bookmarkEnd w:id="24"/>
    <w:bookmarkEnd w:id="25"/>
    <w:bookmarkStart w:id="26" w:name="X10956d63c96fd30dd5c851a0627ec9a0dd81b8b"/>
    <w:p>
      <w:pPr>
        <w:pStyle w:val="Heading2"/>
      </w:pPr>
      <w:r>
        <w:t xml:space="preserve">11.2 Pattern Selection: When Hybrid Is Mandatory, Optional, or Prohibited</w:t>
      </w:r>
    </w:p>
    <w:p>
      <w:pPr>
        <w:pStyle w:val="FirstParagraph"/>
      </w:pPr>
      <w:r>
        <w:t xml:space="preserve">Not every system requires hybrid deployment. Misapplied hybrids add operational cost without security benefit. Pattern selection follows a decision sequence:</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Condition</w:t>
            </w:r>
          </w:p>
        </w:tc>
        <w:tc>
          <w:tcPr/>
          <w:p>
            <w:pPr>
              <w:pStyle w:val="Compact"/>
              <w:jc w:val="left"/>
            </w:pPr>
            <w:r>
              <w:t xml:space="preserve">Recommendation</w:t>
            </w:r>
          </w:p>
        </w:tc>
      </w:tr>
      <w:tr>
        <w:tc>
          <w:tcPr/>
          <w:p>
            <w:pPr>
              <w:pStyle w:val="Compact"/>
              <w:jc w:val="left"/>
            </w:pPr>
            <w:r>
              <w:t xml:space="preserve">External-facing protocol with heterogeneous clients</w:t>
            </w:r>
          </w:p>
        </w:tc>
        <w:tc>
          <w:tcPr/>
          <w:p>
            <w:pPr>
              <w:pStyle w:val="Compact"/>
              <w:jc w:val="left"/>
            </w:pPr>
            <w:r>
              <w:t xml:space="preserve">H1 hybrid (TLS, partner APIs)</w:t>
            </w:r>
          </w:p>
        </w:tc>
      </w:tr>
      <w:tr>
        <w:tc>
          <w:tcPr/>
          <w:p>
            <w:pPr>
              <w:pStyle w:val="Compact"/>
              <w:jc w:val="left"/>
            </w:pPr>
            <w:r>
              <w:t xml:space="preserve">Closed ecosystem; all endpoints controlled</w:t>
            </w:r>
          </w:p>
        </w:tc>
        <w:tc>
          <w:tcPr/>
          <w:p>
            <w:pPr>
              <w:pStyle w:val="Compact"/>
              <w:jc w:val="left"/>
            </w:pPr>
            <w:r>
              <w:t xml:space="preserve">Evaluate PQC-native skip of H1</w:t>
            </w:r>
          </w:p>
        </w:tc>
      </w:tr>
      <w:tr>
        <w:tc>
          <w:tcPr/>
          <w:p>
            <w:pPr>
              <w:pStyle w:val="Compact"/>
              <w:jc w:val="left"/>
            </w:pPr>
            <w:r>
              <w:t xml:space="preserve">Long-lived embedded clients; no update path</w:t>
            </w:r>
          </w:p>
        </w:tc>
        <w:tc>
          <w:tcPr/>
          <w:p>
            <w:pPr>
              <w:pStyle w:val="Compact"/>
              <w:jc w:val="left"/>
            </w:pPr>
            <w:r>
              <w:t xml:space="preserve">Classical with risk acceptance</w:t>
            </w:r>
            <w:r>
              <w:t xml:space="preserve"> </w:t>
            </w:r>
            <w:r>
              <w:rPr>
                <w:bCs/>
                <w:b/>
              </w:rPr>
              <w:t xml:space="preserve">or</w:t>
            </w:r>
            <w:r>
              <w:t xml:space="preserve"> </w:t>
            </w:r>
            <w:r>
              <w:t xml:space="preserve">parallel endpoint tier — not forced hybrid on fixed clients</w:t>
            </w:r>
          </w:p>
        </w:tc>
      </w:tr>
      <w:tr>
        <w:tc>
          <w:tcPr/>
          <w:p>
            <w:pPr>
              <w:pStyle w:val="Compact"/>
              <w:jc w:val="left"/>
            </w:pPr>
            <w:r>
              <w:t xml:space="preserve">NSS / CNSA workloads</w:t>
            </w:r>
          </w:p>
        </w:tc>
        <w:tc>
          <w:tcPr/>
          <w:p>
            <w:pPr>
              <w:pStyle w:val="Compact"/>
              <w:jc w:val="left"/>
            </w:pPr>
            <w:r>
              <w:t xml:space="preserve">CNSA parameter profile; accelerated H2/H3 per contract</w:t>
            </w:r>
          </w:p>
        </w:tc>
      </w:tr>
      <w:tr>
        <w:tc>
          <w:tcPr/>
          <w:p>
            <w:pPr>
              <w:pStyle w:val="Compact"/>
              <w:jc w:val="left"/>
            </w:pPr>
            <w:r>
              <w:t xml:space="preserve">Internal east-west with uniform fleet</w:t>
            </w:r>
          </w:p>
        </w:tc>
        <w:tc>
          <w:tcPr/>
          <w:p>
            <w:pPr>
              <w:pStyle w:val="Compact"/>
              <w:jc w:val="left"/>
            </w:pPr>
            <w:r>
              <w:t xml:space="preserve">PQC-native when TRADE E ≥ 4</w:t>
            </w:r>
          </w:p>
        </w:tc>
      </w:tr>
      <w:tr>
        <w:tc>
          <w:tcPr/>
          <w:p>
            <w:pPr>
              <w:pStyle w:val="Compact"/>
              <w:jc w:val="left"/>
            </w:pPr>
            <w:r>
              <w:t xml:space="preserve">Firmware / code signing</w:t>
            </w:r>
          </w:p>
        </w:tc>
        <w:tc>
          <w:tcPr/>
          <w:p>
            <w:pPr>
              <w:pStyle w:val="Compact"/>
              <w:jc w:val="left"/>
            </w:pPr>
            <w:r>
              <w:t xml:space="preserve">Dual signature H1 (Chapter 6); distinct from TLS combiner logic</w:t>
            </w:r>
          </w:p>
        </w:tc>
      </w:tr>
    </w:tbl>
    <w:p>
      <w:pPr>
        <w:pStyle w:val="BodyText"/>
      </w:pPr>
      <w:r>
        <w:rPr>
          <w:bCs/>
          <w:b/>
        </w:rPr>
        <w:t xml:space="preserve">TRADE Ecosystem readiness (E)</w:t>
      </w:r>
      <w:r>
        <w:t xml:space="preserve"> </w:t>
      </w:r>
      <w:r>
        <w:t xml:space="preserve">gates</w:t>
      </w:r>
      <w:r>
        <w:t xml:space="preserve"> </w:t>
      </w:r>
      <w:r>
        <w:rPr>
          <w:bCs/>
          <w:b/>
        </w:rPr>
        <w:t xml:space="preserve">production date</w:t>
      </w:r>
      <w:r>
        <w:t xml:space="preserve">, not</w:t>
      </w:r>
      <w:r>
        <w:t xml:space="preserve"> </w:t>
      </w:r>
      <w:r>
        <w:rPr>
          <w:bCs/>
          <w:b/>
        </w:rPr>
        <w:t xml:space="preserve">pattern selection</w:t>
      </w:r>
      <w:r>
        <w:t xml:space="preserve">. Low E means start architecture and vendor escalation now; deploy hybrid when modules validate — not defer design until vendors ship.</w:t>
      </w:r>
    </w:p>
    <w:p>
      <w:pPr>
        <w:pStyle w:val="BlockText"/>
      </w:pPr>
      <w:r>
        <w:rPr>
          <w:bCs/>
          <w:b/>
        </w:rPr>
        <w:t xml:space="preserve">Dependency Alert</w:t>
      </w:r>
    </w:p>
    <w:p>
      <w:pPr>
        <w:pStyle w:val="BlockText"/>
      </w:pPr>
      <w:r>
        <w:rPr>
          <w:bCs/>
          <w:b/>
        </w:rPr>
        <w:t xml:space="preserve">CDG blocking nodes override pattern enthusiasm.</w:t>
      </w:r>
      <w:r>
        <w:t xml:space="preserve"> </w:t>
      </w:r>
      <w:r>
        <w:t xml:space="preserve">GlobalSync could not deploy hybrid client certificates until partner mTLS policy allowed ML-DSA profiles (Chapter 8). Local hybrid TLS on the server succeeded fourteen times in staging; ecosystem blocking prevented production until Wave 0 resolved partner trust.</w:t>
      </w:r>
    </w:p>
    <w:p>
      <w:r>
        <w:pict>
          <v:rect style="width:0;height:1.5pt" o:hralign="center" o:hrstd="t" o:hr="t"/>
        </w:pict>
      </w:r>
    </w:p>
    <w:bookmarkEnd w:id="26"/>
    <w:bookmarkStart w:id="32" w:name="hybrid-tls-x25519-ml-kem-768"/>
    <w:p>
      <w:pPr>
        <w:pStyle w:val="Heading2"/>
      </w:pPr>
      <w:r>
        <w:t xml:space="preserve">11.3 Hybrid TLS: X25519 + ML-KEM-768</w:t>
      </w:r>
    </w:p>
    <w:p>
      <w:pPr>
        <w:pStyle w:val="FirstParagraph"/>
      </w:pPr>
      <w:r>
        <w:t xml:space="preserve">TLS 1.3 hybrid key exchange is the reference H1 pattern for enterprise external services. The construction combines:</w:t>
      </w:r>
    </w:p>
    <w:p>
      <w:pPr>
        <w:numPr>
          <w:ilvl w:val="0"/>
          <w:numId w:val="1004"/>
        </w:numPr>
        <w:pStyle w:val="Compact"/>
      </w:pPr>
      <w:r>
        <w:rPr>
          <w:bCs/>
          <w:b/>
        </w:rPr>
        <w:t xml:space="preserve">Classical component:</w:t>
      </w:r>
      <w:r>
        <w:t xml:space="preserve"> </w:t>
      </w:r>
      <w:r>
        <w:t xml:space="preserve">X25519 (Elliptic Curve Diffie-Hellman on Curve25519)</w:t>
      </w:r>
    </w:p>
    <w:p>
      <w:pPr>
        <w:numPr>
          <w:ilvl w:val="0"/>
          <w:numId w:val="1004"/>
        </w:numPr>
        <w:pStyle w:val="Compact"/>
      </w:pPr>
      <w:r>
        <w:rPr>
          <w:bCs/>
          <w:b/>
        </w:rPr>
        <w:t xml:space="preserve">PQC component:</w:t>
      </w:r>
      <w:r>
        <w:t xml:space="preserve"> </w:t>
      </w:r>
      <w:r>
        <w:t xml:space="preserve">ML-KEM-768 (FIPS 203, security category 3)</w:t>
      </w:r>
    </w:p>
    <w:p>
      <w:pPr>
        <w:numPr>
          <w:ilvl w:val="0"/>
          <w:numId w:val="1004"/>
        </w:numPr>
        <w:pStyle w:val="Compact"/>
      </w:pPr>
      <w:r>
        <w:rPr>
          <w:bCs/>
          <w:b/>
        </w:rPr>
        <w:t xml:space="preserve">Combiner:</w:t>
      </w:r>
      <w:r>
        <w:t xml:space="preserve"> </w:t>
      </w:r>
      <w:r>
        <w:t xml:space="preserve">Concatenation of shared secrets per IETF hybrid specification — both secrets contribute to the TLS 1.3 key schedule</w:t>
      </w:r>
    </w:p>
    <w:p>
      <w:pPr>
        <w:pStyle w:val="FirstParagraph"/>
      </w:pPr>
      <w:r>
        <w:t xml:space="preserve">Security intuition: confidentiality holds if</w:t>
      </w:r>
      <w:r>
        <w:t xml:space="preserve"> </w:t>
      </w:r>
      <w:r>
        <w:rPr>
          <w:bCs/>
          <w:b/>
        </w:rPr>
        <w:t xml:space="preserve">either</w:t>
      </w:r>
      <w:r>
        <w:t xml:space="preserve"> </w:t>
      </w:r>
      <w:r>
        <w:t xml:space="preserve">component remains unbroken. An adversary capable of solving ECDH on Curve25519 but not ML-KEM — or vice versa — cannot derive the session key. This is the</w:t>
      </w:r>
      <w:r>
        <w:t xml:space="preserve"> </w:t>
      </w:r>
      <w:r>
        <w:rPr>
          <w:bCs/>
          <w:b/>
        </w:rPr>
        <w:t xml:space="preserve">OR combiner</w:t>
      </w:r>
      <w:r>
        <w:t xml:space="preserve"> </w:t>
      </w:r>
      <w:r>
        <w:t xml:space="preserve">model appropriate for transitional deployment.</w:t>
      </w:r>
    </w:p>
    <w:bookmarkStart w:id="27" w:name="handshake-sequence"/>
    <w:p>
      <w:pPr>
        <w:pStyle w:val="Heading3"/>
      </w:pPr>
      <w:r>
        <w:t xml:space="preserve">Handshake sequence</w:t>
      </w:r>
    </w:p>
    <w:p>
      <w:pPr>
        <w:pStyle w:val="FirstParagraph"/>
      </w:pPr>
      <w:r>
        <w:rPr>
          <w:bCs/>
          <w:b/>
        </w:rPr>
        <w:t xml:space="preserve">Figure 11.2 — Hybrid TLS 1.3 Handshake (Conceptual)</w:t>
      </w:r>
    </w:p>
    <w:p>
      <w:pPr>
        <w:pStyle w:val="SourceCode"/>
      </w:pPr>
      <w:r>
        <w:rPr>
          <w:rStyle w:val="VerbatimChar"/>
        </w:rPr>
        <w:t xml:space="preserve">Client                                    Server</w:t>
      </w:r>
      <w:r>
        <w:br/>
      </w:r>
      <w:r>
        <w:rPr>
          <w:rStyle w:val="VerbatimChar"/>
        </w:rPr>
        <w:t xml:space="preserve">  |                                         |</w:t>
      </w:r>
      <w:r>
        <w:br/>
      </w:r>
      <w:r>
        <w:rPr>
          <w:rStyle w:val="VerbatimChar"/>
        </w:rPr>
        <w:t xml:space="preserve">  |------ ClientHello (hybrid groups) -----&gt;|</w:t>
      </w:r>
      <w:r>
        <w:br/>
      </w:r>
      <w:r>
        <w:rPr>
          <w:rStyle w:val="VerbatimChar"/>
        </w:rPr>
        <w:t xml:space="preserve">  |&lt;----- ServerHello (selected group) -----|</w:t>
      </w:r>
      <w:r>
        <w:br/>
      </w:r>
      <w:r>
        <w:rPr>
          <w:rStyle w:val="VerbatimChar"/>
        </w:rPr>
        <w:t xml:space="preserve">  |&lt;----- Certificate chain ----------------|</w:t>
      </w:r>
      <w:r>
        <w:br/>
      </w:r>
      <w:r>
        <w:rPr>
          <w:rStyle w:val="VerbatimChar"/>
        </w:rPr>
        <w:t xml:space="preserve">  |&lt;----- CertificateVerify ----------------|</w:t>
      </w:r>
      <w:r>
        <w:br/>
      </w:r>
      <w:r>
        <w:rPr>
          <w:rStyle w:val="VerbatimChar"/>
        </w:rPr>
        <w:t xml:space="preserve">  |&lt;----- Finished -------------------------|</w:t>
      </w:r>
      <w:r>
        <w:br/>
      </w:r>
      <w:r>
        <w:rPr>
          <w:rStyle w:val="VerbatimChar"/>
        </w:rPr>
        <w:t xml:space="preserve">  |                                         |</w:t>
      </w:r>
      <w:r>
        <w:br/>
      </w:r>
      <w:r>
        <w:rPr>
          <w:rStyle w:val="VerbatimChar"/>
        </w:rPr>
        <w:t xml:space="preserve">  |  Key share: X25519 pubkey + ML-KEM      |</w:t>
      </w:r>
      <w:r>
        <w:br/>
      </w:r>
      <w:r>
        <w:rPr>
          <w:rStyle w:val="VerbatimChar"/>
        </w:rPr>
        <w:t xml:space="preserve">  |             ciphertext                  |</w:t>
      </w:r>
      <w:r>
        <w:br/>
      </w:r>
      <w:r>
        <w:rPr>
          <w:rStyle w:val="VerbatimChar"/>
        </w:rPr>
        <w:t xml:space="preserve">  |                                         |</w:t>
      </w:r>
      <w:r>
        <w:br/>
      </w:r>
      <w:r>
        <w:rPr>
          <w:rStyle w:val="VerbatimChar"/>
        </w:rPr>
        <w:t xml:space="preserve">  |------ Client key share ---------------&gt;|</w:t>
      </w:r>
      <w:r>
        <w:br/>
      </w:r>
      <w:r>
        <w:rPr>
          <w:rStyle w:val="VerbatimChar"/>
        </w:rPr>
        <w:t xml:space="preserve">  |&lt;----- Server key share -----------------|</w:t>
      </w:r>
      <w:r>
        <w:br/>
      </w:r>
      <w:r>
        <w:rPr>
          <w:rStyle w:val="VerbatimChar"/>
        </w:rPr>
        <w:t xml:space="preserve">  |                                         |</w:t>
      </w:r>
      <w:r>
        <w:br/>
      </w:r>
      <w:r>
        <w:rPr>
          <w:rStyle w:val="VerbatimChar"/>
        </w:rPr>
        <w:t xml:space="preserve">  |  Combined shared secret -&gt; HKDF -&gt;      |</w:t>
      </w:r>
      <w:r>
        <w:br/>
      </w:r>
      <w:r>
        <w:rPr>
          <w:rStyle w:val="VerbatimChar"/>
        </w:rPr>
        <w:t xml:space="preserve">  |  traffic keys                           |</w:t>
      </w:r>
      <w:r>
        <w:br/>
      </w:r>
      <w:r>
        <w:rPr>
          <w:rStyle w:val="VerbatimChar"/>
        </w:rPr>
        <w:t xml:space="preserve">  |------ Finished ------------------------&gt;|</w:t>
      </w:r>
      <w:r>
        <w:br/>
      </w:r>
      <w:r>
        <w:rPr>
          <w:rStyle w:val="VerbatimChar"/>
        </w:rPr>
        <w:t xml:space="preserve">  |&lt;----- Finished -------------------------|</w:t>
      </w:r>
      <w:r>
        <w:br/>
      </w:r>
      <w:r>
        <w:rPr>
          <w:rStyle w:val="VerbatimChar"/>
        </w:rPr>
        <w:t xml:space="preserve">  |                                         |</w:t>
      </w:r>
      <w:r>
        <w:br/>
      </w:r>
      <w:r>
        <w:rPr>
          <w:rStyle w:val="VerbatimChar"/>
        </w:rPr>
        <w:t xml:space="preserve">  |====== Encrypted application data =======|</w:t>
      </w:r>
    </w:p>
    <w:p>
      <w:pPr>
        <w:pStyle w:val="FirstParagraph"/>
      </w:pPr>
      <w:r>
        <w:rPr>
          <w:bCs/>
          <w:b/>
        </w:rPr>
        <w:t xml:space="preserve">Production brief — Figure 11.2:</w:t>
      </w:r>
      <w:r>
        <w:t xml:space="preserve"> </w:t>
      </w:r>
      <w:r>
        <w:t xml:space="preserve">Sequence diagram with byte-size annotations on key share messages. Highlight ClientHello extension size growth vs classical-only.</w:t>
      </w:r>
    </w:p>
    <w:bookmarkEnd w:id="27"/>
    <w:bookmarkStart w:id="28" w:name="cipher-suite-and-group-policy"/>
    <w:p>
      <w:pPr>
        <w:pStyle w:val="Heading3"/>
      </w:pPr>
      <w:r>
        <w:t xml:space="preserve">Cipher suite and group policy</w:t>
      </w:r>
    </w:p>
    <w:p>
      <w:pPr>
        <w:pStyle w:val="FirstParagraph"/>
      </w:pPr>
      <w:r>
        <w:t xml:space="preserve">Enterprise TLS policy must name</w:t>
      </w:r>
      <w:r>
        <w:t xml:space="preserve"> </w:t>
      </w:r>
      <w:r>
        <w:rPr>
          <w:bCs/>
          <w:b/>
        </w:rPr>
        <w:t xml:space="preserve">specific groups</w:t>
      </w:r>
      <w:r>
        <w:t xml:space="preserve">, not vague</w:t>
      </w:r>
      <w:r>
        <w:t xml:space="preserve"> </w:t>
      </w:r>
      <w:r>
        <w:t xml:space="preserve">“</w:t>
      </w:r>
      <w:r>
        <w:t xml:space="preserve">PQC-enabled TLS 1.3</w:t>
      </w:r>
      <w:r>
        <w:t xml:space="preserve">”</w:t>
      </w:r>
      <w:r>
        <w:t xml:space="preserve">:</w:t>
      </w:r>
    </w:p>
    <w:tbl>
      <w:tblPr>
        <w:tblStyle w:val="Table"/>
        <w:tblW w:type="pct" w:w="5000"/>
        <w:tblLook w:firstRow="1" w:lastRow="0" w:firstColumn="0" w:lastColumn="0" w:noHBand="0" w:noVBand="0" w:val="0020"/>
        <w:jc w:val="start"/>
      </w:tblPr>
      <w:tblGrid>
        <w:gridCol w:w="1810"/>
        <w:gridCol w:w="2262"/>
        <w:gridCol w:w="2602"/>
        <w:gridCol w:w="1244"/>
      </w:tblGrid>
      <w:tr>
        <w:trPr>
          <w:tblHeader w:val="true"/>
        </w:trPr>
        <w:tc>
          <w:tcPr/>
          <w:p>
            <w:pPr>
              <w:pStyle w:val="Compact"/>
              <w:jc w:val="left"/>
            </w:pPr>
            <w:r>
              <w:t xml:space="preserve">Policy element</w:t>
            </w:r>
          </w:p>
        </w:tc>
        <w:tc>
          <w:tcPr/>
          <w:p>
            <w:pPr>
              <w:pStyle w:val="Compact"/>
              <w:jc w:val="left"/>
            </w:pPr>
            <w:r>
              <w:t xml:space="preserve">H1 approved example</w:t>
            </w:r>
          </w:p>
        </w:tc>
        <w:tc>
          <w:tcPr/>
          <w:p>
            <w:pPr>
              <w:pStyle w:val="Compact"/>
              <w:jc w:val="left"/>
            </w:pPr>
            <w:r>
              <w:t xml:space="preserve">H2 transition example</w:t>
            </w:r>
          </w:p>
        </w:tc>
        <w:tc>
          <w:tcPr/>
          <w:p>
            <w:pPr>
              <w:pStyle w:val="Compact"/>
              <w:jc w:val="left"/>
            </w:pPr>
            <w:r>
              <w:t xml:space="preserve">H3 target</w:t>
            </w:r>
          </w:p>
        </w:tc>
      </w:tr>
      <w:tr>
        <w:tc>
          <w:tcPr/>
          <w:p>
            <w:pPr>
              <w:pStyle w:val="Compact"/>
              <w:jc w:val="left"/>
            </w:pPr>
            <w:r>
              <w:t xml:space="preserve">Key exchange group</w:t>
            </w:r>
          </w:p>
        </w:tc>
        <w:tc>
          <w:tcPr/>
          <w:p>
            <w:pPr>
              <w:pStyle w:val="Compact"/>
              <w:jc w:val="left"/>
            </w:pPr>
            <w:r>
              <w:rPr>
                <w:rStyle w:val="VerbatimChar"/>
              </w:rPr>
              <w:t xml:space="preserve">X25519MLKEM768</w:t>
            </w:r>
            <w:r>
              <w:t xml:space="preserve"> </w:t>
            </w:r>
            <w:r>
              <w:t xml:space="preserve">(standards-track identifier)</w:t>
            </w:r>
          </w:p>
        </w:tc>
        <w:tc>
          <w:tcPr/>
          <w:p>
            <w:pPr>
              <w:pStyle w:val="Compact"/>
              <w:jc w:val="left"/>
            </w:pPr>
            <w:r>
              <w:t xml:space="preserve">PQC-preferred; classical fallback for exception clients only</w:t>
            </w:r>
          </w:p>
        </w:tc>
        <w:tc>
          <w:tcPr/>
          <w:p>
            <w:pPr>
              <w:pStyle w:val="Compact"/>
              <w:jc w:val="left"/>
            </w:pPr>
            <w:r>
              <w:t xml:space="preserve">ML-KEM-768 only (or enterprise-selected PQC group)</w:t>
            </w:r>
          </w:p>
        </w:tc>
      </w:tr>
      <w:tr>
        <w:tc>
          <w:tcPr/>
          <w:p>
            <w:pPr>
              <w:pStyle w:val="Compact"/>
              <w:jc w:val="left"/>
            </w:pPr>
            <w:r>
              <w:t xml:space="preserve">Certificate signature</w:t>
            </w:r>
          </w:p>
        </w:tc>
        <w:tc>
          <w:tcPr/>
          <w:p>
            <w:pPr>
              <w:pStyle w:val="Compact"/>
              <w:jc w:val="left"/>
            </w:pPr>
            <w:r>
              <w:t xml:space="preserve">ML-DSA-65 or transitional ECDSA per PKI roadmap (Chapter 13)</w:t>
            </w:r>
          </w:p>
        </w:tc>
        <w:tc>
          <w:tcPr/>
          <w:p>
            <w:pPr>
              <w:pStyle w:val="Compact"/>
              <w:jc w:val="left"/>
            </w:pPr>
            <w:r>
              <w:t xml:space="preserve">ML-DSA required for new certs</w:t>
            </w:r>
          </w:p>
        </w:tc>
        <w:tc>
          <w:tcPr/>
          <w:p>
            <w:pPr>
              <w:pStyle w:val="Compact"/>
              <w:jc w:val="left"/>
            </w:pPr>
            <w:r>
              <w:t xml:space="preserve">ML-DSA only</w:t>
            </w:r>
          </w:p>
        </w:tc>
      </w:tr>
      <w:tr>
        <w:tc>
          <w:tcPr/>
          <w:p>
            <w:pPr>
              <w:pStyle w:val="Compact"/>
              <w:jc w:val="left"/>
            </w:pPr>
            <w:r>
              <w:t xml:space="preserve">Protocol version</w:t>
            </w:r>
          </w:p>
        </w:tc>
        <w:tc>
          <w:tcPr/>
          <w:p>
            <w:pPr>
              <w:pStyle w:val="Compact"/>
              <w:jc w:val="left"/>
            </w:pPr>
            <w:r>
              <w:t xml:space="preserve">TLS 1.3 minimum</w:t>
            </w:r>
          </w:p>
        </w:tc>
        <w:tc>
          <w:tcPr/>
          <w:p>
            <w:pPr>
              <w:pStyle w:val="Compact"/>
              <w:jc w:val="left"/>
            </w:pPr>
            <w:r>
              <w:t xml:space="preserve">TLS 1.3 minimum</w:t>
            </w:r>
          </w:p>
        </w:tc>
        <w:tc>
          <w:tcPr/>
          <w:p>
            <w:pPr>
              <w:pStyle w:val="Compact"/>
              <w:jc w:val="left"/>
            </w:pPr>
            <w:r>
              <w:t xml:space="preserve">TLS 1.3 minimum</w:t>
            </w:r>
          </w:p>
        </w:tc>
      </w:tr>
      <w:tr>
        <w:tc>
          <w:tcPr/>
          <w:p>
            <w:pPr>
              <w:pStyle w:val="Compact"/>
              <w:jc w:val="left"/>
            </w:pPr>
            <w:r>
              <w:t xml:space="preserve">Prohibited</w:t>
            </w:r>
          </w:p>
        </w:tc>
        <w:tc>
          <w:tcPr/>
          <w:p>
            <w:pPr>
              <w:pStyle w:val="Compact"/>
              <w:jc w:val="left"/>
            </w:pPr>
            <w:r>
              <w:t xml:space="preserve">Ad hoc hybrid combinations; export-grade classical fallbacks</w:t>
            </w:r>
          </w:p>
        </w:tc>
        <w:tc>
          <w:tcPr/>
          <w:p>
            <w:pPr>
              <w:pStyle w:val="Compact"/>
              <w:jc w:val="left"/>
            </w:pPr>
            <w:r>
              <w:t xml:space="preserve">New ECDSA end-entity certs in H2 scope</w:t>
            </w:r>
          </w:p>
        </w:tc>
        <w:tc>
          <w:tcPr/>
          <w:p>
            <w:pPr>
              <w:pStyle w:val="Compact"/>
              <w:jc w:val="left"/>
            </w:pPr>
            <w:r>
              <w:t xml:space="preserve">All quantum-vulnerable PKC</w:t>
            </w:r>
          </w:p>
        </w:tc>
      </w:tr>
    </w:tbl>
    <w:p>
      <w:pPr>
        <w:pStyle w:val="BodyText"/>
      </w:pPr>
      <w:r>
        <w:t xml:space="preserve">Monitor IETF and CA/Browser Forum publications before production — identifier strings finalise with specifications. Policy owners assign a</w:t>
      </w:r>
      <w:r>
        <w:t xml:space="preserve"> </w:t>
      </w:r>
      <w:r>
        <w:rPr>
          <w:bCs/>
          <w:b/>
        </w:rPr>
        <w:t xml:space="preserve">standards watch owner</w:t>
      </w:r>
      <w:r>
        <w:t xml:space="preserve"> </w:t>
      </w:r>
      <w:r>
        <w:t xml:space="preserve">with quarterly review cadence (Chapter 22 preview).</w:t>
      </w:r>
    </w:p>
    <w:bookmarkEnd w:id="28"/>
    <w:bookmarkStart w:id="29" w:name="certificate-chain-considerations"/>
    <w:p>
      <w:pPr>
        <w:pStyle w:val="Heading3"/>
      </w:pPr>
      <w:r>
        <w:t xml:space="preserve">Certificate chain considerations</w:t>
      </w:r>
    </w:p>
    <w:p>
      <w:pPr>
        <w:pStyle w:val="FirstParagraph"/>
      </w:pPr>
      <w:r>
        <w:t xml:space="preserve">Hybrid key exchange does not eliminate classical certificate signatures during early H1. Meridian’s pilot used</w:t>
      </w:r>
      <w:r>
        <w:t xml:space="preserve"> </w:t>
      </w:r>
      <w:r>
        <w:rPr>
          <w:bCs/>
          <w:b/>
        </w:rPr>
        <w:t xml:space="preserve">hybrid key exchange with classical ECDSA-P256 end-entity certificates</w:t>
      </w:r>
      <w:r>
        <w:t xml:space="preserve"> </w:t>
      </w:r>
      <w:r>
        <w:t xml:space="preserve">while the issuing CA migrated to ML-DSA profiles — a common staged posture. The CDG flagged the manufacturing CA as a blocking node: twelve services could not advertise ML-DSA server certificates until the CA issued compatible profiles.</w:t>
      </w:r>
    </w:p>
    <w:bookmarkEnd w:id="29"/>
    <w:bookmarkStart w:id="30" w:name="library-and-platform-selection"/>
    <w:p>
      <w:pPr>
        <w:pStyle w:val="Heading3"/>
      </w:pPr>
      <w:r>
        <w:t xml:space="preserve">Library and platform selection</w:t>
      </w:r>
    </w:p>
    <w:p>
      <w:pPr>
        <w:pStyle w:val="FirstParagraph"/>
      </w:pPr>
      <w:r>
        <w:t xml:space="preserve">Hybrid TLS is not a cipher string alone — it is a</w:t>
      </w:r>
      <w:r>
        <w:t xml:space="preserve"> </w:t>
      </w:r>
      <w:r>
        <w:rPr>
          <w:bCs/>
          <w:b/>
        </w:rPr>
        <w:t xml:space="preserve">stack contract</w:t>
      </w:r>
      <w:r>
        <w:t xml:space="preserve"> </w:t>
      </w:r>
      <w:r>
        <w:t xml:space="preserve">across library, operating system, hardware offload, and observability agents.</w:t>
      </w:r>
    </w:p>
    <w:tbl>
      <w:tblPr>
        <w:tblStyle w:val="Table"/>
        <w:tblW w:type="pct" w:w="5000"/>
        <w:tblLook w:firstRow="1" w:lastRow="0" w:firstColumn="0" w:lastColumn="0" w:noHBand="0" w:noVBand="0" w:val="0020"/>
        <w:jc w:val="start"/>
      </w:tblPr>
      <w:tblGrid>
        <w:gridCol w:w="1289"/>
        <w:gridCol w:w="3683"/>
        <w:gridCol w:w="2946"/>
      </w:tblGrid>
      <w:tr>
        <w:trPr>
          <w:tblHeader w:val="true"/>
        </w:trPr>
        <w:tc>
          <w:tcPr/>
          <w:p>
            <w:pPr>
              <w:pStyle w:val="Compact"/>
              <w:jc w:val="left"/>
            </w:pPr>
            <w:r>
              <w:t xml:space="preserve">Layer</w:t>
            </w:r>
          </w:p>
        </w:tc>
        <w:tc>
          <w:tcPr/>
          <w:p>
            <w:pPr>
              <w:pStyle w:val="Compact"/>
              <w:jc w:val="left"/>
            </w:pPr>
            <w:r>
              <w:t xml:space="preserve">Selection criterion</w:t>
            </w:r>
          </w:p>
        </w:tc>
        <w:tc>
          <w:tcPr/>
          <w:p>
            <w:pPr>
              <w:pStyle w:val="Compact"/>
              <w:jc w:val="left"/>
            </w:pPr>
            <w:r>
              <w:t xml:space="preserve">Common pitfall</w:t>
            </w:r>
          </w:p>
        </w:tc>
      </w:tr>
      <w:tr>
        <w:tc>
          <w:tcPr/>
          <w:p>
            <w:pPr>
              <w:pStyle w:val="Compact"/>
              <w:jc w:val="left"/>
            </w:pPr>
            <w:r>
              <w:t xml:space="preserve">TLS library</w:t>
            </w:r>
          </w:p>
        </w:tc>
        <w:tc>
          <w:tcPr/>
          <w:p>
            <w:pPr>
              <w:pStyle w:val="Compact"/>
              <w:jc w:val="left"/>
            </w:pPr>
            <w:r>
              <w:t xml:space="preserve">Standards-track hybrid group support; FIPS mode if required</w:t>
            </w:r>
          </w:p>
        </w:tc>
        <w:tc>
          <w:tcPr/>
          <w:p>
            <w:pPr>
              <w:pStyle w:val="Compact"/>
              <w:jc w:val="left"/>
            </w:pPr>
            <w:r>
              <w:t xml:space="preserve">Custom OpenSSL build missing ML-KEM provider</w:t>
            </w:r>
          </w:p>
        </w:tc>
      </w:tr>
      <w:tr>
        <w:tc>
          <w:tcPr/>
          <w:p>
            <w:pPr>
              <w:pStyle w:val="Compact"/>
              <w:jc w:val="left"/>
            </w:pPr>
            <w:r>
              <w:t xml:space="preserve">Language bindings</w:t>
            </w:r>
          </w:p>
        </w:tc>
        <w:tc>
          <w:tcPr/>
          <w:p>
            <w:pPr>
              <w:pStyle w:val="Compact"/>
              <w:jc w:val="left"/>
            </w:pPr>
            <w:r>
              <w:t xml:space="preserve">JVM, Go, Rust wrappers expose group negotiation</w:t>
            </w:r>
          </w:p>
        </w:tc>
        <w:tc>
          <w:tcPr/>
          <w:p>
            <w:pPr>
              <w:pStyle w:val="Compact"/>
              <w:jc w:val="left"/>
            </w:pPr>
            <w:r>
              <w:t xml:space="preserve">Binding lags core library — Node.js services blocked</w:t>
            </w:r>
          </w:p>
        </w:tc>
      </w:tr>
      <w:tr>
        <w:tc>
          <w:tcPr/>
          <w:p>
            <w:pPr>
              <w:pStyle w:val="Compact"/>
              <w:jc w:val="left"/>
            </w:pPr>
            <w:r>
              <w:t xml:space="preserve">Hardware offload</w:t>
            </w:r>
          </w:p>
        </w:tc>
        <w:tc>
          <w:tcPr/>
          <w:p>
            <w:pPr>
              <w:pStyle w:val="Compact"/>
              <w:jc w:val="left"/>
            </w:pPr>
            <w:r>
              <w:t xml:space="preserve">SmartNIC / load balancer terminates hybrid</w:t>
            </w:r>
          </w:p>
        </w:tc>
        <w:tc>
          <w:tcPr/>
          <w:p>
            <w:pPr>
              <w:pStyle w:val="Compact"/>
              <w:jc w:val="left"/>
            </w:pPr>
            <w:r>
              <w:t xml:space="preserve">Offload firmware version caps extension parsing</w:t>
            </w:r>
          </w:p>
        </w:tc>
      </w:tr>
      <w:tr>
        <w:tc>
          <w:tcPr/>
          <w:p>
            <w:pPr>
              <w:pStyle w:val="Compact"/>
              <w:jc w:val="left"/>
            </w:pPr>
            <w:r>
              <w:t xml:space="preserve">Observability</w:t>
            </w:r>
          </w:p>
        </w:tc>
        <w:tc>
          <w:tcPr/>
          <w:p>
            <w:pPr>
              <w:pStyle w:val="Compact"/>
              <w:jc w:val="left"/>
            </w:pPr>
            <w:r>
              <w:t xml:space="preserve">APM agents parse ClientHello</w:t>
            </w:r>
          </w:p>
        </w:tc>
        <w:tc>
          <w:tcPr/>
          <w:p>
            <w:pPr>
              <w:pStyle w:val="Compact"/>
              <w:jc w:val="left"/>
            </w:pPr>
            <w:r>
              <w:t xml:space="preserve">Agent crash on unknown extensions — false outage</w:t>
            </w:r>
          </w:p>
        </w:tc>
      </w:tr>
      <w:tr>
        <w:tc>
          <w:tcPr/>
          <w:p>
            <w:pPr>
              <w:pStyle w:val="Compact"/>
              <w:jc w:val="left"/>
            </w:pPr>
            <w:r>
              <w:t xml:space="preserve">Container base image</w:t>
            </w:r>
          </w:p>
        </w:tc>
        <w:tc>
          <w:tcPr/>
          <w:p>
            <w:pPr>
              <w:pStyle w:val="Compact"/>
              <w:jc w:val="left"/>
            </w:pPr>
            <w:r>
              <w:t xml:space="preserve">Image refresh cadence vs library patch</w:t>
            </w:r>
          </w:p>
        </w:tc>
        <w:tc>
          <w:tcPr/>
          <w:p>
            <w:pPr>
              <w:pStyle w:val="Compact"/>
              <w:jc w:val="left"/>
            </w:pPr>
            <w:r>
              <w:t xml:space="preserve">Golden image six months stale at deployment</w:t>
            </w:r>
          </w:p>
        </w:tc>
      </w:tr>
    </w:tbl>
    <w:p>
      <w:pPr>
        <w:pStyle w:val="BodyText"/>
      </w:pPr>
      <w:r>
        <w:t xml:space="preserve">GlobalSync embedded</w:t>
      </w:r>
      <w:r>
        <w:t xml:space="preserve"> </w:t>
      </w:r>
      <w:r>
        <w:rPr>
          <w:bCs/>
          <w:b/>
        </w:rPr>
        <w:t xml:space="preserve">minimum library versions</w:t>
      </w:r>
      <w:r>
        <w:t xml:space="preserve"> </w:t>
      </w:r>
      <w:r>
        <w:t xml:space="preserve">in platform engineering standards (Chapter 10) — microservices could not deploy to production clusters until the mesh ingress controller validated hybrid negotiation on the target image baseline. Marcus Chen treated library version as</w:t>
      </w:r>
      <w:r>
        <w:t xml:space="preserve"> </w:t>
      </w:r>
      <w:r>
        <w:rPr>
          <w:bCs/>
          <w:b/>
        </w:rPr>
        <w:t xml:space="preserve">Wave 0 infrastructure</w:t>
      </w:r>
      <w:r>
        <w:t xml:space="preserve">, not per-team choice.</w:t>
      </w:r>
    </w:p>
    <w:bookmarkEnd w:id="30"/>
    <w:bookmarkStart w:id="31" w:name="X73db9aba33ca7794a688a3c30de94641d01529b"/>
    <w:p>
      <w:pPr>
        <w:pStyle w:val="Heading3"/>
      </w:pPr>
      <w:r>
        <w:t xml:space="preserve">Session resumption and operational continuity</w:t>
      </w:r>
    </w:p>
    <w:p>
      <w:pPr>
        <w:pStyle w:val="FirstParagraph"/>
      </w:pPr>
      <w:r>
        <w:t xml:space="preserve">TLS 1.3 session tickets and zero-round-trip (0-RTT) modes interact with hybrid deployment in ways pilots often ignore:</w:t>
      </w:r>
    </w:p>
    <w:p>
      <w:pPr>
        <w:numPr>
          <w:ilvl w:val="0"/>
          <w:numId w:val="1005"/>
        </w:numPr>
        <w:pStyle w:val="Compact"/>
      </w:pPr>
      <w:r>
        <w:rPr>
          <w:bCs/>
          <w:b/>
        </w:rPr>
        <w:t xml:space="preserve">Session tickets</w:t>
      </w:r>
      <w:r>
        <w:t xml:space="preserve"> </w:t>
      </w:r>
      <w:r>
        <w:t xml:space="preserve">issued under classical-only handshakes may not resume against hybrid-only endpoints after H2 transition — plan ticket rotation and dual-mode resumption during H1.</w:t>
      </w:r>
    </w:p>
    <w:p>
      <w:pPr>
        <w:numPr>
          <w:ilvl w:val="0"/>
          <w:numId w:val="1005"/>
        </w:numPr>
        <w:pStyle w:val="Compact"/>
      </w:pPr>
      <w:r>
        <w:rPr>
          <w:bCs/>
          <w:b/>
        </w:rPr>
        <w:t xml:space="preserve">0-RTT data</w:t>
      </w:r>
      <w:r>
        <w:t xml:space="preserve"> </w:t>
      </w:r>
      <w:r>
        <w:t xml:space="preserve">carries replay risk independent of hybrid posture; enterprises disabling 0-RTT for other reasons may simplify hybrid cutover by eliminating a parallel code path.</w:t>
      </w:r>
    </w:p>
    <w:p>
      <w:pPr>
        <w:numPr>
          <w:ilvl w:val="0"/>
          <w:numId w:val="1005"/>
        </w:numPr>
        <w:pStyle w:val="Compact"/>
      </w:pPr>
      <w:r>
        <w:rPr>
          <w:bCs/>
          <w:b/>
        </w:rPr>
        <w:t xml:space="preserve">Connection coalescing</w:t>
      </w:r>
      <w:r>
        <w:t xml:space="preserve"> </w:t>
      </w:r>
      <w:r>
        <w:t xml:space="preserve">on HTTP/2 and HTTP/3 multiplexes sessions across origins with different crypto policies — CDN configuration must align per-origin HLM phase.</w:t>
      </w:r>
    </w:p>
    <w:p>
      <w:pPr>
        <w:pStyle w:val="FirstParagraph"/>
      </w:pPr>
      <w:r>
        <w:t xml:space="preserve">Meridian disabled 0-RTT on payment-adjacent API paths before hybrid cutover — reducing variables during the first production week. GlobalSync retained 0-RTT on read-only Tier A endpoints after soak testing confirmed hybrid resumption compatibility on its CDN vendor’s Q2 2026 release.</w:t>
      </w:r>
    </w:p>
    <w:p>
      <w:pPr>
        <w:pStyle w:val="BlockText"/>
      </w:pPr>
      <w:r>
        <w:rPr>
          <w:bCs/>
          <w:b/>
        </w:rPr>
        <w:t xml:space="preserve">Dependency Alert</w:t>
      </w:r>
    </w:p>
    <w:p>
      <w:pPr>
        <w:pStyle w:val="BlockText"/>
      </w:pPr>
      <w:r>
        <w:rPr>
          <w:bCs/>
          <w:b/>
        </w:rPr>
        <w:t xml:space="preserve">Certificate renewal cycles trigger hybrid regressions.</w:t>
      </w:r>
      <w:r>
        <w:t xml:space="preserve"> </w:t>
      </w:r>
      <w:r>
        <w:t xml:space="preserve">A renewed ECDSA certificate with an expanded intermediate chain can push combined ClientHello size over middlebox limits that hybrid key shares already approached. Integrate PKI renewal (Chapter 13) with hybrid buffer assessment — not only initial deployment.</w:t>
      </w:r>
    </w:p>
    <w:p>
      <w:r>
        <w:pict>
          <v:rect style="width:0;height:1.5pt" o:hralign="center" o:hrstd="t" o:hr="t"/>
        </w:pict>
      </w:r>
    </w:p>
    <w:bookmarkEnd w:id="31"/>
    <w:bookmarkEnd w:id="32"/>
    <w:bookmarkStart w:id="38" w:name="X89085bc8fead184ce3de84ceba17ce3c4b23ddd"/>
    <w:p>
      <w:pPr>
        <w:pStyle w:val="Heading2"/>
      </w:pPr>
      <w:r>
        <w:t xml:space="preserve">11.4 Combiner Security and Construction Requirements</w:t>
      </w:r>
    </w:p>
    <w:p>
      <w:pPr>
        <w:pStyle w:val="FirstParagraph"/>
      </w:pPr>
      <w:r>
        <w:t xml:space="preserve">Hybrid constructions live or die on</w:t>
      </w:r>
      <w:r>
        <w:t xml:space="preserve"> </w:t>
      </w:r>
      <w:r>
        <w:rPr>
          <w:bCs/>
          <w:b/>
        </w:rPr>
        <w:t xml:space="preserve">combiner correctness</w:t>
      </w:r>
      <w:r>
        <w:t xml:space="preserve">. Enterprise policy must prohibit engineer-assembled combinations not on the approved list.</w:t>
      </w:r>
    </w:p>
    <w:bookmarkStart w:id="33" w:name="combiner-models"/>
    <w:p>
      <w:pPr>
        <w:pStyle w:val="Heading3"/>
      </w:pPr>
      <w:r>
        <w:t xml:space="preserve">Combiner models</w:t>
      </w:r>
    </w:p>
    <w:tbl>
      <w:tblPr>
        <w:tblStyle w:val="Table"/>
        <w:tblW w:type="pct" w:w="5000"/>
        <w:tblLook w:firstRow="1" w:lastRow="0" w:firstColumn="0" w:lastColumn="0" w:noHBand="0" w:noVBand="0" w:val="0020"/>
        <w:jc w:val="start"/>
      </w:tblPr>
      <w:tblGrid>
        <w:gridCol w:w="1007"/>
        <w:gridCol w:w="1872"/>
        <w:gridCol w:w="2736"/>
        <w:gridCol w:w="2304"/>
      </w:tblGrid>
      <w:tr>
        <w:trPr>
          <w:tblHeader w:val="true"/>
        </w:trPr>
        <w:tc>
          <w:tcPr/>
          <w:p>
            <w:pPr>
              <w:pStyle w:val="Compact"/>
              <w:jc w:val="left"/>
            </w:pPr>
            <w:r>
              <w:t xml:space="preserve">Model</w:t>
            </w:r>
          </w:p>
        </w:tc>
        <w:tc>
          <w:tcPr/>
          <w:p>
            <w:pPr>
              <w:pStyle w:val="Compact"/>
              <w:jc w:val="left"/>
            </w:pPr>
            <w:r>
              <w:t xml:space="preserve">Construction</w:t>
            </w:r>
          </w:p>
        </w:tc>
        <w:tc>
          <w:tcPr/>
          <w:p>
            <w:pPr>
              <w:pStyle w:val="Compact"/>
              <w:jc w:val="left"/>
            </w:pPr>
            <w:r>
              <w:t xml:space="preserve">Security property</w:t>
            </w:r>
          </w:p>
        </w:tc>
        <w:tc>
          <w:tcPr/>
          <w:p>
            <w:pPr>
              <w:pStyle w:val="Compact"/>
              <w:jc w:val="left"/>
            </w:pPr>
            <w:r>
              <w:t xml:space="preserve">Enterprise use</w:t>
            </w:r>
          </w:p>
        </w:tc>
      </w:tr>
      <w:tr>
        <w:tc>
          <w:tcPr/>
          <w:p>
            <w:pPr>
              <w:pStyle w:val="Compact"/>
              <w:jc w:val="left"/>
            </w:pPr>
            <w:r>
              <w:rPr>
                <w:bCs/>
                <w:b/>
              </w:rPr>
              <w:t xml:space="preserve">Concatenation (OR)</w:t>
            </w:r>
          </w:p>
        </w:tc>
        <w:tc>
          <w:tcPr/>
          <w:p>
            <w:pPr>
              <w:pStyle w:val="Compact"/>
              <w:jc w:val="left"/>
            </w:pPr>
            <w:r>
              <w:rPr>
                <w:rStyle w:val="VerbatimChar"/>
              </w:rPr>
              <w:t xml:space="preserve">K = K_classical || K_pqc</w:t>
            </w:r>
            <w:r>
              <w:t xml:space="preserve"> </w:t>
            </w:r>
            <w:r>
              <w:t xml:space="preserve">fed to KDF</w:t>
            </w:r>
          </w:p>
        </w:tc>
        <w:tc>
          <w:tcPr/>
          <w:p>
            <w:pPr>
              <w:pStyle w:val="Compact"/>
              <w:jc w:val="left"/>
            </w:pPr>
            <w:r>
              <w:t xml:space="preserve">Secure if either component secure</w:t>
            </w:r>
          </w:p>
        </w:tc>
        <w:tc>
          <w:tcPr/>
          <w:p>
            <w:pPr>
              <w:pStyle w:val="Compact"/>
              <w:jc w:val="left"/>
            </w:pPr>
            <w:r>
              <w:t xml:space="preserve">TLS hybrid key exchange; IKE hybrids</w:t>
            </w:r>
          </w:p>
        </w:tc>
      </w:tr>
      <w:tr>
        <w:tc>
          <w:tcPr/>
          <w:p>
            <w:pPr>
              <w:pStyle w:val="Compact"/>
              <w:jc w:val="left"/>
            </w:pPr>
            <w:r>
              <w:rPr>
                <w:bCs/>
                <w:b/>
              </w:rPr>
              <w:t xml:space="preserve">Dual signature (AND for verification)</w:t>
            </w:r>
          </w:p>
        </w:tc>
        <w:tc>
          <w:tcPr/>
          <w:p>
            <w:pPr>
              <w:pStyle w:val="Compact"/>
              <w:jc w:val="left"/>
            </w:pPr>
            <w:r>
              <w:t xml:space="preserve">Both signatures must verify</w:t>
            </w:r>
          </w:p>
        </w:tc>
        <w:tc>
          <w:tcPr/>
          <w:p>
            <w:pPr>
              <w:pStyle w:val="Compact"/>
              <w:jc w:val="left"/>
            </w:pPr>
            <w:r>
              <w:t xml:space="preserve">Secure if either signature scheme unforgeable under respective assumptions</w:t>
            </w:r>
          </w:p>
        </w:tc>
        <w:tc>
          <w:tcPr/>
          <w:p>
            <w:pPr>
              <w:pStyle w:val="Compact"/>
              <w:jc w:val="left"/>
            </w:pPr>
            <w:r>
              <w:t xml:space="preserve">Code signing, firmware, CMS</w:t>
            </w:r>
          </w:p>
        </w:tc>
      </w:tr>
      <w:tr>
        <w:tc>
          <w:tcPr/>
          <w:p>
            <w:pPr>
              <w:pStyle w:val="Compact"/>
              <w:jc w:val="left"/>
            </w:pPr>
            <w:r>
              <w:rPr>
                <w:bCs/>
                <w:b/>
              </w:rPr>
              <w:t xml:space="preserve">Nested / encrypted</w:t>
            </w:r>
          </w:p>
        </w:tc>
        <w:tc>
          <w:tcPr/>
          <w:p>
            <w:pPr>
              <w:pStyle w:val="Compact"/>
              <w:jc w:val="left"/>
            </w:pPr>
            <w:r>
              <w:t xml:space="preserve">PQC wraps classical key</w:t>
            </w:r>
          </w:p>
        </w:tc>
        <w:tc>
          <w:tcPr/>
          <w:p>
            <w:pPr>
              <w:pStyle w:val="Compact"/>
              <w:jc w:val="left"/>
            </w:pPr>
            <w:r>
              <w:t xml:space="preserve">Varies by construction</w:t>
            </w:r>
          </w:p>
        </w:tc>
        <w:tc>
          <w:tcPr/>
          <w:p>
            <w:pPr>
              <w:pStyle w:val="Compact"/>
              <w:jc w:val="left"/>
            </w:pPr>
            <w:r>
              <w:t xml:space="preserve">Application-layer hybrids; use with crypto review</w:t>
            </w:r>
          </w:p>
        </w:tc>
      </w:tr>
    </w:tbl>
    <w:p>
      <w:pPr>
        <w:pStyle w:val="BodyText"/>
      </w:pPr>
      <w:r>
        <w:rPr>
          <w:bCs/>
          <w:b/>
        </w:rPr>
        <w:t xml:space="preserve">Prohibited without cryptanalysis review:</w:t>
      </w:r>
    </w:p>
    <w:p>
      <w:pPr>
        <w:numPr>
          <w:ilvl w:val="0"/>
          <w:numId w:val="1006"/>
        </w:numPr>
        <w:pStyle w:val="Compact"/>
      </w:pPr>
      <w:r>
        <w:t xml:space="preserve">XOR of shared secrets without domain separation</w:t>
      </w:r>
    </w:p>
    <w:p>
      <w:pPr>
        <w:numPr>
          <w:ilvl w:val="0"/>
          <w:numId w:val="1006"/>
        </w:numPr>
        <w:pStyle w:val="Compact"/>
      </w:pPr>
      <w:r>
        <w:t xml:space="preserve">Optional PQC — clients that skip PQC when server allows classical-only on same endpoint</w:t>
      </w:r>
    </w:p>
    <w:p>
      <w:pPr>
        <w:numPr>
          <w:ilvl w:val="0"/>
          <w:numId w:val="1006"/>
        </w:numPr>
        <w:pStyle w:val="Compact"/>
      </w:pPr>
      <w:r>
        <w:t xml:space="preserve">Same algorithm family twice (ML-KEM-768 + ML-KEM-1024) mistaken for hybrid diversity</w:t>
      </w:r>
    </w:p>
    <w:bookmarkEnd w:id="33"/>
    <w:bookmarkStart w:id="34" w:name="dual-signature-semantics-code-signing"/>
    <w:p>
      <w:pPr>
        <w:pStyle w:val="Heading3"/>
      </w:pPr>
      <w:r>
        <w:t xml:space="preserve">Dual signature semantics (code signing)</w:t>
      </w:r>
    </w:p>
    <w:p>
      <w:pPr>
        <w:pStyle w:val="FirstParagraph"/>
      </w:pPr>
      <w:r>
        <w:t xml:space="preserve">Dual signature hybrids use different logic than key-exchange combiners. For firmware and code signing,</w:t>
      </w:r>
      <w:r>
        <w:t xml:space="preserve"> </w:t>
      </w:r>
      <w:r>
        <w:rPr>
          <w:bCs/>
          <w:b/>
        </w:rPr>
        <w:t xml:space="preserve">both</w:t>
      </w:r>
      <w:r>
        <w:t xml:space="preserve"> </w:t>
      </w:r>
      <w:r>
        <w:t xml:space="preserve">signatures must verify. Security holds if</w:t>
      </w:r>
      <w:r>
        <w:t xml:space="preserve"> </w:t>
      </w:r>
      <w:r>
        <w:rPr>
          <w:bCs/>
          <w:b/>
        </w:rPr>
        <w:t xml:space="preserve">either</w:t>
      </w:r>
      <w:r>
        <w:t xml:space="preserve"> </w:t>
      </w:r>
      <w:r>
        <w:t xml:space="preserve">signature scheme remains unforgeable — an attacker must break</w:t>
      </w:r>
      <w:r>
        <w:t xml:space="preserve"> </w:t>
      </w:r>
      <w:r>
        <w:rPr>
          <w:bCs/>
          <w:b/>
        </w:rPr>
        <w:t xml:space="preserve">both</w:t>
      </w:r>
      <w:r>
        <w:t xml:space="preserve"> </w:t>
      </w:r>
      <w:r>
        <w:t xml:space="preserve">to forge convincingly under a policy requiring dual verification.</w:t>
      </w:r>
    </w:p>
    <w:p>
      <w:pPr>
        <w:pStyle w:val="BodyText"/>
      </w:pPr>
      <w:r>
        <w:t xml:space="preserve">Apex’s NSS firmware pipeline required:</w:t>
      </w:r>
    </w:p>
    <w:p>
      <w:pPr>
        <w:pStyle w:val="SourceCode"/>
      </w:pPr>
      <w:r>
        <w:rPr>
          <w:rStyle w:val="VerbatimChar"/>
        </w:rPr>
        <w:t xml:space="preserve">image_hash = SHA-384(firmware_binary)</w:t>
      </w:r>
      <w:r>
        <w:br/>
      </w:r>
      <w:r>
        <w:rPr>
          <w:rStyle w:val="VerbatimChar"/>
        </w:rPr>
        <w:t xml:space="preserve">signature_classical = ECDSA_P384.sign(image_hash, key_classical)</w:t>
      </w:r>
      <w:r>
        <w:br/>
      </w:r>
      <w:r>
        <w:rPr>
          <w:rStyle w:val="VerbatimChar"/>
        </w:rPr>
        <w:t xml:space="preserve">signature_pqc = ML_DSA_87.sign(image_hash, key_pqc)</w:t>
      </w:r>
      <w:r>
        <w:br/>
      </w:r>
      <w:r>
        <w:rPr>
          <w:rStyle w:val="VerbatimChar"/>
        </w:rPr>
        <w:t xml:space="preserve">cms_structure = DualSignedCMS(signature_classical, signature_pqc)</w:t>
      </w:r>
    </w:p>
    <w:p>
      <w:pPr>
        <w:pStyle w:val="FirstParagraph"/>
      </w:pPr>
      <w:r>
        <w:t xml:space="preserve">Bootloader verification policy:</w:t>
      </w:r>
      <w:r>
        <w:t xml:space="preserve"> </w:t>
      </w:r>
      <w:r>
        <w:rPr>
          <w:rStyle w:val="VerbatimChar"/>
        </w:rPr>
        <w:t xml:space="preserve">verify(signature_classical) AND verify(signature_pqc)</w:t>
      </w:r>
      <w:r>
        <w:t xml:space="preserve">. Transition to ML-DSA-only occurs when H2 exit criteria remove classical verification support from the bootloader policy table.</w:t>
      </w:r>
    </w:p>
    <w:bookmarkEnd w:id="34"/>
    <w:bookmarkStart w:id="35" w:name="Xc9ab1096c32a95803f578ad864fab6ebfa6e47d"/>
    <w:p>
      <w:pPr>
        <w:pStyle w:val="Heading3"/>
      </w:pPr>
      <w:r>
        <w:t xml:space="preserve">Apex manufacturing and supply chain integration</w:t>
      </w:r>
    </w:p>
    <w:p>
      <w:pPr>
        <w:pStyle w:val="FirstParagraph"/>
      </w:pPr>
      <w:r>
        <w:t xml:space="preserve">Dual-signature deployment spans</w:t>
      </w:r>
      <w:r>
        <w:t xml:space="preserve"> </w:t>
      </w:r>
      <w:r>
        <w:rPr>
          <w:bCs/>
          <w:b/>
        </w:rPr>
        <w:t xml:space="preserve">signing ceremony</w:t>
      </w:r>
      <w:r>
        <w:t xml:space="preserve">,</w:t>
      </w:r>
      <w:r>
        <w:t xml:space="preserve"> </w:t>
      </w:r>
      <w:r>
        <w:rPr>
          <w:bCs/>
          <w:b/>
        </w:rPr>
        <w:t xml:space="preserve">distribution</w:t>
      </w:r>
      <w:r>
        <w:t xml:space="preserve">, and</w:t>
      </w:r>
      <w:r>
        <w:t xml:space="preserve"> </w:t>
      </w:r>
      <w:r>
        <w:rPr>
          <w:bCs/>
          <w:b/>
        </w:rPr>
        <w:t xml:space="preserve">verification</w:t>
      </w:r>
      <w:r>
        <w:t xml:space="preserve"> </w:t>
      </w:r>
      <w:r>
        <w:t xml:space="preserve">— each a CDG node:</w:t>
      </w:r>
    </w:p>
    <w:p>
      <w:pPr>
        <w:pStyle w:val="SourceCode"/>
      </w:pPr>
      <w:r>
        <w:rPr>
          <w:rStyle w:val="VerbatimChar"/>
        </w:rPr>
        <w:t xml:space="preserve">[Manufacturing HSM partition]</w:t>
      </w:r>
      <w:r>
        <w:br/>
      </w:r>
      <w:r>
        <w:rPr>
          <w:rStyle w:val="VerbatimChar"/>
        </w:rPr>
        <w:t xml:space="preserve">        | signs (dual)</w:t>
      </w:r>
      <w:r>
        <w:br/>
      </w:r>
      <w:r>
        <w:rPr>
          <w:rStyle w:val="VerbatimChar"/>
        </w:rPr>
        <w:t xml:space="preserve">        v</w:t>
      </w:r>
      <w:r>
        <w:br/>
      </w:r>
      <w:r>
        <w:rPr>
          <w:rStyle w:val="VerbatimChar"/>
        </w:rPr>
        <w:t xml:space="preserve">[Firmware image in artifact repo] ---- verifies ----&gt; [Device bootloader]</w:t>
      </w:r>
      <w:r>
        <w:br/>
      </w:r>
      <w:r>
        <w:rPr>
          <w:rStyle w:val="VerbatimChar"/>
        </w:rPr>
        <w:t xml:space="preserve">        |                                                    ^</w:t>
      </w:r>
      <w:r>
        <w:br/>
      </w:r>
      <w:r>
        <w:rPr>
          <w:rStyle w:val="VerbatimChar"/>
        </w:rPr>
        <w:t xml:space="preserve">        | signs                                              | trusts</w:t>
      </w:r>
      <w:r>
        <w:br/>
      </w:r>
      <w:r>
        <w:rPr>
          <w:rStyle w:val="VerbatimChar"/>
        </w:rPr>
        <w:t xml:space="preserve">        v                                                    |</w:t>
      </w:r>
      <w:r>
        <w:br/>
      </w:r>
      <w:r>
        <w:rPr>
          <w:rStyle w:val="VerbatimChar"/>
        </w:rPr>
        <w:t xml:space="preserve">[Update server manifest] ---------------------------- [Field tech USB path]</w:t>
      </w:r>
    </w:p>
    <w:p>
      <w:pPr>
        <w:pStyle w:val="FirstParagraph"/>
      </w:pPr>
      <w:r>
        <w:t xml:space="preserve">Priya Nair’s Wave 0 included</w:t>
      </w:r>
      <w:r>
        <w:t xml:space="preserve"> </w:t>
      </w:r>
      <w:r>
        <w:rPr>
          <w:bCs/>
          <w:b/>
        </w:rPr>
        <w:t xml:space="preserve">bootloader policy table update</w:t>
      </w:r>
      <w:r>
        <w:t xml:space="preserve"> </w:t>
      </w:r>
      <w:r>
        <w:t xml:space="preserve">— without verifier support for ML-DSA, dual-signed images would not boot regardless of signing ceremony success. CDG node</w:t>
      </w:r>
      <w:r>
        <w:t xml:space="preserve"> </w:t>
      </w:r>
      <w:r>
        <w:rPr>
          <w:rStyle w:val="VerbatimChar"/>
        </w:rPr>
        <w:t xml:space="preserve">bootloader-policy-v4</w:t>
      </w:r>
      <w:r>
        <w:t xml:space="preserve"> </w:t>
      </w:r>
      <w:r>
        <w:t xml:space="preserve">blocked H1 for six subsystem product lines until vendor delivered signed bootloader update packages.</w:t>
      </w:r>
    </w:p>
    <w:p>
      <w:pPr>
        <w:pStyle w:val="BodyText"/>
      </w:pPr>
      <w:r>
        <w:t xml:space="preserve">Manufacturing lines could not pause for crypto migration. Apex staged</w:t>
      </w:r>
      <w:r>
        <w:t xml:space="preserve"> </w:t>
      </w:r>
      <w:r>
        <w:rPr>
          <w:bCs/>
          <w:b/>
        </w:rPr>
        <w:t xml:space="preserve">parallel signing keys</w:t>
      </w:r>
      <w:r>
        <w:t xml:space="preserve">:</w:t>
      </w:r>
    </w:p>
    <w:tbl>
      <w:tblPr>
        <w:tblStyle w:val="Table"/>
        <w:tblW w:type="pct" w:w="5000"/>
        <w:tblLook w:firstRow="1" w:lastRow="0" w:firstColumn="0" w:lastColumn="0" w:noHBand="0" w:noVBand="0" w:val="0020"/>
        <w:jc w:val="start"/>
      </w:tblPr>
      <w:tblGrid>
        <w:gridCol w:w="2640"/>
        <w:gridCol w:w="2904"/>
        <w:gridCol w:w="2376"/>
      </w:tblGrid>
      <w:tr>
        <w:trPr>
          <w:tblHeader w:val="true"/>
        </w:trPr>
        <w:tc>
          <w:tcPr/>
          <w:p>
            <w:pPr>
              <w:pStyle w:val="Compact"/>
              <w:jc w:val="left"/>
            </w:pPr>
            <w:r>
              <w:t xml:space="preserve">Key role</w:t>
            </w:r>
          </w:p>
        </w:tc>
        <w:tc>
          <w:tcPr/>
          <w:p>
            <w:pPr>
              <w:pStyle w:val="Compact"/>
              <w:jc w:val="left"/>
            </w:pPr>
            <w:r>
              <w:t xml:space="preserve">H1 posture</w:t>
            </w:r>
          </w:p>
        </w:tc>
        <w:tc>
          <w:tcPr/>
          <w:p>
            <w:pPr>
              <w:pStyle w:val="Compact"/>
              <w:jc w:val="left"/>
            </w:pPr>
            <w:r>
              <w:t xml:space="preserve">Custody</w:t>
            </w:r>
          </w:p>
        </w:tc>
      </w:tr>
      <w:tr>
        <w:tc>
          <w:tcPr/>
          <w:p>
            <w:pPr>
              <w:pStyle w:val="Compact"/>
              <w:jc w:val="left"/>
            </w:pPr>
            <w:r>
              <w:rPr>
                <w:rStyle w:val="VerbatimChar"/>
              </w:rPr>
              <w:t xml:space="preserve">fw-sign-classical</w:t>
            </w:r>
          </w:p>
        </w:tc>
        <w:tc>
          <w:tcPr/>
          <w:p>
            <w:pPr>
              <w:pStyle w:val="Compact"/>
              <w:jc w:val="left"/>
            </w:pPr>
            <w:r>
              <w:t xml:space="preserve">ECDSA-P384</w:t>
            </w:r>
          </w:p>
        </w:tc>
        <w:tc>
          <w:tcPr/>
          <w:p>
            <w:pPr>
              <w:pStyle w:val="Compact"/>
              <w:jc w:val="left"/>
            </w:pPr>
            <w:r>
              <w:t xml:space="preserve">FIPS 140-3 L3 partition A</w:t>
            </w:r>
          </w:p>
        </w:tc>
      </w:tr>
      <w:tr>
        <w:tc>
          <w:tcPr/>
          <w:p>
            <w:pPr>
              <w:pStyle w:val="Compact"/>
              <w:jc w:val="left"/>
            </w:pPr>
            <w:r>
              <w:rPr>
                <w:rStyle w:val="VerbatimChar"/>
              </w:rPr>
              <w:t xml:space="preserve">fw-sign-pqc</w:t>
            </w:r>
          </w:p>
        </w:tc>
        <w:tc>
          <w:tcPr/>
          <w:p>
            <w:pPr>
              <w:pStyle w:val="Compact"/>
              <w:jc w:val="left"/>
            </w:pPr>
            <w:r>
              <w:t xml:space="preserve">ML-DSA-87</w:t>
            </w:r>
          </w:p>
        </w:tc>
        <w:tc>
          <w:tcPr/>
          <w:p>
            <w:pPr>
              <w:pStyle w:val="Compact"/>
              <w:jc w:val="left"/>
            </w:pPr>
            <w:r>
              <w:t xml:space="preserve">FIPS 140-3 L3 partition B</w:t>
            </w:r>
          </w:p>
        </w:tc>
      </w:tr>
      <w:tr>
        <w:tc>
          <w:tcPr/>
          <w:p>
            <w:pPr>
              <w:pStyle w:val="Compact"/>
              <w:jc w:val="left"/>
            </w:pPr>
            <w:r>
              <w:rPr>
                <w:rStyle w:val="VerbatimChar"/>
              </w:rPr>
              <w:t xml:space="preserve">fw-sign-dual-policy</w:t>
            </w:r>
          </w:p>
        </w:tc>
        <w:tc>
          <w:tcPr/>
          <w:p>
            <w:pPr>
              <w:pStyle w:val="Compact"/>
              <w:jc w:val="left"/>
            </w:pPr>
            <w:r>
              <w:t xml:space="preserve">CMS profile requiring both</w:t>
            </w:r>
          </w:p>
        </w:tc>
        <w:tc>
          <w:tcPr/>
          <w:p>
            <w:pPr>
              <w:pStyle w:val="Compact"/>
              <w:jc w:val="left"/>
            </w:pPr>
            <w:r>
              <w:t xml:space="preserve">Ceremony: dual control both partitions</w:t>
            </w:r>
          </w:p>
        </w:tc>
      </w:tr>
    </w:tbl>
    <w:p>
      <w:pPr>
        <w:pStyle w:val="BodyText"/>
      </w:pPr>
      <w:r>
        <w:t xml:space="preserve">Ceremony duration increased from</w:t>
      </w:r>
      <w:r>
        <w:t xml:space="preserve"> </w:t>
      </w:r>
      <w:r>
        <w:rPr>
          <w:bCs/>
          <w:b/>
        </w:rPr>
        <w:t xml:space="preserve">12 minutes to 19 minutes</w:t>
      </w:r>
      <w:r>
        <w:t xml:space="preserve"> </w:t>
      </w:r>
      <w:r>
        <w:t xml:space="preserve">per signing batch (</w:t>
      </w:r>
      <w:r>
        <w:rPr>
          <w:iCs/>
          <w:i/>
        </w:rPr>
        <w:t xml:space="preserve">illustrative</w:t>
      </w:r>
      <w:r>
        <w:t xml:space="preserve">) — key management team adapted shift scheduling before NSS programme board noticed throughput impact.</w:t>
      </w:r>
    </w:p>
    <w:p>
      <w:pPr>
        <w:pStyle w:val="BodyText"/>
      </w:pPr>
      <w:r>
        <w:t xml:space="preserve">Supply chain verification extended to</w:t>
      </w:r>
      <w:r>
        <w:t xml:space="preserve"> </w:t>
      </w:r>
      <w:r>
        <w:rPr>
          <w:bCs/>
          <w:b/>
        </w:rPr>
        <w:t xml:space="preserve">subcontractor integrator acquisition</w:t>
      </w:r>
      <w:r>
        <w:t xml:space="preserve"> </w:t>
      </w:r>
      <w:r>
        <w:t xml:space="preserve">(Chapter 5 §5.32): inherited firmware without</w:t>
      </w:r>
      <w:r>
        <w:t xml:space="preserve"> </w:t>
      </w:r>
      <w:r>
        <w:rPr>
          <w:rStyle w:val="VerbatimChar"/>
        </w:rPr>
        <w:t xml:space="preserve">hlm_phase</w:t>
      </w:r>
      <w:r>
        <w:t xml:space="preserve"> </w:t>
      </w:r>
      <w:r>
        <w:t xml:space="preserve">metadata received 100-day assessment before merging into Apex overlay — preventing false H3 claims from acquired marketing materials.</w:t>
      </w:r>
    </w:p>
    <w:p>
      <w:pPr>
        <w:pStyle w:val="BlockText"/>
      </w:pPr>
      <w:r>
        <w:rPr>
          <w:bCs/>
          <w:b/>
        </w:rPr>
        <w:t xml:space="preserve">Architect’s Decision</w:t>
      </w:r>
    </w:p>
    <w:p>
      <w:pPr>
        <w:pStyle w:val="BlockText"/>
      </w:pPr>
      <w:r>
        <w:rPr>
          <w:bCs/>
          <w:b/>
        </w:rPr>
        <w:t xml:space="preserve">Never mix combiner models in one policy sentence.</w:t>
      </w:r>
      <w:r>
        <w:t xml:space="preserve"> </w:t>
      </w:r>
      <w:r>
        <w:t xml:space="preserve">TLS key exchange uses concatenation OR-security. Code signing uses dual-signature AND-verification. Application-layer hybrids may use envelope encryption — a third pattern. Separate policy annexes per use case prevent engineers from applying TLS combiner logic to firmware.</w:t>
      </w:r>
    </w:p>
    <w:bookmarkEnd w:id="35"/>
    <w:bookmarkStart w:id="36" w:name="Xf536ce7b5f878b2acd71f093b1cec0ebc4aa5b9"/>
    <w:p>
      <w:pPr>
        <w:pStyle w:val="Heading3"/>
      </w:pPr>
      <w:r>
        <w:t xml:space="preserve">Combiner security assumptions for architecture review</w:t>
      </w:r>
    </w:p>
    <w:p>
      <w:pPr>
        <w:pStyle w:val="FirstParagraph"/>
      </w:pPr>
      <w:r>
        <w:t xml:space="preserve">Architecture boards need not prove reductionist security — they must</w:t>
      </w:r>
      <w:r>
        <w:t xml:space="preserve"> </w:t>
      </w:r>
      <w:r>
        <w:rPr>
          <w:bCs/>
          <w:b/>
        </w:rPr>
        <w:t xml:space="preserve">verify constructions are standards-backed</w:t>
      </w:r>
      <w:r>
        <w:t xml:space="preserve"> </w:t>
      </w:r>
      <w:r>
        <w:t xml:space="preserve">and</w:t>
      </w:r>
      <w:r>
        <w:t xml:space="preserve"> </w:t>
      </w:r>
      <w:r>
        <w:rPr>
          <w:bCs/>
          <w:b/>
        </w:rPr>
        <w:t xml:space="preserve">assumptions match use case</w:t>
      </w:r>
      <w:r>
        <w:t xml:space="preserve">.</w:t>
      </w:r>
    </w:p>
    <w:tbl>
      <w:tblPr>
        <w:tblStyle w:val="Table"/>
        <w:tblW w:type="pct" w:w="5000"/>
        <w:tblLook w:firstRow="1" w:lastRow="0" w:firstColumn="0" w:lastColumn="0" w:noHBand="0" w:noVBand="0" w:val="0020"/>
        <w:jc w:val="start"/>
      </w:tblPr>
      <w:tblGrid>
        <w:gridCol w:w="1760"/>
        <w:gridCol w:w="3344"/>
        <w:gridCol w:w="2816"/>
      </w:tblGrid>
      <w:tr>
        <w:trPr>
          <w:tblHeader w:val="true"/>
        </w:trPr>
        <w:tc>
          <w:tcPr/>
          <w:p>
            <w:pPr>
              <w:pStyle w:val="Compact"/>
              <w:jc w:val="left"/>
            </w:pPr>
            <w:r>
              <w:t xml:space="preserve">Question</w:t>
            </w:r>
          </w:p>
        </w:tc>
        <w:tc>
          <w:tcPr/>
          <w:p>
            <w:pPr>
              <w:pStyle w:val="Compact"/>
              <w:jc w:val="left"/>
            </w:pPr>
            <w:r>
              <w:t xml:space="preserve">TLS concatenation</w:t>
            </w:r>
          </w:p>
        </w:tc>
        <w:tc>
          <w:tcPr/>
          <w:p>
            <w:pPr>
              <w:pStyle w:val="Compact"/>
              <w:jc w:val="left"/>
            </w:pPr>
            <w:r>
              <w:t xml:space="preserve">Dual signature</w:t>
            </w:r>
          </w:p>
        </w:tc>
      </w:tr>
      <w:tr>
        <w:tc>
          <w:tcPr/>
          <w:p>
            <w:pPr>
              <w:pStyle w:val="Compact"/>
              <w:jc w:val="left"/>
            </w:pPr>
            <w:r>
              <w:t xml:space="preserve">What breaks if classical fails?</w:t>
            </w:r>
          </w:p>
        </w:tc>
        <w:tc>
          <w:tcPr/>
          <w:p>
            <w:pPr>
              <w:pStyle w:val="Compact"/>
              <w:jc w:val="left"/>
            </w:pPr>
            <w:r>
              <w:t xml:space="preserve">PQC component must hold</w:t>
            </w:r>
          </w:p>
        </w:tc>
        <w:tc>
          <w:tcPr/>
          <w:p>
            <w:pPr>
              <w:pStyle w:val="Compact"/>
              <w:jc w:val="left"/>
            </w:pPr>
            <w:r>
              <w:t xml:space="preserve">Forgery if PQC broken</w:t>
            </w:r>
          </w:p>
        </w:tc>
      </w:tr>
      <w:tr>
        <w:tc>
          <w:tcPr/>
          <w:p>
            <w:pPr>
              <w:pStyle w:val="Compact"/>
              <w:jc w:val="left"/>
            </w:pPr>
            <w:r>
              <w:t xml:space="preserve">What breaks if PQC fails?</w:t>
            </w:r>
          </w:p>
        </w:tc>
        <w:tc>
          <w:tcPr/>
          <w:p>
            <w:pPr>
              <w:pStyle w:val="Compact"/>
              <w:jc w:val="left"/>
            </w:pPr>
            <w:r>
              <w:t xml:space="preserve">Classical component must hold</w:t>
            </w:r>
          </w:p>
        </w:tc>
        <w:tc>
          <w:tcPr/>
          <w:p>
            <w:pPr>
              <w:pStyle w:val="Compact"/>
              <w:jc w:val="left"/>
            </w:pPr>
            <w:r>
              <w:t xml:space="preserve">Forgery if classical broken</w:t>
            </w:r>
          </w:p>
        </w:tc>
      </w:tr>
      <w:tr>
        <w:tc>
          <w:tcPr/>
          <w:p>
            <w:pPr>
              <w:pStyle w:val="Compact"/>
              <w:jc w:val="left"/>
            </w:pPr>
            <w:r>
              <w:t xml:space="preserve">Domain separation</w:t>
            </w:r>
          </w:p>
        </w:tc>
        <w:tc>
          <w:tcPr/>
          <w:p>
            <w:pPr>
              <w:pStyle w:val="Compact"/>
              <w:jc w:val="left"/>
            </w:pPr>
            <w:r>
              <w:t xml:space="preserve">KDF extracts independent keys from combined input</w:t>
            </w:r>
          </w:p>
        </w:tc>
        <w:tc>
          <w:tcPr/>
          <w:p>
            <w:pPr>
              <w:pStyle w:val="Compact"/>
              <w:jc w:val="left"/>
            </w:pPr>
            <w:r>
              <w:t xml:space="preserve">Distinct signature containers</w:t>
            </w:r>
          </w:p>
        </w:tc>
      </w:tr>
      <w:tr>
        <w:tc>
          <w:tcPr/>
          <w:p>
            <w:pPr>
              <w:pStyle w:val="Compact"/>
              <w:jc w:val="left"/>
            </w:pPr>
            <w:r>
              <w:t xml:space="preserve">Downgrade risk</w:t>
            </w:r>
          </w:p>
        </w:tc>
        <w:tc>
          <w:tcPr/>
          <w:p>
            <w:pPr>
              <w:pStyle w:val="Compact"/>
              <w:jc w:val="left"/>
            </w:pPr>
            <w:r>
              <w:t xml:space="preserve">Server must not accept classical-only from clients requiring hybrid</w:t>
            </w:r>
          </w:p>
        </w:tc>
        <w:tc>
          <w:tcPr/>
          <w:p>
            <w:pPr>
              <w:pStyle w:val="Compact"/>
              <w:jc w:val="left"/>
            </w:pPr>
            <w:r>
              <w:t xml:space="preserve">Verifier must require both signatures</w:t>
            </w:r>
          </w:p>
        </w:tc>
      </w:tr>
      <w:tr>
        <w:tc>
          <w:tcPr/>
          <w:p>
            <w:pPr>
              <w:pStyle w:val="Compact"/>
              <w:jc w:val="left"/>
            </w:pPr>
            <w:r>
              <w:t xml:space="preserve">Known attacks to monitor</w:t>
            </w:r>
          </w:p>
        </w:tc>
        <w:tc>
          <w:tcPr/>
          <w:p>
            <w:pPr>
              <w:pStyle w:val="Compact"/>
              <w:jc w:val="left"/>
            </w:pPr>
            <w:r>
              <w:t xml:space="preserve">Side-channel on either component</w:t>
            </w:r>
          </w:p>
        </w:tc>
        <w:tc>
          <w:tcPr/>
          <w:p>
            <w:pPr>
              <w:pStyle w:val="Compact"/>
              <w:jc w:val="left"/>
            </w:pPr>
            <w:r>
              <w:t xml:space="preserve">Padding oracle on CMS parsers — separate from combiner</w:t>
            </w:r>
          </w:p>
        </w:tc>
      </w:tr>
    </w:tbl>
    <w:p>
      <w:pPr>
        <w:pStyle w:val="BodyText"/>
      </w:pPr>
      <w:r>
        <w:t xml:space="preserve">NIST IR 8547 treats hybrids as</w:t>
      </w:r>
      <w:r>
        <w:t xml:space="preserve"> </w:t>
      </w:r>
      <w:r>
        <w:rPr>
          <w:bCs/>
          <w:b/>
        </w:rPr>
        <w:t xml:space="preserve">transitional</w:t>
      </w:r>
      <w:r>
        <w:t xml:space="preserve">, not as a permanent alternative to PQC-native deployment. Enterprise policy should cite</w:t>
      </w:r>
      <w:r>
        <w:t xml:space="preserve"> </w:t>
      </w:r>
      <w:r>
        <w:rPr>
          <w:bCs/>
          <w:b/>
        </w:rPr>
        <w:t xml:space="preserve">standards-track constructions</w:t>
      </w:r>
      <w:r>
        <w:t xml:space="preserve"> </w:t>
      </w:r>
      <w:r>
        <w:t xml:space="preserve">— IETF hybrid TLS, vendor-validated IKE profiles, CMS dual-signature profiles — rather than in-house combinations justified by expedience.</w:t>
      </w:r>
    </w:p>
    <w:bookmarkEnd w:id="36"/>
    <w:bookmarkStart w:id="37" w:name="downgrade-attack-prevention"/>
    <w:p>
      <w:pPr>
        <w:pStyle w:val="Heading3"/>
      </w:pPr>
      <w:r>
        <w:t xml:space="preserve">Downgrade attack prevention</w:t>
      </w:r>
    </w:p>
    <w:p>
      <w:pPr>
        <w:pStyle w:val="FirstParagraph"/>
      </w:pPr>
      <w:r>
        <w:t xml:space="preserve">Hybrid deployment introduces</w:t>
      </w:r>
      <w:r>
        <w:t xml:space="preserve"> </w:t>
      </w:r>
      <w:r>
        <w:rPr>
          <w:bCs/>
          <w:b/>
        </w:rPr>
        <w:t xml:space="preserve">negotiation downgrade</w:t>
      </w:r>
      <w:r>
        <w:t xml:space="preserve"> </w:t>
      </w:r>
      <w:r>
        <w:t xml:space="preserve">as an operational attack surface distinct from cryptanalysis:</w:t>
      </w:r>
    </w:p>
    <w:p>
      <w:pPr>
        <w:numPr>
          <w:ilvl w:val="0"/>
          <w:numId w:val="1007"/>
        </w:numPr>
        <w:pStyle w:val="Compact"/>
      </w:pPr>
      <w:r>
        <w:rPr>
          <w:bCs/>
          <w:b/>
        </w:rPr>
        <w:t xml:space="preserve">Server misconfiguration</w:t>
      </w:r>
      <w:r>
        <w:t xml:space="preserve"> </w:t>
      </w:r>
      <w:r>
        <w:t xml:space="preserve">— hybrid group listed but classical-only preferred by sort order; telemetry shows hybrid rate near zero while policy claims H1.</w:t>
      </w:r>
    </w:p>
    <w:p>
      <w:pPr>
        <w:numPr>
          <w:ilvl w:val="0"/>
          <w:numId w:val="1007"/>
        </w:numPr>
        <w:pStyle w:val="Compact"/>
      </w:pPr>
      <w:r>
        <w:rPr>
          <w:bCs/>
          <w:b/>
        </w:rPr>
        <w:t xml:space="preserve">Strip attack on path</w:t>
      </w:r>
      <w:r>
        <w:t xml:space="preserve"> </w:t>
      </w:r>
      <w:r>
        <w:t xml:space="preserve">— middlebox removes PQC extensions; client falls back to classical if server permits —</w:t>
      </w:r>
      <w:r>
        <w:t xml:space="preserve"> </w:t>
      </w:r>
      <w:r>
        <w:rPr>
          <w:iCs/>
          <w:i/>
        </w:rPr>
        <w:t xml:space="preserve">unless</w:t>
      </w:r>
      <w:r>
        <w:t xml:space="preserve"> </w:t>
      </w:r>
      <w:r>
        <w:t xml:space="preserve">policy enforces hybrid-only for in-scope clients.</w:t>
      </w:r>
    </w:p>
    <w:p>
      <w:pPr>
        <w:numPr>
          <w:ilvl w:val="0"/>
          <w:numId w:val="1007"/>
        </w:numPr>
        <w:pStyle w:val="Compact"/>
      </w:pPr>
      <w:r>
        <w:rPr>
          <w:bCs/>
          <w:b/>
        </w:rPr>
        <w:t xml:space="preserve">Client impersonation</w:t>
      </w:r>
      <w:r>
        <w:t xml:space="preserve"> </w:t>
      </w:r>
      <w:r>
        <w:t xml:space="preserve">— legacy client population on exception endpoint becomes attractor for fraud — Tier C endpoints require compensating controls (Meridian pattern).</w:t>
      </w:r>
    </w:p>
    <w:p>
      <w:pPr>
        <w:pStyle w:val="FirstParagraph"/>
      </w:pPr>
      <w:r>
        <w:t xml:space="preserve">Mitigations:</w:t>
      </w:r>
    </w:p>
    <w:p>
      <w:pPr>
        <w:numPr>
          <w:ilvl w:val="0"/>
          <w:numId w:val="1008"/>
        </w:numPr>
        <w:pStyle w:val="Compact"/>
      </w:pPr>
      <w:r>
        <w:t xml:space="preserve">Enforce</w:t>
      </w:r>
      <w:r>
        <w:t xml:space="preserve"> </w:t>
      </w:r>
      <w:r>
        <w:rPr>
          <w:bCs/>
          <w:b/>
        </w:rPr>
        <w:t xml:space="preserve">hybrid-only</w:t>
      </w:r>
      <w:r>
        <w:t xml:space="preserve"> </w:t>
      </w:r>
      <w:r>
        <w:t xml:space="preserve">on primary H1 endpoints for Tier A/B clients after migration window.</w:t>
      </w:r>
    </w:p>
    <w:p>
      <w:pPr>
        <w:numPr>
          <w:ilvl w:val="0"/>
          <w:numId w:val="1008"/>
        </w:numPr>
        <w:pStyle w:val="Compact"/>
      </w:pPr>
      <w:r>
        <w:t xml:space="preserve">Log</w:t>
      </w:r>
      <w:r>
        <w:t xml:space="preserve"> </w:t>
      </w:r>
      <w:r>
        <w:rPr>
          <w:rStyle w:val="VerbatimChar"/>
        </w:rPr>
        <w:t xml:space="preserve">negotiated_group</w:t>
      </w:r>
      <w:r>
        <w:t xml:space="preserve"> </w:t>
      </w:r>
      <w:r>
        <w:t xml:space="preserve">per request with alert on classical-only to primary hostname.</w:t>
      </w:r>
    </w:p>
    <w:p>
      <w:pPr>
        <w:numPr>
          <w:ilvl w:val="0"/>
          <w:numId w:val="1008"/>
        </w:numPr>
        <w:pStyle w:val="Compact"/>
      </w:pPr>
      <w:r>
        <w:t xml:space="preserve">Separate hostname or mTLS policy for Tier C — never silent downgrade on unified URL.</w:t>
      </w:r>
    </w:p>
    <w:p>
      <w:pPr>
        <w:pStyle w:val="FirstParagraph"/>
      </w:pPr>
      <w:r>
        <w:t xml:space="preserve">Basescu et al. (2024) document production deployment friction including client fragmentation and middlebox interference — enterprise programmes should treat their findings as</w:t>
      </w:r>
      <w:r>
        <w:t xml:space="preserve"> </w:t>
      </w:r>
      <w:r>
        <w:rPr>
          <w:bCs/>
          <w:b/>
        </w:rPr>
        <w:t xml:space="preserve">validation requirements</w:t>
      </w:r>
      <w:r>
        <w:t xml:space="preserve">, not as reasons to defer hybrid indefinitely.</w:t>
      </w:r>
    </w:p>
    <w:p>
      <w:r>
        <w:pict>
          <v:rect style="width:0;height:1.5pt" o:hralign="center" o:hrstd="t" o:hr="t"/>
        </w:pict>
      </w:r>
    </w:p>
    <w:bookmarkEnd w:id="37"/>
    <w:bookmarkEnd w:id="38"/>
    <w:bookmarkStart w:id="42" w:name="performance-bandwidth-and-handshake-size"/>
    <w:p>
      <w:pPr>
        <w:pStyle w:val="Heading2"/>
      </w:pPr>
      <w:r>
        <w:t xml:space="preserve">11.5 Performance, Bandwidth, and Handshake Size</w:t>
      </w:r>
    </w:p>
    <w:p>
      <w:pPr>
        <w:pStyle w:val="FirstParagraph"/>
      </w:pPr>
      <w:r>
        <w:t xml:space="preserve">Hybrid deployment is not free. Programme offices that ignore operational impact encounter production incidents unrelated to cryptanalysis.</w:t>
      </w:r>
    </w:p>
    <w:bookmarkStart w:id="39" w:name="illustrative-size-and-timing-impacts"/>
    <w:p>
      <w:pPr>
        <w:pStyle w:val="Heading3"/>
      </w:pPr>
      <w:r>
        <w:t xml:space="preserve">Illustrative size and timing impacts</w:t>
      </w:r>
    </w:p>
    <w:p>
      <w:pPr>
        <w:pStyle w:val="FirstParagraph"/>
      </w:pPr>
      <w:r>
        <w:rPr>
          <w:iCs/>
          <w:i/>
        </w:rPr>
        <w:t xml:space="preserve">Figures are planning estimates for architecture assessment; measure on target infrastructure before production approval.</w:t>
      </w:r>
    </w:p>
    <w:tbl>
      <w:tblPr>
        <w:tblStyle w:val="Table"/>
        <w:tblW w:type="pct" w:w="5000"/>
        <w:tblLook w:firstRow="1" w:lastRow="0" w:firstColumn="0" w:lastColumn="0" w:noHBand="0" w:noVBand="0" w:val="0020"/>
        <w:jc w:val="start"/>
      </w:tblPr>
      <w:tblGrid>
        <w:gridCol w:w="925"/>
        <w:gridCol w:w="3085"/>
        <w:gridCol w:w="3188"/>
        <w:gridCol w:w="720"/>
      </w:tblGrid>
      <w:tr>
        <w:trPr>
          <w:tblHeader w:val="true"/>
        </w:trPr>
        <w:tc>
          <w:tcPr/>
          <w:p>
            <w:pPr>
              <w:pStyle w:val="Compact"/>
              <w:jc w:val="left"/>
            </w:pPr>
            <w:r>
              <w:t xml:space="preserve">Element</w:t>
            </w:r>
          </w:p>
        </w:tc>
        <w:tc>
          <w:tcPr/>
          <w:p>
            <w:pPr>
              <w:pStyle w:val="Compact"/>
              <w:jc w:val="left"/>
            </w:pPr>
            <w:r>
              <w:t xml:space="preserve">Classical baseline (X25519)</w:t>
            </w:r>
          </w:p>
        </w:tc>
        <w:tc>
          <w:tcPr/>
          <w:p>
            <w:pPr>
              <w:pStyle w:val="Compact"/>
              <w:jc w:val="left"/>
            </w:pPr>
            <w:r>
              <w:t xml:space="preserve">Hybrid (X25519 + ML-KEM-768)</w:t>
            </w:r>
          </w:p>
        </w:tc>
        <w:tc>
          <w:tcPr/>
          <w:p>
            <w:pPr>
              <w:pStyle w:val="Compact"/>
              <w:jc w:val="left"/>
            </w:pPr>
            <w:r>
              <w:t xml:space="preserve">Delta</w:t>
            </w:r>
          </w:p>
        </w:tc>
      </w:tr>
      <w:tr>
        <w:tc>
          <w:tcPr/>
          <w:p>
            <w:pPr>
              <w:pStyle w:val="Compact"/>
              <w:jc w:val="left"/>
            </w:pPr>
            <w:r>
              <w:t xml:space="preserve">Client key share</w:t>
            </w:r>
          </w:p>
        </w:tc>
        <w:tc>
          <w:tcPr/>
          <w:p>
            <w:pPr>
              <w:pStyle w:val="Compact"/>
              <w:jc w:val="left"/>
            </w:pPr>
            <w:r>
              <w:t xml:space="preserve">~32 bytes</w:t>
            </w:r>
          </w:p>
        </w:tc>
        <w:tc>
          <w:tcPr/>
          <w:p>
            <w:pPr>
              <w:pStyle w:val="Compact"/>
              <w:jc w:val="left"/>
            </w:pPr>
            <w:r>
              <w:t xml:space="preserve">~1,216 bytes (32 + 1,184 ML-KEM)</w:t>
            </w:r>
          </w:p>
        </w:tc>
        <w:tc>
          <w:tcPr/>
          <w:p>
            <w:pPr>
              <w:pStyle w:val="Compact"/>
              <w:jc w:val="left"/>
            </w:pPr>
            <w:r>
              <w:t xml:space="preserve">~+1,184 bytes</w:t>
            </w:r>
          </w:p>
        </w:tc>
      </w:tr>
      <w:tr>
        <w:tc>
          <w:tcPr/>
          <w:p>
            <w:pPr>
              <w:pStyle w:val="Compact"/>
              <w:jc w:val="left"/>
            </w:pPr>
            <w:r>
              <w:t xml:space="preserve">Server key share</w:t>
            </w:r>
          </w:p>
        </w:tc>
        <w:tc>
          <w:tcPr/>
          <w:p>
            <w:pPr>
              <w:pStyle w:val="Compact"/>
              <w:jc w:val="left"/>
            </w:pPr>
            <w:r>
              <w:t xml:space="preserve">~32 bytes</w:t>
            </w:r>
          </w:p>
        </w:tc>
        <w:tc>
          <w:tcPr/>
          <w:p>
            <w:pPr>
              <w:pStyle w:val="Compact"/>
              <w:jc w:val="left"/>
            </w:pPr>
            <w:r>
              <w:t xml:space="preserve">~1,184 bytes (ML-KEM ciphertext)</w:t>
            </w:r>
          </w:p>
        </w:tc>
        <w:tc>
          <w:tcPr/>
          <w:p>
            <w:pPr>
              <w:pStyle w:val="Compact"/>
              <w:jc w:val="left"/>
            </w:pPr>
            <w:r>
              <w:t xml:space="preserve">~+1,152 bytes</w:t>
            </w:r>
          </w:p>
        </w:tc>
      </w:tr>
      <w:tr>
        <w:tc>
          <w:tcPr/>
          <w:p>
            <w:pPr>
              <w:pStyle w:val="Compact"/>
              <w:jc w:val="left"/>
            </w:pPr>
            <w:r>
              <w:t xml:space="preserve">ClientHello size</w:t>
            </w:r>
          </w:p>
        </w:tc>
        <w:tc>
          <w:tcPr/>
          <w:p>
            <w:pPr>
              <w:pStyle w:val="Compact"/>
              <w:jc w:val="left"/>
            </w:pPr>
            <w:r>
              <w:t xml:space="preserve">~200–400 bytes typical</w:t>
            </w:r>
          </w:p>
        </w:tc>
        <w:tc>
          <w:tcPr/>
          <w:p>
            <w:pPr>
              <w:pStyle w:val="Compact"/>
              <w:jc w:val="left"/>
            </w:pPr>
            <w:r>
              <w:t xml:space="preserve">+ extension overhead</w:t>
            </w:r>
          </w:p>
        </w:tc>
        <w:tc>
          <w:tcPr/>
          <w:p>
            <w:pPr>
              <w:pStyle w:val="Compact"/>
              <w:jc w:val="left"/>
            </w:pPr>
            <w:r>
              <w:t xml:space="preserve">+200–500 bytes typical</w:t>
            </w:r>
          </w:p>
        </w:tc>
      </w:tr>
      <w:tr>
        <w:tc>
          <w:tcPr/>
          <w:p>
            <w:pPr>
              <w:pStyle w:val="Compact"/>
              <w:jc w:val="left"/>
            </w:pPr>
            <w:r>
              <w:t xml:space="preserve">Handshake CPU (server)</w:t>
            </w:r>
          </w:p>
        </w:tc>
        <w:tc>
          <w:tcPr/>
          <w:p>
            <w:pPr>
              <w:pStyle w:val="Compact"/>
              <w:jc w:val="left"/>
            </w:pPr>
            <w:r>
              <w:t xml:space="preserve">Baseline 1×</w:t>
            </w:r>
          </w:p>
        </w:tc>
        <w:tc>
          <w:tcPr/>
          <w:p>
            <w:pPr>
              <w:pStyle w:val="Compact"/>
              <w:jc w:val="left"/>
            </w:pPr>
            <w:r>
              <w:t xml:space="preserve">1.3–2.5× (</w:t>
            </w:r>
            <w:r>
              <w:rPr>
                <w:iCs/>
                <w:i/>
              </w:rPr>
              <w:t xml:space="preserve">platform dependent</w:t>
            </w:r>
            <w:r>
              <w:t xml:space="preserve">)</w:t>
            </w:r>
          </w:p>
        </w:tc>
        <w:tc>
          <w:tcPr/>
          <w:p>
            <w:pPr>
              <w:pStyle w:val="Compact"/>
              <w:jc w:val="left"/>
            </w:pPr>
            <w:r>
              <w:t xml:space="preserve">Measure in validation</w:t>
            </w:r>
          </w:p>
        </w:tc>
      </w:tr>
      <w:tr>
        <w:tc>
          <w:tcPr/>
          <w:p>
            <w:pPr>
              <w:pStyle w:val="Compact"/>
              <w:jc w:val="left"/>
            </w:pPr>
            <w:r>
              <w:t xml:space="preserve">Session establishment latency</w:t>
            </w:r>
          </w:p>
        </w:tc>
        <w:tc>
          <w:tcPr/>
          <w:p>
            <w:pPr>
              <w:pStyle w:val="Compact"/>
              <w:jc w:val="left"/>
            </w:pPr>
            <w:r>
              <w:t xml:space="preserve">Baseline</w:t>
            </w:r>
          </w:p>
        </w:tc>
        <w:tc>
          <w:tcPr/>
          <w:p>
            <w:pPr>
              <w:pStyle w:val="Compact"/>
              <w:jc w:val="left"/>
            </w:pPr>
            <w:r>
              <w:t xml:space="preserve">+0.5–3 ms LAN; +5–15 ms high-latency mobile</w:t>
            </w:r>
          </w:p>
        </w:tc>
        <w:tc>
          <w:tcPr/>
          <w:p>
            <w:pPr>
              <w:pStyle w:val="Compact"/>
              <w:jc w:val="left"/>
            </w:pPr>
            <w:r>
              <w:t xml:space="preserve">Monitor P95/P99</w:t>
            </w:r>
          </w:p>
        </w:tc>
      </w:tr>
    </w:tbl>
    <w:bookmarkEnd w:id="39"/>
    <w:bookmarkStart w:id="40" w:name="infrastructure-impact-checklist"/>
    <w:p>
      <w:pPr>
        <w:pStyle w:val="Heading3"/>
      </w:pPr>
      <w:r>
        <w:t xml:space="preserve">Infrastructure impact checklist</w:t>
      </w:r>
    </w:p>
    <w:tbl>
      <w:tblPr>
        <w:tblStyle w:val="Table"/>
        <w:tblW w:type="pct" w:w="5000"/>
        <w:tblLook w:firstRow="1" w:lastRow="0" w:firstColumn="0" w:lastColumn="0" w:noHBand="0" w:noVBand="0" w:val="0020"/>
        <w:jc w:val="start"/>
      </w:tblPr>
      <w:tblGrid>
        <w:gridCol w:w="1815"/>
        <w:gridCol w:w="3300"/>
        <w:gridCol w:w="2805"/>
      </w:tblGrid>
      <w:tr>
        <w:trPr>
          <w:tblHeader w:val="true"/>
        </w:trPr>
        <w:tc>
          <w:tcPr/>
          <w:p>
            <w:pPr>
              <w:pStyle w:val="Compact"/>
              <w:jc w:val="left"/>
            </w:pPr>
            <w:r>
              <w:t xml:space="preserve">Component</w:t>
            </w:r>
          </w:p>
        </w:tc>
        <w:tc>
          <w:tcPr/>
          <w:p>
            <w:pPr>
              <w:pStyle w:val="Compact"/>
              <w:jc w:val="left"/>
            </w:pPr>
            <w:r>
              <w:t xml:space="preserve">Assessment question</w:t>
            </w:r>
          </w:p>
        </w:tc>
        <w:tc>
          <w:tcPr/>
          <w:p>
            <w:pPr>
              <w:pStyle w:val="Compact"/>
              <w:jc w:val="left"/>
            </w:pPr>
            <w:r>
              <w:t xml:space="preserve">Failure symptom</w:t>
            </w:r>
          </w:p>
        </w:tc>
      </w:tr>
      <w:tr>
        <w:tc>
          <w:tcPr/>
          <w:p>
            <w:pPr>
              <w:pStyle w:val="Compact"/>
              <w:jc w:val="left"/>
            </w:pPr>
            <w:r>
              <w:t xml:space="preserve">Load balancer</w:t>
            </w:r>
          </w:p>
        </w:tc>
        <w:tc>
          <w:tcPr/>
          <w:p>
            <w:pPr>
              <w:pStyle w:val="Compact"/>
              <w:jc w:val="left"/>
            </w:pPr>
            <w:r>
              <w:t xml:space="preserve">Maximum ClientHello / ServerHello buffer?</w:t>
            </w:r>
          </w:p>
        </w:tc>
        <w:tc>
          <w:tcPr/>
          <w:p>
            <w:pPr>
              <w:pStyle w:val="Compact"/>
              <w:jc w:val="left"/>
            </w:pPr>
            <w:r>
              <w:t xml:space="preserve">Silent connection drop; no TLS alert</w:t>
            </w:r>
          </w:p>
        </w:tc>
      </w:tr>
      <w:tr>
        <w:tc>
          <w:tcPr/>
          <w:p>
            <w:pPr>
              <w:pStyle w:val="Compact"/>
              <w:jc w:val="left"/>
            </w:pPr>
            <w:r>
              <w:t xml:space="preserve">IDS/IPS</w:t>
            </w:r>
          </w:p>
        </w:tc>
        <w:tc>
          <w:tcPr/>
          <w:p>
            <w:pPr>
              <w:pStyle w:val="Compact"/>
              <w:jc w:val="left"/>
            </w:pPr>
            <w:r>
              <w:t xml:space="preserve">Reassembly limit for fragmented ClientHello?</w:t>
            </w:r>
          </w:p>
        </w:tc>
        <w:tc>
          <w:tcPr/>
          <w:p>
            <w:pPr>
              <w:pStyle w:val="Compact"/>
              <w:jc w:val="left"/>
            </w:pPr>
            <w:r>
              <w:t xml:space="preserve">Intermittent failures on mobile networks</w:t>
            </w:r>
          </w:p>
        </w:tc>
      </w:tr>
      <w:tr>
        <w:tc>
          <w:tcPr/>
          <w:p>
            <w:pPr>
              <w:pStyle w:val="Compact"/>
              <w:jc w:val="left"/>
            </w:pPr>
            <w:r>
              <w:t xml:space="preserve">SSL inspection proxy</w:t>
            </w:r>
          </w:p>
        </w:tc>
        <w:tc>
          <w:tcPr/>
          <w:p>
            <w:pPr>
              <w:pStyle w:val="Compact"/>
              <w:jc w:val="left"/>
            </w:pPr>
            <w:r>
              <w:t xml:space="preserve">Hybrid extension awareness?</w:t>
            </w:r>
          </w:p>
        </w:tc>
        <w:tc>
          <w:tcPr/>
          <w:p>
            <w:pPr>
              <w:pStyle w:val="Compact"/>
              <w:jc w:val="left"/>
            </w:pPr>
            <w:r>
              <w:t xml:space="preserve">Corporate users fail; external users succeed</w:t>
            </w:r>
          </w:p>
        </w:tc>
      </w:tr>
      <w:tr>
        <w:tc>
          <w:tcPr/>
          <w:p>
            <w:pPr>
              <w:pStyle w:val="Compact"/>
              <w:jc w:val="left"/>
            </w:pPr>
            <w:r>
              <w:t xml:space="preserve">CDN edge</w:t>
            </w:r>
          </w:p>
        </w:tc>
        <w:tc>
          <w:tcPr/>
          <w:p>
            <w:pPr>
              <w:pStyle w:val="Compact"/>
              <w:jc w:val="left"/>
            </w:pPr>
            <w:r>
              <w:t xml:space="preserve">Origin handshake pass-through limits?</w:t>
            </w:r>
          </w:p>
        </w:tc>
        <w:tc>
          <w:tcPr/>
          <w:p>
            <w:pPr>
              <w:pStyle w:val="Compact"/>
              <w:jc w:val="left"/>
            </w:pPr>
            <w:r>
              <w:t xml:space="preserve">Geographic inconsistency</w:t>
            </w:r>
          </w:p>
        </w:tc>
      </w:tr>
      <w:tr>
        <w:tc>
          <w:tcPr/>
          <w:p>
            <w:pPr>
              <w:pStyle w:val="Compact"/>
              <w:jc w:val="left"/>
            </w:pPr>
            <w:r>
              <w:t xml:space="preserve">API gateway</w:t>
            </w:r>
          </w:p>
        </w:tc>
        <w:tc>
          <w:tcPr/>
          <w:p>
            <w:pPr>
              <w:pStyle w:val="Compact"/>
              <w:jc w:val="left"/>
            </w:pPr>
            <w:r>
              <w:t xml:space="preserve">HTTP/2 + TLS buffer interaction?</w:t>
            </w:r>
          </w:p>
        </w:tc>
        <w:tc>
          <w:tcPr/>
          <w:p>
            <w:pPr>
              <w:pStyle w:val="Compact"/>
              <w:jc w:val="left"/>
            </w:pPr>
            <w:r>
              <w:t xml:space="preserve">Spurious</w:t>
            </w:r>
            <w:r>
              <w:t xml:space="preserve"> </w:t>
            </w:r>
            <w:r>
              <w:rPr>
                <w:rStyle w:val="VerbatimChar"/>
              </w:rPr>
              <w:t xml:space="preserve">GOAWAY</w:t>
            </w:r>
            <w:r>
              <w:t xml:space="preserve"> </w:t>
            </w:r>
            <w:r>
              <w:t xml:space="preserve">under load</w:t>
            </w:r>
          </w:p>
        </w:tc>
      </w:tr>
      <w:tr>
        <w:tc>
          <w:tcPr/>
          <w:p>
            <w:pPr>
              <w:pStyle w:val="Compact"/>
              <w:jc w:val="left"/>
            </w:pPr>
            <w:r>
              <w:t xml:space="preserve">VPN concentrator</w:t>
            </w:r>
          </w:p>
        </w:tc>
        <w:tc>
          <w:tcPr/>
          <w:p>
            <w:pPr>
              <w:pStyle w:val="Compact"/>
              <w:jc w:val="left"/>
            </w:pPr>
            <w:r>
              <w:t xml:space="preserve">Different limits than HTTPS path?</w:t>
            </w:r>
          </w:p>
        </w:tc>
        <w:tc>
          <w:tcPr/>
          <w:p>
            <w:pPr>
              <w:pStyle w:val="Compact"/>
              <w:jc w:val="left"/>
            </w:pPr>
            <w:r>
              <w:t xml:space="preserve">Northfield IKE fragmentation (§11.7)</w:t>
            </w:r>
          </w:p>
        </w:tc>
      </w:tr>
    </w:tbl>
    <w:p>
      <w:pPr>
        <w:pStyle w:val="BodyText"/>
      </w:pPr>
      <w:r>
        <w:t xml:space="preserve">Meridian’s production incident traced to a</w:t>
      </w:r>
      <w:r>
        <w:t xml:space="preserve"> </w:t>
      </w:r>
      <w:r>
        <w:rPr>
          <w:bCs/>
          <w:b/>
        </w:rPr>
        <w:t xml:space="preserve">corporate SSL inspection appliance</w:t>
      </w:r>
      <w:r>
        <w:t xml:space="preserve"> </w:t>
      </w:r>
      <w:r>
        <w:t xml:space="preserve">with a 4,096-byte handshake buffer — sufficient for classical TLS but insufficient when hybrid extensions and large certificate chains combined on treasury middleware paths. Infrastructure assessment before H1 approval would have caught the limit.</w:t>
      </w:r>
    </w:p>
    <w:bookmarkEnd w:id="40"/>
    <w:bookmarkStart w:id="41" w:name="bandwidth-at-scale"/>
    <w:p>
      <w:pPr>
        <w:pStyle w:val="Heading3"/>
      </w:pPr>
      <w:r>
        <w:t xml:space="preserve">Bandwidth at scale</w:t>
      </w:r>
    </w:p>
    <w:p>
      <w:pPr>
        <w:pStyle w:val="FirstParagraph"/>
      </w:pPr>
      <w:r>
        <w:t xml:space="preserve">GlobalSync modelled API tier handshake overhead for board investment review:</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Metric</w:t>
            </w:r>
          </w:p>
        </w:tc>
        <w:tc>
          <w:tcPr/>
          <w:p>
            <w:pPr>
              <w:pStyle w:val="Compact"/>
              <w:jc w:val="left"/>
            </w:pPr>
            <w:r>
              <w:t xml:space="preserve">Value (</w:t>
            </w:r>
            <w:r>
              <w:rPr>
                <w:iCs/>
                <w:i/>
              </w:rPr>
              <w:t xml:space="preserve">illustrative</w:t>
            </w:r>
            <w:r>
              <w:t xml:space="preserve">)</w:t>
            </w:r>
          </w:p>
        </w:tc>
      </w:tr>
      <w:tr>
        <w:tc>
          <w:tcPr/>
          <w:p>
            <w:pPr>
              <w:pStyle w:val="Compact"/>
              <w:jc w:val="left"/>
            </w:pPr>
            <w:r>
              <w:t xml:space="preserve">New TLS sessions per day (public API)</w:t>
            </w:r>
          </w:p>
        </w:tc>
        <w:tc>
          <w:tcPr/>
          <w:p>
            <w:pPr>
              <w:pStyle w:val="Compact"/>
              <w:jc w:val="left"/>
            </w:pPr>
            <w:r>
              <w:t xml:space="preserve">38 million</w:t>
            </w:r>
          </w:p>
        </w:tc>
      </w:tr>
      <w:tr>
        <w:tc>
          <w:tcPr/>
          <w:p>
            <w:pPr>
              <w:pStyle w:val="Compact"/>
              <w:jc w:val="left"/>
            </w:pPr>
            <w:r>
              <w:t xml:space="preserve">Additional bytes per hybrid handshake (round trip key shares)</w:t>
            </w:r>
          </w:p>
        </w:tc>
        <w:tc>
          <w:tcPr/>
          <w:p>
            <w:pPr>
              <w:pStyle w:val="Compact"/>
              <w:jc w:val="left"/>
            </w:pPr>
            <w:r>
              <w:t xml:space="preserve">~2,336 bytes</w:t>
            </w:r>
          </w:p>
        </w:tc>
      </w:tr>
      <w:tr>
        <w:tc>
          <w:tcPr/>
          <w:p>
            <w:pPr>
              <w:pStyle w:val="Compact"/>
              <w:jc w:val="left"/>
            </w:pPr>
            <w:r>
              <w:t xml:space="preserve">Incremental daily bandwidth</w:t>
            </w:r>
          </w:p>
        </w:tc>
        <w:tc>
          <w:tcPr/>
          <w:p>
            <w:pPr>
              <w:pStyle w:val="Compact"/>
              <w:jc w:val="left"/>
            </w:pPr>
            <w:r>
              <w:t xml:space="preserve">~89 GB</w:t>
            </w:r>
          </w:p>
        </w:tc>
      </w:tr>
      <w:tr>
        <w:tc>
          <w:tcPr/>
          <w:p>
            <w:pPr>
              <w:pStyle w:val="Compact"/>
              <w:jc w:val="left"/>
            </w:pPr>
            <w:r>
              <w:t xml:space="preserve">CDN egress cost impact</w:t>
            </w:r>
          </w:p>
        </w:tc>
        <w:tc>
          <w:tcPr/>
          <w:p>
            <w:pPr>
              <w:pStyle w:val="Compact"/>
              <w:jc w:val="left"/>
            </w:pPr>
            <w:r>
              <w:t xml:space="preserve">&lt;0.4% of monthly egress budget</w:t>
            </w:r>
          </w:p>
        </w:tc>
      </w:tr>
    </w:tbl>
    <w:p>
      <w:pPr>
        <w:pStyle w:val="BodyText"/>
      </w:pPr>
      <w:r>
        <w:t xml:space="preserve">Bandwidth rarely blocks hybrid TLS at enterprise scale;</w:t>
      </w:r>
      <w:r>
        <w:t xml:space="preserve"> </w:t>
      </w:r>
      <w:r>
        <w:rPr>
          <w:bCs/>
          <w:b/>
        </w:rPr>
        <w:t xml:space="preserve">buffer limits and CPU on inspection paths</w:t>
      </w:r>
      <w:r>
        <w:t xml:space="preserve"> </w:t>
      </w:r>
      <w:r>
        <w:t xml:space="preserve">dominate. OT and SCADA environments with constrained WAN links require per-site modelling — Northfield’s historian VPN paths used dedicated MTU tuning.</w:t>
      </w:r>
    </w:p>
    <w:p>
      <w:r>
        <w:pict>
          <v:rect style="width:0;height:1.5pt" o:hralign="center" o:hrstd="t" o:hr="t"/>
        </w:pict>
      </w:r>
    </w:p>
    <w:bookmarkEnd w:id="41"/>
    <w:bookmarkEnd w:id="42"/>
    <w:bookmarkStart w:id="44" w:name="vpn-hybrid-ike"/>
    <w:p>
      <w:pPr>
        <w:pStyle w:val="Heading2"/>
      </w:pPr>
      <w:r>
        <w:t xml:space="preserve">11.6 VPN Hybrid IKE</w:t>
      </w:r>
    </w:p>
    <w:p>
      <w:pPr>
        <w:pStyle w:val="FirstParagraph"/>
      </w:pPr>
      <w:r>
        <w:t xml:space="preserve">TLS lessons do not transfer directly to IPsec. IKEv2 hybrid key exchange introduces fragmentation behaviour, rekey timing interactions, and hardware accelerator limitations distinct from HTTPS load balancers.</w:t>
      </w:r>
    </w:p>
    <w:p>
      <w:pPr>
        <w:pStyle w:val="BodyText"/>
      </w:pPr>
      <w:r>
        <w:t xml:space="preserve">Northfield Energy Systems’ Wave 1 programme (Chapter 5 §5.17; Chapter 9) targeted WAN VPN concentrators protecting SCADA historian traffic — TES 5 HNDL exposure on archives with thirty-year confidentiality horizons.</w:t>
      </w:r>
    </w:p>
    <w:bookmarkStart w:id="43" w:name="northfield-ike-hybrid-programme"/>
    <w:p>
      <w:pPr>
        <w:pStyle w:val="Heading3"/>
      </w:pPr>
      <w:r>
        <w:t xml:space="preserve">Northfield IKE hybrid programme</w:t>
      </w:r>
    </w:p>
    <w:tbl>
      <w:tblPr>
        <w:tblStyle w:val="Table"/>
        <w:tblW w:type="pct" w:w="5000"/>
        <w:tblLook w:firstRow="1" w:lastRow="0" w:firstColumn="0" w:lastColumn="0" w:noHBand="0" w:noVBand="0" w:val="0020"/>
        <w:jc w:val="start"/>
      </w:tblPr>
      <w:tblGrid>
        <w:gridCol w:w="2132"/>
        <w:gridCol w:w="3046"/>
        <w:gridCol w:w="2741"/>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Outcome</w:t>
            </w:r>
          </w:p>
        </w:tc>
      </w:tr>
      <w:tr>
        <w:tc>
          <w:tcPr/>
          <w:p>
            <w:pPr>
              <w:pStyle w:val="Compact"/>
              <w:jc w:val="left"/>
            </w:pPr>
            <w:r>
              <w:t xml:space="preserve">Assessment</w:t>
            </w:r>
          </w:p>
        </w:tc>
        <w:tc>
          <w:tcPr/>
          <w:p>
            <w:pPr>
              <w:pStyle w:val="Compact"/>
              <w:jc w:val="left"/>
            </w:pPr>
            <w:r>
              <w:t xml:space="preserve">Two concentrator models tested with vendor ML-KEM hybrid IKE profiles</w:t>
            </w:r>
          </w:p>
        </w:tc>
        <w:tc>
          <w:tcPr/>
          <w:p>
            <w:pPr>
              <w:pStyle w:val="Compact"/>
              <w:jc w:val="left"/>
            </w:pPr>
            <w:r>
              <w:t xml:space="preserve">Model A passed validation; Model B lacked hardware offload — refresh required</w:t>
            </w:r>
          </w:p>
        </w:tc>
      </w:tr>
      <w:tr>
        <w:tc>
          <w:tcPr/>
          <w:p>
            <w:pPr>
              <w:pStyle w:val="Compact"/>
              <w:jc w:val="left"/>
            </w:pPr>
            <w:r>
              <w:t xml:space="preserve">Capital</w:t>
            </w:r>
          </w:p>
        </w:tc>
        <w:tc>
          <w:tcPr/>
          <w:p>
            <w:pPr>
              <w:pStyle w:val="Compact"/>
              <w:jc w:val="left"/>
            </w:pPr>
            <w:r>
              <w:t xml:space="preserve">$2.8M hardware refresh (</w:t>
            </w:r>
            <w:r>
              <w:rPr>
                <w:iCs/>
                <w:i/>
              </w:rPr>
              <w:t xml:space="preserve">illustrative</w:t>
            </w:r>
            <w:r>
              <w:t xml:space="preserve">)</w:t>
            </w:r>
          </w:p>
        </w:tc>
        <w:tc>
          <w:tcPr/>
          <w:p>
            <w:pPr>
              <w:pStyle w:val="Compact"/>
              <w:jc w:val="left"/>
            </w:pPr>
            <w:r>
              <w:t xml:space="preserve">Model B replaced in Wave 1 budget</w:t>
            </w:r>
          </w:p>
        </w:tc>
      </w:tr>
      <w:tr>
        <w:tc>
          <w:tcPr/>
          <w:p>
            <w:pPr>
              <w:pStyle w:val="Compact"/>
              <w:jc w:val="left"/>
            </w:pPr>
            <w:r>
              <w:t xml:space="preserve">Pilot</w:t>
            </w:r>
          </w:p>
        </w:tc>
        <w:tc>
          <w:tcPr/>
          <w:p>
            <w:pPr>
              <w:pStyle w:val="Compact"/>
              <w:jc w:val="left"/>
            </w:pPr>
            <w:r>
              <w:t xml:space="preserve">Single non-production site; 30-day monitoring</w:t>
            </w:r>
          </w:p>
        </w:tc>
        <w:tc>
          <w:tcPr/>
          <w:p>
            <w:pPr>
              <w:pStyle w:val="Compact"/>
              <w:jc w:val="left"/>
            </w:pPr>
            <w:r>
              <w:t xml:space="preserve">Fragmentation on one microwave backhaul path — MTU reduced 1,432 → 1,400</w:t>
            </w:r>
          </w:p>
        </w:tc>
      </w:tr>
      <w:tr>
        <w:tc>
          <w:tcPr/>
          <w:p>
            <w:pPr>
              <w:pStyle w:val="Compact"/>
              <w:jc w:val="left"/>
            </w:pPr>
            <w:r>
              <w:t xml:space="preserve">H1 production</w:t>
            </w:r>
          </w:p>
        </w:tc>
        <w:tc>
          <w:tcPr/>
          <w:p>
            <w:pPr>
              <w:pStyle w:val="Compact"/>
              <w:jc w:val="left"/>
            </w:pPr>
            <w:r>
              <w:t xml:space="preserve">Regional staging; classical + ML-KEM hybrid IKE</w:t>
            </w:r>
          </w:p>
        </w:tc>
        <w:tc>
          <w:tcPr/>
          <w:p>
            <w:pPr>
              <w:pStyle w:val="Compact"/>
              <w:jc w:val="left"/>
            </w:pPr>
            <w:r>
              <w:t xml:space="preserve">H2 trigger: 2030-01-01 calendar + Model A fleet 100%</w:t>
            </w:r>
          </w:p>
        </w:tc>
      </w:tr>
      <w:tr>
        <w:tc>
          <w:tcPr/>
          <w:p>
            <w:pPr>
              <w:pStyle w:val="Compact"/>
              <w:jc w:val="left"/>
            </w:pPr>
            <w:r>
              <w:t xml:space="preserve">Exception</w:t>
            </w:r>
          </w:p>
        </w:tc>
        <w:tc>
          <w:tcPr/>
          <w:p>
            <w:pPr>
              <w:pStyle w:val="Compact"/>
              <w:jc w:val="left"/>
            </w:pPr>
            <w:r>
              <w:t xml:space="preserve">Legacy site refresh deferred to 2029</w:t>
            </w:r>
          </w:p>
        </w:tc>
        <w:tc>
          <w:tcPr/>
          <w:p>
            <w:pPr>
              <w:pStyle w:val="Compact"/>
              <w:jc w:val="left"/>
            </w:pPr>
            <w:r>
              <w:t xml:space="preserve">Six-month risk acceptance; network segmentation compensating control</w:t>
            </w:r>
          </w:p>
        </w:tc>
      </w:tr>
    </w:tbl>
    <w:p>
      <w:pPr>
        <w:pStyle w:val="BodyText"/>
      </w:pPr>
      <w:r>
        <w:rPr>
          <w:bCs/>
          <w:b/>
        </w:rPr>
        <w:t xml:space="preserve">Table 11.2 — IKE Hybrid vs TLS Hybrid Differences</w:t>
      </w:r>
    </w:p>
    <w:tbl>
      <w:tblPr>
        <w:tblStyle w:val="Table"/>
        <w:tblW w:type="pct" w:w="5000"/>
        <w:tblLook w:firstRow="1" w:lastRow="0" w:firstColumn="0" w:lastColumn="0" w:noHBand="0" w:noVBand="0" w:val="0020"/>
        <w:jc w:val="start"/>
      </w:tblPr>
      <w:tblGrid>
        <w:gridCol w:w="2043"/>
        <w:gridCol w:w="2810"/>
        <w:gridCol w:w="3065"/>
      </w:tblGrid>
      <w:tr>
        <w:trPr>
          <w:tblHeader w:val="true"/>
        </w:trPr>
        <w:tc>
          <w:tcPr/>
          <w:p>
            <w:pPr>
              <w:pStyle w:val="Compact"/>
              <w:jc w:val="left"/>
            </w:pPr>
            <w:r>
              <w:t xml:space="preserve">Factor</w:t>
            </w:r>
          </w:p>
        </w:tc>
        <w:tc>
          <w:tcPr/>
          <w:p>
            <w:pPr>
              <w:pStyle w:val="Compact"/>
              <w:jc w:val="left"/>
            </w:pPr>
            <w:r>
              <w:t xml:space="preserve">TLS hybrid</w:t>
            </w:r>
          </w:p>
        </w:tc>
        <w:tc>
          <w:tcPr/>
          <w:p>
            <w:pPr>
              <w:pStyle w:val="Compact"/>
              <w:jc w:val="left"/>
            </w:pPr>
            <w:r>
              <w:t xml:space="preserve">IKE hybrid</w:t>
            </w:r>
          </w:p>
        </w:tc>
      </w:tr>
      <w:tr>
        <w:tc>
          <w:tcPr/>
          <w:p>
            <w:pPr>
              <w:pStyle w:val="Compact"/>
              <w:jc w:val="left"/>
            </w:pPr>
            <w:r>
              <w:t xml:space="preserve">Framing</w:t>
            </w:r>
          </w:p>
        </w:tc>
        <w:tc>
          <w:tcPr/>
          <w:p>
            <w:pPr>
              <w:pStyle w:val="Compact"/>
              <w:jc w:val="left"/>
            </w:pPr>
            <w:r>
              <w:t xml:space="preserve">TCP — fragmentation less common on LAN</w:t>
            </w:r>
          </w:p>
        </w:tc>
        <w:tc>
          <w:tcPr/>
          <w:p>
            <w:pPr>
              <w:pStyle w:val="Compact"/>
              <w:jc w:val="left"/>
            </w:pPr>
            <w:r>
              <w:t xml:space="preserve">UDP — fragmentation common on WAN</w:t>
            </w:r>
          </w:p>
        </w:tc>
      </w:tr>
      <w:tr>
        <w:tc>
          <w:tcPr/>
          <w:p>
            <w:pPr>
              <w:pStyle w:val="Compact"/>
              <w:jc w:val="left"/>
            </w:pPr>
            <w:r>
              <w:t xml:space="preserve">Middleboxes</w:t>
            </w:r>
          </w:p>
        </w:tc>
        <w:tc>
          <w:tcPr/>
          <w:p>
            <w:pPr>
              <w:pStyle w:val="Compact"/>
              <w:jc w:val="left"/>
            </w:pPr>
            <w:r>
              <w:t xml:space="preserve">HTTP proxies, CDNs</w:t>
            </w:r>
          </w:p>
        </w:tc>
        <w:tc>
          <w:tcPr/>
          <w:p>
            <w:pPr>
              <w:pStyle w:val="Compact"/>
              <w:jc w:val="left"/>
            </w:pPr>
            <w:r>
              <w:t xml:space="preserve">ISP NAT, OT WAN optimisers</w:t>
            </w:r>
          </w:p>
        </w:tc>
      </w:tr>
      <w:tr>
        <w:tc>
          <w:tcPr/>
          <w:p>
            <w:pPr>
              <w:pStyle w:val="Compact"/>
              <w:jc w:val="left"/>
            </w:pPr>
            <w:r>
              <w:t xml:space="preserve">Rekey impact</w:t>
            </w:r>
          </w:p>
        </w:tc>
        <w:tc>
          <w:tcPr/>
          <w:p>
            <w:pPr>
              <w:pStyle w:val="Compact"/>
              <w:jc w:val="left"/>
            </w:pPr>
            <w:r>
              <w:t xml:space="preserve">Session resumption varies</w:t>
            </w:r>
          </w:p>
        </w:tc>
        <w:tc>
          <w:tcPr/>
          <w:p>
            <w:pPr>
              <w:pStyle w:val="Compact"/>
              <w:jc w:val="left"/>
            </w:pPr>
            <w:r>
              <w:t xml:space="preserve">Periodic IKE rekeys — CPU spike</w:t>
            </w:r>
          </w:p>
        </w:tc>
      </w:tr>
      <w:tr>
        <w:tc>
          <w:tcPr/>
          <w:p>
            <w:pPr>
              <w:pStyle w:val="Compact"/>
              <w:jc w:val="left"/>
            </w:pPr>
            <w:r>
              <w:t xml:space="preserve">Client uniformity</w:t>
            </w:r>
          </w:p>
        </w:tc>
        <w:tc>
          <w:tcPr/>
          <w:p>
            <w:pPr>
              <w:pStyle w:val="Compact"/>
              <w:jc w:val="left"/>
            </w:pPr>
            <w:r>
              <w:t xml:space="preserve">Highly heterogeneous</w:t>
            </w:r>
          </w:p>
        </w:tc>
        <w:tc>
          <w:tcPr/>
          <w:p>
            <w:pPr>
              <w:pStyle w:val="Compact"/>
              <w:jc w:val="left"/>
            </w:pPr>
            <w:r>
              <w:t xml:space="preserve">Often controlled CPE — but OT exceptions</w:t>
            </w:r>
          </w:p>
        </w:tc>
      </w:tr>
      <w:tr>
        <w:tc>
          <w:tcPr/>
          <w:p>
            <w:pPr>
              <w:pStyle w:val="Compact"/>
              <w:jc w:val="left"/>
            </w:pPr>
            <w:r>
              <w:t xml:space="preserve">CDG node type</w:t>
            </w:r>
          </w:p>
        </w:tc>
        <w:tc>
          <w:tcPr/>
          <w:p>
            <w:pPr>
              <w:pStyle w:val="Compact"/>
              <w:jc w:val="left"/>
            </w:pPr>
            <w:r>
              <w:rPr>
                <w:rStyle w:val="VerbatimChar"/>
              </w:rPr>
              <w:t xml:space="preserve">terminates</w:t>
            </w:r>
            <w:r>
              <w:t xml:space="preserve"> </w:t>
            </w:r>
            <w:r>
              <w:t xml:space="preserve">on load balancer</w:t>
            </w:r>
          </w:p>
        </w:tc>
        <w:tc>
          <w:tcPr/>
          <w:p>
            <w:pPr>
              <w:pStyle w:val="Compact"/>
              <w:jc w:val="left"/>
            </w:pPr>
            <w:r>
              <w:rPr>
                <w:rStyle w:val="VerbatimChar"/>
              </w:rPr>
              <w:t xml:space="preserve">terminates</w:t>
            </w:r>
            <w:r>
              <w:t xml:space="preserve"> </w:t>
            </w:r>
            <w:r>
              <w:t xml:space="preserve">on concentrator;</w:t>
            </w:r>
            <w:r>
              <w:t xml:space="preserve"> </w:t>
            </w:r>
            <w:r>
              <w:rPr>
                <w:rStyle w:val="VerbatimChar"/>
              </w:rPr>
              <w:t xml:space="preserve">implements</w:t>
            </w:r>
            <w:r>
              <w:t xml:space="preserve"> </w:t>
            </w:r>
            <w:r>
              <w:t xml:space="preserve">on CPE</w:t>
            </w:r>
          </w:p>
        </w:tc>
      </w:tr>
    </w:tbl>
    <w:p>
      <w:pPr>
        <w:pStyle w:val="BodyText"/>
      </w:pPr>
      <w:r>
        <w:t xml:space="preserve">James Whitfield reported VPN migration to the board as</w:t>
      </w:r>
      <w:r>
        <w:t xml:space="preserve"> </w:t>
      </w:r>
      <w:r>
        <w:rPr>
          <w:bCs/>
          <w:b/>
        </w:rPr>
        <w:t xml:space="preserve">threat reduction on historian archives</w:t>
      </w:r>
      <w:r>
        <w:t xml:space="preserve"> </w:t>
      </w:r>
      <w:r>
        <w:t xml:space="preserve">— not compliance checkbox. Regulatory evidence (NERC CIP) attached test reports demonstrating integrity controls remained effective post-migration.</w:t>
      </w:r>
    </w:p>
    <w:p>
      <w:pPr>
        <w:pStyle w:val="BlockText"/>
      </w:pPr>
      <w:r>
        <w:rPr>
          <w:bCs/>
          <w:b/>
        </w:rPr>
        <w:t xml:space="preserve">Dependency Alert</w:t>
      </w:r>
    </w:p>
    <w:p>
      <w:pPr>
        <w:pStyle w:val="BlockText"/>
      </w:pPr>
      <w:r>
        <w:rPr>
          <w:bCs/>
          <w:b/>
        </w:rPr>
        <w:t xml:space="preserve">CPE firmware blocks IKE hybrid more often than concentrator upgrades.</w:t>
      </w:r>
      <w:r>
        <w:t xml:space="preserve"> </w:t>
      </w:r>
      <w:r>
        <w:t xml:space="preserve">Northfield’s concentrator supported hybrid IKE six months before remote RTU VPN clients accepted the profile. CDG edge</w:t>
      </w:r>
      <w:r>
        <w:t xml:space="preserve"> </w:t>
      </w:r>
      <w:r>
        <w:rPr>
          <w:rStyle w:val="VerbatimChar"/>
        </w:rPr>
        <w:t xml:space="preserve">implements</w:t>
      </w:r>
      <w:r>
        <w:t xml:space="preserve"> </w:t>
      </w:r>
      <w:r>
        <w:t xml:space="preserve">on CPE nodes gated rollout per region — not per enterprise calendar.</w:t>
      </w:r>
    </w:p>
    <w:p>
      <w:r>
        <w:pict>
          <v:rect style="width:0;height:1.5pt" o:hralign="center" o:hrstd="t" o:hr="t"/>
        </w:pict>
      </w:r>
    </w:p>
    <w:bookmarkEnd w:id="43"/>
    <w:bookmarkEnd w:id="44"/>
    <w:bookmarkStart w:id="47" w:name="dual-code-signing-and-firmware-hybrids"/>
    <w:p>
      <w:pPr>
        <w:pStyle w:val="Heading2"/>
      </w:pPr>
      <w:r>
        <w:t xml:space="preserve">11.7 Dual Code Signing and Firmware Hybrids</w:t>
      </w:r>
    </w:p>
    <w:p>
      <w:pPr>
        <w:pStyle w:val="FirstParagraph"/>
      </w:pPr>
      <w:r>
        <w:t xml:space="preserve">Apex Defense Technologies operates dual-track architecture: NSS workloads under CNSA 2.0; corporate IT under NIST IR 8547. Firmware signing is the convergence point where</w:t>
      </w:r>
      <w:r>
        <w:t xml:space="preserve"> </w:t>
      </w:r>
      <w:r>
        <w:rPr>
          <w:bCs/>
          <w:b/>
        </w:rPr>
        <w:t xml:space="preserve">dual signature H1</w:t>
      </w:r>
      <w:r>
        <w:t xml:space="preserve"> </w:t>
      </w:r>
      <w:r>
        <w:t xml:space="preserve">is mandatory for NSS before single-algorithm H3.</w:t>
      </w:r>
    </w:p>
    <w:bookmarkStart w:id="45" w:name="Xa3c730c44e16e49b50bfa6f7a62d809a15d0b29"/>
    <w:p>
      <w:pPr>
        <w:pStyle w:val="Heading3"/>
      </w:pPr>
      <w:r>
        <w:t xml:space="preserve">Apex dual-signature firmware architecture</w:t>
      </w:r>
    </w:p>
    <w:tbl>
      <w:tblPr>
        <w:tblStyle w:val="Table"/>
        <w:tblW w:type="pct" w:w="5000"/>
        <w:tblLook w:firstRow="1" w:lastRow="0" w:firstColumn="0" w:lastColumn="0" w:noHBand="0" w:noVBand="0" w:val="0020"/>
        <w:jc w:val="start"/>
      </w:tblPr>
      <w:tblGrid>
        <w:gridCol w:w="1936"/>
        <w:gridCol w:w="1936"/>
        <w:gridCol w:w="2112"/>
        <w:gridCol w:w="1936"/>
      </w:tblGrid>
      <w:tr>
        <w:trPr>
          <w:tblHeader w:val="true"/>
        </w:trPr>
        <w:tc>
          <w:tcPr/>
          <w:p>
            <w:pPr>
              <w:pStyle w:val="Compact"/>
              <w:jc w:val="left"/>
            </w:pPr>
            <w:r>
              <w:t xml:space="preserve">Component</w:t>
            </w:r>
          </w:p>
        </w:tc>
        <w:tc>
          <w:tcPr/>
          <w:p>
            <w:pPr>
              <w:pStyle w:val="Compact"/>
              <w:jc w:val="left"/>
            </w:pPr>
            <w:r>
              <w:t xml:space="preserve">H1 posture</w:t>
            </w:r>
          </w:p>
        </w:tc>
        <w:tc>
          <w:tcPr/>
          <w:p>
            <w:pPr>
              <w:pStyle w:val="Compact"/>
              <w:jc w:val="left"/>
            </w:pPr>
            <w:r>
              <w:t xml:space="preserve">H2 trigger</w:t>
            </w:r>
          </w:p>
        </w:tc>
        <w:tc>
          <w:tcPr/>
          <w:p>
            <w:pPr>
              <w:pStyle w:val="Compact"/>
              <w:jc w:val="left"/>
            </w:pPr>
            <w:r>
              <w:t xml:space="preserve">H3 target</w:t>
            </w:r>
          </w:p>
        </w:tc>
      </w:tr>
      <w:tr>
        <w:tc>
          <w:tcPr/>
          <w:p>
            <w:pPr>
              <w:pStyle w:val="Compact"/>
              <w:jc w:val="left"/>
            </w:pPr>
            <w:r>
              <w:t xml:space="preserve">NSS weapon system firmware</w:t>
            </w:r>
          </w:p>
        </w:tc>
        <w:tc>
          <w:tcPr/>
          <w:p>
            <w:pPr>
              <w:pStyle w:val="Compact"/>
              <w:jc w:val="left"/>
            </w:pPr>
            <w:r>
              <w:t xml:space="preserve">ECDSA-P384 + ML-DSA-87 dual</w:t>
            </w:r>
          </w:p>
        </w:tc>
        <w:tc>
          <w:tcPr/>
          <w:p>
            <w:pPr>
              <w:pStyle w:val="Compact"/>
              <w:jc w:val="left"/>
            </w:pPr>
            <w:r>
              <w:t xml:space="preserve">CNSA 2030 firmware milestone</w:t>
            </w:r>
          </w:p>
        </w:tc>
        <w:tc>
          <w:tcPr/>
          <w:p>
            <w:pPr>
              <w:pStyle w:val="Compact"/>
              <w:jc w:val="left"/>
            </w:pPr>
            <w:r>
              <w:t xml:space="preserve">ML-DSA-87 only</w:t>
            </w:r>
          </w:p>
        </w:tc>
      </w:tr>
      <w:tr>
        <w:tc>
          <w:tcPr/>
          <w:p>
            <w:pPr>
              <w:pStyle w:val="Compact"/>
              <w:jc w:val="left"/>
            </w:pPr>
            <w:r>
              <w:t xml:space="preserve">Corporate IT device firmware</w:t>
            </w:r>
          </w:p>
        </w:tc>
        <w:tc>
          <w:tcPr/>
          <w:p>
            <w:pPr>
              <w:pStyle w:val="Compact"/>
              <w:jc w:val="left"/>
            </w:pPr>
            <w:r>
              <w:t xml:space="preserve">ECDSA-P256 + ML-DSA-65 dual</w:t>
            </w:r>
          </w:p>
        </w:tc>
        <w:tc>
          <w:tcPr/>
          <w:p>
            <w:pPr>
              <w:pStyle w:val="Compact"/>
              <w:jc w:val="left"/>
            </w:pPr>
            <w:r>
              <w:t xml:space="preserve">2030 deprecation anchor</w:t>
            </w:r>
          </w:p>
        </w:tc>
        <w:tc>
          <w:tcPr/>
          <w:p>
            <w:pPr>
              <w:pStyle w:val="Compact"/>
              <w:jc w:val="left"/>
            </w:pPr>
            <w:r>
              <w:t xml:space="preserve">ML-DSA-65 only</w:t>
            </w:r>
          </w:p>
        </w:tc>
      </w:tr>
      <w:tr>
        <w:tc>
          <w:tcPr/>
          <w:p>
            <w:pPr>
              <w:pStyle w:val="Compact"/>
              <w:jc w:val="left"/>
            </w:pPr>
            <w:r>
              <w:t xml:space="preserve">Third-party subsystem integrator (acquired)</w:t>
            </w:r>
          </w:p>
        </w:tc>
        <w:tc>
          <w:tcPr/>
          <w:p>
            <w:pPr>
              <w:pStyle w:val="Compact"/>
              <w:jc w:val="left"/>
            </w:pPr>
            <w:r>
              <w:t xml:space="preserve">Assessment required — no CBOM</w:t>
            </w:r>
          </w:p>
        </w:tc>
        <w:tc>
          <w:tcPr/>
          <w:p>
            <w:pPr>
              <w:pStyle w:val="Compact"/>
              <w:jc w:val="left"/>
            </w:pPr>
            <w:r>
              <w:t xml:space="preserve">100-day inherited estate review</w:t>
            </w:r>
          </w:p>
        </w:tc>
        <w:tc>
          <w:tcPr/>
          <w:p>
            <w:pPr>
              <w:pStyle w:val="Compact"/>
              <w:jc w:val="left"/>
            </w:pPr>
            <w:r>
              <w:t xml:space="preserve">Per parent overlay</w:t>
            </w:r>
          </w:p>
        </w:tc>
      </w:tr>
    </w:tbl>
    <w:p>
      <w:pPr>
        <w:pStyle w:val="BodyText"/>
      </w:pPr>
      <w:r>
        <w:t xml:space="preserve">Priya Nair’s programme office maintained</w:t>
      </w:r>
      <w:r>
        <w:t xml:space="preserve"> </w:t>
      </w:r>
      <w:r>
        <w:rPr>
          <w:bCs/>
          <w:b/>
        </w:rPr>
        <w:t xml:space="preserve">separate HLM swim lanes</w:t>
      </w:r>
      <w:r>
        <w:t xml:space="preserve"> </w:t>
      </w:r>
      <w:r>
        <w:t xml:space="preserve">in board reporting — corporate IT at H1 for VPN while NSS firmware reached H2 on selected platforms. Forced synchronisation across classification boundaries would have delayed NSS compliance or relaxed corporate ecosystem gates inappropriately.</w:t>
      </w:r>
    </w:p>
    <w:bookmarkEnd w:id="45"/>
    <w:bookmarkStart w:id="46" w:name="stateful-hash-signatures-in-ot"/>
    <w:p>
      <w:pPr>
        <w:pStyle w:val="Heading3"/>
      </w:pPr>
      <w:r>
        <w:t xml:space="preserve">Stateful hash signatures in OT</w:t>
      </w:r>
    </w:p>
    <w:p>
      <w:pPr>
        <w:pStyle w:val="FirstParagraph"/>
      </w:pPr>
      <w:r>
        <w:t xml:space="preserve">Northfield’s compressor firmware programme used</w:t>
      </w:r>
      <w:r>
        <w:t xml:space="preserve"> </w:t>
      </w:r>
      <w:r>
        <w:rPr>
          <w:bCs/>
          <w:b/>
        </w:rPr>
        <w:t xml:space="preserve">LMS</w:t>
      </w:r>
      <w:r>
        <w:t xml:space="preserve"> </w:t>
      </w:r>
      <w:r>
        <w:t xml:space="preserve">(SP 800-208) for H1 on devices that could not accommodate ML-DSA signature sizes — a distinct pattern from dual signature but still H1-governed. Chapter 6 develops stateful signature operational constraints; this chapter records the HLM binding:</w:t>
      </w:r>
    </w:p>
    <w:p>
      <w:pPr>
        <w:numPr>
          <w:ilvl w:val="0"/>
          <w:numId w:val="1009"/>
        </w:numPr>
        <w:pStyle w:val="Compact"/>
      </w:pPr>
      <w:r>
        <w:rPr>
          <w:rStyle w:val="VerbatimChar"/>
        </w:rPr>
        <w:t xml:space="preserve">hybrid_construction_ref</w:t>
      </w:r>
      <w:r>
        <w:t xml:space="preserve">:</w:t>
      </w:r>
      <w:r>
        <w:t xml:space="preserve"> </w:t>
      </w:r>
      <w:r>
        <w:rPr>
          <w:rStyle w:val="VerbatimChar"/>
        </w:rPr>
        <w:t xml:space="preserve">SP800-208-LMS-SHA256-M24</w:t>
      </w:r>
    </w:p>
    <w:p>
      <w:pPr>
        <w:numPr>
          <w:ilvl w:val="0"/>
          <w:numId w:val="1009"/>
        </w:numPr>
        <w:pStyle w:val="Compact"/>
      </w:pPr>
      <w:r>
        <w:rPr>
          <w:rStyle w:val="VerbatimChar"/>
        </w:rPr>
        <w:t xml:space="preserve">classical_component</w:t>
      </w:r>
      <w:r>
        <w:t xml:space="preserve">:</w:t>
      </w:r>
      <w:r>
        <w:t xml:space="preserve"> </w:t>
      </w:r>
      <w:r>
        <w:rPr>
          <w:rStyle w:val="VerbatimChar"/>
        </w:rPr>
        <w:t xml:space="preserve">ECDSA_P256</w:t>
      </w:r>
      <w:r>
        <w:t xml:space="preserve"> </w:t>
      </w:r>
      <w:r>
        <w:t xml:space="preserve">(legacy verification during transition)</w:t>
      </w:r>
    </w:p>
    <w:p>
      <w:pPr>
        <w:numPr>
          <w:ilvl w:val="0"/>
          <w:numId w:val="1009"/>
        </w:numPr>
        <w:pStyle w:val="Compact"/>
      </w:pPr>
      <w:r>
        <w:rPr>
          <w:rStyle w:val="VerbatimChar"/>
        </w:rPr>
        <w:t xml:space="preserve">h2_trigger_type</w:t>
      </w:r>
      <w:r>
        <w:t xml:space="preserve">:</w:t>
      </w:r>
      <w:r>
        <w:t xml:space="preserve"> </w:t>
      </w:r>
      <w:r>
        <w:rPr>
          <w:rStyle w:val="VerbatimChar"/>
        </w:rPr>
        <w:t xml:space="preserve">vendor</w:t>
      </w:r>
    </w:p>
    <w:p>
      <w:pPr>
        <w:numPr>
          <w:ilvl w:val="0"/>
          <w:numId w:val="1009"/>
        </w:numPr>
        <w:pStyle w:val="Compact"/>
      </w:pPr>
      <w:r>
        <w:rPr>
          <w:rStyle w:val="VerbatimChar"/>
        </w:rPr>
        <w:t xml:space="preserve">h2_trigger_value</w:t>
      </w:r>
      <w:r>
        <w:t xml:space="preserve">:</w:t>
      </w:r>
      <w:r>
        <w:t xml:space="preserve"> </w:t>
      </w:r>
      <w:r>
        <w:rPr>
          <w:rStyle w:val="VerbatimChar"/>
        </w:rPr>
        <w:t xml:space="preserve">compressor_vendor_lms_GA + 180d integration</w:t>
      </w:r>
    </w:p>
    <w:p>
      <w:r>
        <w:pict>
          <v:rect style="width:0;height:1.5pt" o:hralign="center" o:hrstd="t" o:hr="t"/>
        </w:pict>
      </w:r>
    </w:p>
    <w:bookmarkEnd w:id="46"/>
    <w:bookmarkEnd w:id="47"/>
    <w:bookmarkStart w:id="51" w:name="application-layer-hybrids"/>
    <w:p>
      <w:pPr>
        <w:pStyle w:val="Heading2"/>
      </w:pPr>
      <w:r>
        <w:t xml:space="preserve">11.8 Application-Layer Hybrids</w:t>
      </w:r>
    </w:p>
    <w:p>
      <w:pPr>
        <w:pStyle w:val="FirstParagraph"/>
      </w:pPr>
      <w:r>
        <w:t xml:space="preserve">Application-layer cryptography — JWT signing, JWE key encryption, database field encryption, message queue authentication — is the largest CBOM discovery gap (Chapter 7 §7.3). Hybrids at this layer lack the standardisation maturity of TLS; enterprise policy must be more prescriptive.</w:t>
      </w:r>
    </w:p>
    <w:bookmarkStart w:id="48" w:name="approved-application-layer-h1-patterns"/>
    <w:p>
      <w:pPr>
        <w:pStyle w:val="Heading3"/>
      </w:pPr>
      <w:r>
        <w:t xml:space="preserve">Approved application-layer H1 patterns</w:t>
      </w:r>
    </w:p>
    <w:tbl>
      <w:tblPr>
        <w:tblStyle w:val="Table"/>
        <w:tblW w:type="pct" w:w="5000"/>
        <w:tblLook w:firstRow="1" w:lastRow="0" w:firstColumn="0" w:lastColumn="0" w:noHBand="0" w:noVBand="0" w:val="0020"/>
        <w:jc w:val="start"/>
      </w:tblPr>
      <w:tblGrid>
        <w:gridCol w:w="1063"/>
        <w:gridCol w:w="1891"/>
        <w:gridCol w:w="3073"/>
        <w:gridCol w:w="1891"/>
      </w:tblGrid>
      <w:tr>
        <w:trPr>
          <w:tblHeader w:val="true"/>
        </w:trPr>
        <w:tc>
          <w:tcPr/>
          <w:p>
            <w:pPr>
              <w:pStyle w:val="Compact"/>
              <w:jc w:val="left"/>
            </w:pPr>
            <w:r>
              <w:t xml:space="preserve">Pattern</w:t>
            </w:r>
          </w:p>
        </w:tc>
        <w:tc>
          <w:tcPr/>
          <w:p>
            <w:pPr>
              <w:pStyle w:val="Compact"/>
              <w:jc w:val="left"/>
            </w:pPr>
            <w:r>
              <w:t xml:space="preserve">H1 construction</w:t>
            </w:r>
          </w:p>
        </w:tc>
        <w:tc>
          <w:tcPr/>
          <w:p>
            <w:pPr>
              <w:pStyle w:val="Compact"/>
              <w:jc w:val="left"/>
            </w:pPr>
            <w:r>
              <w:t xml:space="preserve">Standards / review basis</w:t>
            </w:r>
          </w:p>
        </w:tc>
        <w:tc>
          <w:tcPr/>
          <w:p>
            <w:pPr>
              <w:pStyle w:val="Compact"/>
              <w:jc w:val="left"/>
            </w:pPr>
            <w:r>
              <w:t xml:space="preserve">Sunset trigger</w:t>
            </w:r>
          </w:p>
        </w:tc>
      </w:tr>
      <w:tr>
        <w:tc>
          <w:tcPr/>
          <w:p>
            <w:pPr>
              <w:pStyle w:val="Compact"/>
              <w:jc w:val="left"/>
            </w:pPr>
            <w:r>
              <w:t xml:space="preserve">JWT signing</w:t>
            </w:r>
          </w:p>
        </w:tc>
        <w:tc>
          <w:tcPr/>
          <w:p>
            <w:pPr>
              <w:pStyle w:val="Compact"/>
              <w:jc w:val="left"/>
            </w:pPr>
            <w:r>
              <w:t xml:space="preserve">Dual</w:t>
            </w:r>
            <w:r>
              <w:t xml:space="preserve"> </w:t>
            </w:r>
            <w:r>
              <w:rPr>
                <w:rStyle w:val="VerbatimChar"/>
              </w:rPr>
              <w:t xml:space="preserve">alg</w:t>
            </w:r>
            <w:r>
              <w:t xml:space="preserve"> </w:t>
            </w:r>
            <w:r>
              <w:t xml:space="preserve">headers unacceptable — use</w:t>
            </w:r>
            <w:r>
              <w:t xml:space="preserve"> </w:t>
            </w:r>
            <w:r>
              <w:rPr>
                <w:rStyle w:val="VerbatimChar"/>
              </w:rPr>
              <w:t xml:space="preserve">x5c</w:t>
            </w:r>
            <w:r>
              <w:t xml:space="preserve"> </w:t>
            </w:r>
            <w:r>
              <w:t xml:space="preserve">chain with ML-DSA cert</w:t>
            </w:r>
            <w:r>
              <w:t xml:space="preserve"> </w:t>
            </w:r>
            <w:r>
              <w:rPr>
                <w:bCs/>
                <w:b/>
              </w:rPr>
              <w:t xml:space="preserve">or</w:t>
            </w:r>
            <w:r>
              <w:t xml:space="preserve"> </w:t>
            </w:r>
            <w:r>
              <w:t xml:space="preserve">parallel token issuers</w:t>
            </w:r>
          </w:p>
        </w:tc>
        <w:tc>
          <w:tcPr/>
          <w:p>
            <w:pPr>
              <w:pStyle w:val="Compact"/>
              <w:jc w:val="left"/>
            </w:pPr>
            <w:r>
              <w:t xml:space="preserve">OIDC profile update; parallel issuers preferred</w:t>
            </w:r>
          </w:p>
        </w:tc>
        <w:tc>
          <w:tcPr/>
          <w:p>
            <w:pPr>
              <w:pStyle w:val="Compact"/>
              <w:jc w:val="left"/>
            </w:pPr>
            <w:r>
              <w:t xml:space="preserve">IdP ecosystem threshold</w:t>
            </w:r>
          </w:p>
        </w:tc>
      </w:tr>
      <w:tr>
        <w:tc>
          <w:tcPr/>
          <w:p>
            <w:pPr>
              <w:pStyle w:val="Compact"/>
              <w:jc w:val="left"/>
            </w:pPr>
            <w:r>
              <w:t xml:space="preserve">JWE key encryption</w:t>
            </w:r>
          </w:p>
        </w:tc>
        <w:tc>
          <w:tcPr/>
          <w:p>
            <w:pPr>
              <w:pStyle w:val="Compact"/>
              <w:jc w:val="left"/>
            </w:pPr>
            <w:r>
              <w:t xml:space="preserve">RSA-OAEP-2048 wrapped ML-KEM shared secret</w:t>
            </w:r>
          </w:p>
        </w:tc>
        <w:tc>
          <w:tcPr/>
          <w:p>
            <w:pPr>
              <w:pStyle w:val="Compact"/>
              <w:jc w:val="left"/>
            </w:pPr>
            <w:r>
              <w:t xml:space="preserve">NIST-approved combiner review</w:t>
            </w:r>
          </w:p>
        </w:tc>
        <w:tc>
          <w:tcPr/>
          <w:p>
            <w:pPr>
              <w:pStyle w:val="Compact"/>
              <w:jc w:val="left"/>
            </w:pPr>
            <w:r>
              <w:t xml:space="preserve">KMS PQC-native</w:t>
            </w:r>
          </w:p>
        </w:tc>
      </w:tr>
      <w:tr>
        <w:tc>
          <w:tcPr/>
          <w:p>
            <w:pPr>
              <w:pStyle w:val="Compact"/>
              <w:jc w:val="left"/>
            </w:pPr>
            <w:r>
              <w:t xml:space="preserve">Field-level encryption</w:t>
            </w:r>
          </w:p>
        </w:tc>
        <w:tc>
          <w:tcPr/>
          <w:p>
            <w:pPr>
              <w:pStyle w:val="Compact"/>
              <w:jc w:val="left"/>
            </w:pPr>
            <w:r>
              <w:t xml:space="preserve">Envelope: classical KEK wraps ML-KEM-derived DEK</w:t>
            </w:r>
          </w:p>
        </w:tc>
        <w:tc>
          <w:tcPr/>
          <w:p>
            <w:pPr>
              <w:pStyle w:val="Compact"/>
              <w:jc w:val="left"/>
            </w:pPr>
            <w:r>
              <w:t xml:space="preserve">Crypto board review required</w:t>
            </w:r>
          </w:p>
        </w:tc>
        <w:tc>
          <w:tcPr/>
          <w:p>
            <w:pPr>
              <w:pStyle w:val="Compact"/>
              <w:jc w:val="left"/>
            </w:pPr>
            <w:r>
              <w:t xml:space="preserve">KMS H3</w:t>
            </w:r>
          </w:p>
        </w:tc>
      </w:tr>
      <w:tr>
        <w:tc>
          <w:tcPr/>
          <w:p>
            <w:pPr>
              <w:pStyle w:val="Compact"/>
              <w:jc w:val="left"/>
            </w:pPr>
            <w:r>
              <w:t xml:space="preserve">gRPC mTLS</w:t>
            </w:r>
          </w:p>
        </w:tc>
        <w:tc>
          <w:tcPr/>
          <w:p>
            <w:pPr>
              <w:pStyle w:val="Compact"/>
              <w:jc w:val="left"/>
            </w:pPr>
            <w:r>
              <w:t xml:space="preserve">Same as TLS hybrid on channel</w:t>
            </w:r>
          </w:p>
        </w:tc>
        <w:tc>
          <w:tcPr/>
          <w:p>
            <w:pPr>
              <w:pStyle w:val="Compact"/>
              <w:jc w:val="left"/>
            </w:pPr>
            <w:r>
              <w:t xml:space="preserve">Service mesh policy</w:t>
            </w:r>
          </w:p>
        </w:tc>
        <w:tc>
          <w:tcPr/>
          <w:p>
            <w:pPr>
              <w:pStyle w:val="Compact"/>
              <w:jc w:val="left"/>
            </w:pPr>
            <w:r>
              <w:t xml:space="preserve">Mesh fleet upgrade</w:t>
            </w:r>
          </w:p>
        </w:tc>
      </w:tr>
      <w:tr>
        <w:tc>
          <w:tcPr/>
          <w:p>
            <w:pPr>
              <w:pStyle w:val="Compact"/>
              <w:jc w:val="left"/>
            </w:pPr>
            <w:r>
              <w:t xml:space="preserve">Webhook HMAC + signature</w:t>
            </w:r>
          </w:p>
        </w:tc>
        <w:tc>
          <w:tcPr/>
          <w:p>
            <w:pPr>
              <w:pStyle w:val="Compact"/>
              <w:jc w:val="left"/>
            </w:pPr>
            <w:r>
              <w:t xml:space="preserve">HMAC-SHA256 + ML-DSA body signature (dual verify)</w:t>
            </w:r>
          </w:p>
        </w:tc>
        <w:tc>
          <w:tcPr/>
          <w:p>
            <w:pPr>
              <w:pStyle w:val="Compact"/>
              <w:jc w:val="left"/>
            </w:pPr>
            <w:r>
              <w:t xml:space="preserve">Organisation-defined CMS profile</w:t>
            </w:r>
          </w:p>
        </w:tc>
        <w:tc>
          <w:tcPr/>
          <w:p>
            <w:pPr>
              <w:pStyle w:val="Compact"/>
              <w:jc w:val="left"/>
            </w:pPr>
            <w:r>
              <w:t xml:space="preserve">Partner notification</w:t>
            </w:r>
          </w:p>
        </w:tc>
      </w:tr>
    </w:tbl>
    <w:p>
      <w:pPr>
        <w:pStyle w:val="BodyText"/>
      </w:pPr>
      <w:r>
        <w:t xml:space="preserve">Meridian’s payment topic signing migrated through</w:t>
      </w:r>
      <w:r>
        <w:t xml:space="preserve"> </w:t>
      </w:r>
      <w:r>
        <w:rPr>
          <w:bCs/>
          <w:b/>
        </w:rPr>
        <w:t xml:space="preserve">parallel issuers</w:t>
      </w:r>
      <w:r>
        <w:t xml:space="preserve">: classical JWT issuer (</w:t>
      </w:r>
      <w:r>
        <w:rPr>
          <w:rStyle w:val="VerbatimChar"/>
        </w:rPr>
        <w:t xml:space="preserve">issuer-classical.meridian.internal</w:t>
      </w:r>
      <w:r>
        <w:t xml:space="preserve">) and hybrid issuer (</w:t>
      </w:r>
      <w:r>
        <w:rPr>
          <w:rStyle w:val="VerbatimChar"/>
        </w:rPr>
        <w:t xml:space="preserve">issuer-pqc.meridian.internal</w:t>
      </w:r>
      <w:r>
        <w:t xml:space="preserve">) behind API gateway routing — avoiding non-standard JWT</w:t>
      </w:r>
      <w:r>
        <w:t xml:space="preserve"> </w:t>
      </w:r>
      <w:r>
        <w:rPr>
          <w:rStyle w:val="VerbatimChar"/>
        </w:rPr>
        <w:t xml:space="preserve">alg</w:t>
      </w:r>
      <w:r>
        <w:t xml:space="preserve"> </w:t>
      </w:r>
      <w:r>
        <w:t xml:space="preserve">duplication that broke legacy validators.</w:t>
      </w:r>
    </w:p>
    <w:bookmarkEnd w:id="48"/>
    <w:bookmarkStart w:id="49" w:name="X3a3c178f4a6d9aacc0aecba62e5b408a9c98b5f"/>
    <w:p>
      <w:pPr>
        <w:pStyle w:val="Heading3"/>
      </w:pPr>
      <w:r>
        <w:t xml:space="preserve">Application-layer discovery and CBOM linkage</w:t>
      </w:r>
    </w:p>
    <w:p>
      <w:pPr>
        <w:pStyle w:val="FirstParagraph"/>
      </w:pPr>
      <w:r>
        <w:t xml:space="preserve">Chapter 7 established that application-layer crypto is the largest inventory gap. Hybrid deployment</w:t>
      </w:r>
      <w:r>
        <w:t xml:space="preserve"> </w:t>
      </w:r>
      <w:r>
        <w:rPr>
          <w:bCs/>
          <w:b/>
        </w:rPr>
        <w:t xml:space="preserve">amplifies</w:t>
      </w:r>
      <w:r>
        <w:t xml:space="preserve"> </w:t>
      </w:r>
      <w:r>
        <w:t xml:space="preserve">the gap — two algorithms per workflow instead of one.</w:t>
      </w:r>
    </w:p>
    <w:tbl>
      <w:tblPr>
        <w:tblStyle w:val="Table"/>
        <w:tblW w:type="pct" w:w="5000"/>
        <w:tblLook w:firstRow="1" w:lastRow="0" w:firstColumn="0" w:lastColumn="0" w:noHBand="0" w:noVBand="0" w:val="0020"/>
        <w:jc w:val="start"/>
      </w:tblPr>
      <w:tblGrid>
        <w:gridCol w:w="2030"/>
        <w:gridCol w:w="3858"/>
        <w:gridCol w:w="2030"/>
      </w:tblGrid>
      <w:tr>
        <w:trPr>
          <w:tblHeader w:val="true"/>
        </w:trPr>
        <w:tc>
          <w:tcPr/>
          <w:p>
            <w:pPr>
              <w:pStyle w:val="Compact"/>
              <w:jc w:val="left"/>
            </w:pPr>
            <w:r>
              <w:t xml:space="preserve">Workflow</w:t>
            </w:r>
          </w:p>
        </w:tc>
        <w:tc>
          <w:tcPr/>
          <w:p>
            <w:pPr>
              <w:pStyle w:val="Compact"/>
              <w:jc w:val="left"/>
            </w:pPr>
            <w:r>
              <w:t xml:space="preserve">CBOM rows required</w:t>
            </w:r>
          </w:p>
        </w:tc>
        <w:tc>
          <w:tcPr/>
          <w:p>
            <w:pPr>
              <w:pStyle w:val="Compact"/>
              <w:jc w:val="left"/>
            </w:pPr>
            <w:r>
              <w:t xml:space="preserve">HLM note</w:t>
            </w:r>
          </w:p>
        </w:tc>
      </w:tr>
      <w:tr>
        <w:tc>
          <w:tcPr/>
          <w:p>
            <w:pPr>
              <w:pStyle w:val="Compact"/>
              <w:jc w:val="left"/>
            </w:pPr>
            <w:r>
              <w:t xml:space="preserve">JWT issuance</w:t>
            </w:r>
          </w:p>
        </w:tc>
        <w:tc>
          <w:tcPr/>
          <w:p>
            <w:pPr>
              <w:pStyle w:val="Compact"/>
              <w:jc w:val="left"/>
            </w:pPr>
            <w:r>
              <w:t xml:space="preserve">Signing key + cert chain +</w:t>
            </w:r>
            <w:r>
              <w:t xml:space="preserve"> </w:t>
            </w:r>
            <w:r>
              <w:rPr>
                <w:rStyle w:val="VerbatimChar"/>
              </w:rPr>
              <w:t xml:space="preserve">hlm_phase</w:t>
            </w:r>
            <w:r>
              <w:t xml:space="preserve"> </w:t>
            </w:r>
            <w:r>
              <w:t xml:space="preserve">per issuer</w:t>
            </w:r>
          </w:p>
        </w:tc>
        <w:tc>
          <w:tcPr/>
          <w:p>
            <w:pPr>
              <w:pStyle w:val="Compact"/>
              <w:jc w:val="left"/>
            </w:pPr>
            <w:r>
              <w:t xml:space="preserve">Parallel issuers = two rows minimum</w:t>
            </w:r>
          </w:p>
        </w:tc>
      </w:tr>
      <w:tr>
        <w:tc>
          <w:tcPr/>
          <w:p>
            <w:pPr>
              <w:pStyle w:val="Compact"/>
              <w:jc w:val="left"/>
            </w:pPr>
            <w:r>
              <w:t xml:space="preserve">JWE decryption</w:t>
            </w:r>
          </w:p>
        </w:tc>
        <w:tc>
          <w:tcPr/>
          <w:p>
            <w:pPr>
              <w:pStyle w:val="Compact"/>
              <w:jc w:val="left"/>
            </w:pPr>
            <w:r>
              <w:t xml:space="preserve">KEK + DEK wrap algorithm</w:t>
            </w:r>
          </w:p>
        </w:tc>
        <w:tc>
          <w:tcPr/>
          <w:p>
            <w:pPr>
              <w:pStyle w:val="Compact"/>
              <w:jc w:val="left"/>
            </w:pPr>
            <w:r>
              <w:t xml:space="preserve">Classical KEK row sunsets at H2</w:t>
            </w:r>
          </w:p>
        </w:tc>
      </w:tr>
      <w:tr>
        <w:tc>
          <w:tcPr/>
          <w:p>
            <w:pPr>
              <w:pStyle w:val="Compact"/>
              <w:jc w:val="left"/>
            </w:pPr>
            <w:r>
              <w:t xml:space="preserve">gRPC mTLS</w:t>
            </w:r>
          </w:p>
        </w:tc>
        <w:tc>
          <w:tcPr/>
          <w:p>
            <w:pPr>
              <w:pStyle w:val="Compact"/>
              <w:jc w:val="left"/>
            </w:pPr>
            <w:r>
              <w:t xml:space="preserve">Inherits mesh ingress row</w:t>
            </w:r>
          </w:p>
        </w:tc>
        <w:tc>
          <w:tcPr/>
          <w:p>
            <w:pPr>
              <w:pStyle w:val="Compact"/>
              <w:jc w:val="left"/>
            </w:pPr>
            <w:r>
              <w:t xml:space="preserve">Phase follows mesh policy</w:t>
            </w:r>
          </w:p>
        </w:tc>
      </w:tr>
      <w:tr>
        <w:tc>
          <w:tcPr/>
          <w:p>
            <w:pPr>
              <w:pStyle w:val="Compact"/>
              <w:jc w:val="left"/>
            </w:pPr>
            <w:r>
              <w:t xml:space="preserve">Webhook verification</w:t>
            </w:r>
          </w:p>
        </w:tc>
        <w:tc>
          <w:tcPr/>
          <w:p>
            <w:pPr>
              <w:pStyle w:val="Compact"/>
              <w:jc w:val="left"/>
            </w:pPr>
            <w:r>
              <w:t xml:space="preserve">Partner-specific row</w:t>
            </w:r>
          </w:p>
        </w:tc>
        <w:tc>
          <w:tcPr/>
          <w:p>
            <w:pPr>
              <w:pStyle w:val="Compact"/>
              <w:jc w:val="left"/>
            </w:pPr>
            <w:r>
              <w:t xml:space="preserve">May remain classical until partner migrates</w:t>
            </w:r>
          </w:p>
        </w:tc>
      </w:tr>
    </w:tbl>
    <w:p>
      <w:pPr>
        <w:pStyle w:val="BodyText"/>
      </w:pPr>
      <w:r>
        <w:t xml:space="preserve">Elena Vasquez’s programme office required</w:t>
      </w:r>
      <w:r>
        <w:t xml:space="preserve"> </w:t>
      </w:r>
      <w:r>
        <w:rPr>
          <w:bCs/>
          <w:b/>
        </w:rPr>
        <w:t xml:space="preserve">Meridian application teams to file hybrid intent</w:t>
      </w:r>
      <w:r>
        <w:t xml:space="preserve"> </w:t>
      </w:r>
      <w:r>
        <w:t xml:space="preserve">at architecture review — before merge request approval — populating</w:t>
      </w:r>
      <w:r>
        <w:t xml:space="preserve"> </w:t>
      </w:r>
      <w:r>
        <w:rPr>
          <w:rStyle w:val="VerbatimChar"/>
        </w:rPr>
        <w:t xml:space="preserve">hybrid_construction_ref</w:t>
      </w:r>
      <w:r>
        <w:t xml:space="preserve"> </w:t>
      </w:r>
      <w:r>
        <w:t xml:space="preserve">and</w:t>
      </w:r>
      <w:r>
        <w:t xml:space="preserve"> </w:t>
      </w:r>
      <w:r>
        <w:rPr>
          <w:rStyle w:val="VerbatimChar"/>
        </w:rPr>
        <w:t xml:space="preserve">h2_trigger_value</w:t>
      </w:r>
      <w:r>
        <w:t xml:space="preserve"> </w:t>
      </w:r>
      <w:r>
        <w:t xml:space="preserve">in CBOM metadata. Marcus Chen’s GlobalSync pipeline enforced the same fields in CycloneDX build output; services deploying hybrid patterns without CBOM rows failed CI/CD gate (Chapter 17 preview).</w:t>
      </w:r>
    </w:p>
    <w:bookmarkEnd w:id="49"/>
    <w:bookmarkStart w:id="50" w:name="X7e582dabf2c51126c7ca3b31eb47287cca8ed7b"/>
    <w:p>
      <w:pPr>
        <w:pStyle w:val="Heading3"/>
      </w:pPr>
      <w:r>
        <w:t xml:space="preserve">Anti-patterns in application-layer hybrids</w:t>
      </w:r>
    </w:p>
    <w:tbl>
      <w:tblPr>
        <w:tblStyle w:val="Table"/>
        <w:tblW w:type="pct" w:w="5000"/>
        <w:tblLook w:firstRow="1" w:lastRow="0" w:firstColumn="0" w:lastColumn="0" w:noHBand="0" w:noVBand="0" w:val="0020"/>
        <w:jc w:val="start"/>
      </w:tblPr>
      <w:tblGrid>
        <w:gridCol w:w="2772"/>
        <w:gridCol w:w="2574"/>
        <w:gridCol w:w="2574"/>
      </w:tblGrid>
      <w:tr>
        <w:trPr>
          <w:tblHeader w:val="true"/>
        </w:trPr>
        <w:tc>
          <w:tcPr/>
          <w:p>
            <w:pPr>
              <w:pStyle w:val="Compact"/>
              <w:jc w:val="left"/>
            </w:pPr>
            <w:r>
              <w:t xml:space="preserve">Anti-pattern</w:t>
            </w:r>
          </w:p>
        </w:tc>
        <w:tc>
          <w:tcPr/>
          <w:p>
            <w:pPr>
              <w:pStyle w:val="Compact"/>
              <w:jc w:val="left"/>
            </w:pPr>
            <w:r>
              <w:t xml:space="preserve">Why it fails</w:t>
            </w:r>
          </w:p>
        </w:tc>
        <w:tc>
          <w:tcPr/>
          <w:p>
            <w:pPr>
              <w:pStyle w:val="Compact"/>
              <w:jc w:val="left"/>
            </w:pPr>
            <w:r>
              <w:t xml:space="preserve">Alternative</w:t>
            </w:r>
          </w:p>
        </w:tc>
      </w:tr>
      <w:tr>
        <w:tc>
          <w:tcPr/>
          <w:p>
            <w:pPr>
              <w:pStyle w:val="Compact"/>
              <w:jc w:val="left"/>
            </w:pPr>
            <w:r>
              <w:t xml:space="preserve">Dual</w:t>
            </w:r>
            <w:r>
              <w:t xml:space="preserve"> </w:t>
            </w:r>
            <w:r>
              <w:rPr>
                <w:rStyle w:val="VerbatimChar"/>
              </w:rPr>
              <w:t xml:space="preserve">alg</w:t>
            </w:r>
            <w:r>
              <w:t xml:space="preserve"> </w:t>
            </w:r>
            <w:r>
              <w:t xml:space="preserve">in single JWT header</w:t>
            </w:r>
          </w:p>
        </w:tc>
        <w:tc>
          <w:tcPr/>
          <w:p>
            <w:pPr>
              <w:pStyle w:val="Compact"/>
              <w:jc w:val="left"/>
            </w:pPr>
            <w:r>
              <w:t xml:space="preserve">Legacy parsers reject; OIDC conformance breaks</w:t>
            </w:r>
          </w:p>
        </w:tc>
        <w:tc>
          <w:tcPr/>
          <w:p>
            <w:pPr>
              <w:pStyle w:val="Compact"/>
              <w:jc w:val="left"/>
            </w:pPr>
            <w:r>
              <w:t xml:space="preserve">Parallel issuers</w:t>
            </w:r>
          </w:p>
        </w:tc>
      </w:tr>
      <w:tr>
        <w:tc>
          <w:tcPr/>
          <w:p>
            <w:pPr>
              <w:pStyle w:val="Compact"/>
              <w:jc w:val="left"/>
            </w:pPr>
            <w:r>
              <w:t xml:space="preserve">Encrypt with RSA, decrypt with ML-KEM on same field</w:t>
            </w:r>
          </w:p>
        </w:tc>
        <w:tc>
          <w:tcPr/>
          <w:p>
            <w:pPr>
              <w:pStyle w:val="Compact"/>
              <w:jc w:val="left"/>
            </w:pPr>
            <w:r>
              <w:t xml:space="preserve">Non-interoperable rotation</w:t>
            </w:r>
          </w:p>
        </w:tc>
        <w:tc>
          <w:tcPr/>
          <w:p>
            <w:pPr>
              <w:pStyle w:val="Compact"/>
              <w:jc w:val="left"/>
            </w:pPr>
            <w:r>
              <w:t xml:space="preserve">Envelope with documented wrap</w:t>
            </w:r>
          </w:p>
        </w:tc>
      </w:tr>
      <w:tr>
        <w:tc>
          <w:tcPr/>
          <w:p>
            <w:pPr>
              <w:pStyle w:val="Compact"/>
              <w:jc w:val="left"/>
            </w:pPr>
            <w:r>
              <w:t xml:space="preserve">Hybrid only in test environment</w:t>
            </w:r>
          </w:p>
        </w:tc>
        <w:tc>
          <w:tcPr/>
          <w:p>
            <w:pPr>
              <w:pStyle w:val="Compact"/>
              <w:jc w:val="left"/>
            </w:pPr>
            <w:r>
              <w:t xml:space="preserve">Production path untested</w:t>
            </w:r>
          </w:p>
        </w:tc>
        <w:tc>
          <w:tcPr/>
          <w:p>
            <w:pPr>
              <w:pStyle w:val="Compact"/>
              <w:jc w:val="left"/>
            </w:pPr>
            <w:r>
              <w:t xml:space="preserve">Shadow issuer in production</w:t>
            </w:r>
          </w:p>
        </w:tc>
      </w:tr>
      <w:tr>
        <w:tc>
          <w:tcPr/>
          <w:p>
            <w:pPr>
              <w:pStyle w:val="Compact"/>
              <w:jc w:val="left"/>
            </w:pPr>
            <w:r>
              <w:t xml:space="preserve">Library default algorithm</w:t>
            </w:r>
          </w:p>
        </w:tc>
        <w:tc>
          <w:tcPr/>
          <w:p>
            <w:pPr>
              <w:pStyle w:val="Compact"/>
              <w:jc w:val="left"/>
            </w:pPr>
            <w:r>
              <w:t xml:space="preserve">Silent classical at scale</w:t>
            </w:r>
          </w:p>
        </w:tc>
        <w:tc>
          <w:tcPr/>
          <w:p>
            <w:pPr>
              <w:pStyle w:val="Compact"/>
              <w:jc w:val="left"/>
            </w:pPr>
            <w:r>
              <w:t xml:space="preserve">Explicit algorithm configuration NFR</w:t>
            </w:r>
          </w:p>
        </w:tc>
      </w:tr>
    </w:tbl>
    <w:p>
      <w:pPr>
        <w:pStyle w:val="BlockText"/>
      </w:pPr>
      <w:r>
        <w:rPr>
          <w:bCs/>
          <w:b/>
        </w:rPr>
        <w:t xml:space="preserve">Regulatory Lens</w:t>
      </w:r>
    </w:p>
    <w:p>
      <w:pPr>
        <w:pStyle w:val="BlockText"/>
      </w:pPr>
      <w:r>
        <w:rPr>
          <w:bCs/>
          <w:b/>
        </w:rPr>
        <w:t xml:space="preserve">DORA does not prescribe hybrid application-layer patterns.</w:t>
      </w:r>
      <w:r>
        <w:t xml:space="preserve"> </w:t>
      </w:r>
      <w:r>
        <w:t xml:space="preserve">Supervisory reviewers evaluate whether encryption policies respond to cryptanalytic developments with</w:t>
      </w:r>
      <w:r>
        <w:t xml:space="preserve"> </w:t>
      </w:r>
      <w:r>
        <w:rPr>
          <w:bCs/>
          <w:b/>
        </w:rPr>
        <w:t xml:space="preserve">documented standards references and risk assessment</w:t>
      </w:r>
      <w:r>
        <w:t xml:space="preserve">. Parallel token issuers with CBOM traceability satisfied Meridian’s home-jurisdiction examination — ad hoc JWT extensions did not.</w:t>
      </w:r>
    </w:p>
    <w:p>
      <w:r>
        <w:pict>
          <v:rect style="width:0;height:1.5pt" o:hralign="center" o:hrstd="t" o:hr="t"/>
        </w:pict>
      </w:r>
    </w:p>
    <w:bookmarkEnd w:id="50"/>
    <w:bookmarkEnd w:id="51"/>
    <w:bookmarkStart w:id="52" w:name="hybrid-pattern-catalog"/>
    <w:p>
      <w:pPr>
        <w:pStyle w:val="Heading2"/>
      </w:pPr>
      <w:r>
        <w:t xml:space="preserve">11.9 Hybrid Pattern Catalog</w:t>
      </w:r>
    </w:p>
    <w:p>
      <w:pPr>
        <w:pStyle w:val="FirstParagraph"/>
      </w:pPr>
      <w:r>
        <w:rPr>
          <w:bCs/>
          <w:b/>
        </w:rPr>
        <w:t xml:space="preserve">Table 11.3 — Hybrid Pattern Catalog (Protocol × Phase × Sunset Trigger)</w:t>
      </w:r>
    </w:p>
    <w:tbl>
      <w:tblPr>
        <w:tblStyle w:val="Table"/>
        <w:tblW w:type="pct" w:w="5000"/>
        <w:tblLook w:firstRow="1" w:lastRow="0" w:firstColumn="0" w:lastColumn="0" w:noHBand="0" w:noVBand="0" w:val="0020"/>
        <w:jc w:val="start"/>
      </w:tblPr>
      <w:tblGrid>
        <w:gridCol w:w="1164"/>
        <w:gridCol w:w="990"/>
        <w:gridCol w:w="1048"/>
        <w:gridCol w:w="990"/>
        <w:gridCol w:w="1630"/>
        <w:gridCol w:w="815"/>
        <w:gridCol w:w="1281"/>
      </w:tblGrid>
      <w:tr>
        <w:trPr>
          <w:tblHeader w:val="true"/>
        </w:trPr>
        <w:tc>
          <w:tcPr/>
          <w:p>
            <w:pPr>
              <w:pStyle w:val="Compact"/>
              <w:jc w:val="left"/>
            </w:pPr>
            <w:r>
              <w:t xml:space="preserve">Protocol / use case</w:t>
            </w:r>
          </w:p>
        </w:tc>
        <w:tc>
          <w:tcPr/>
          <w:p>
            <w:pPr>
              <w:pStyle w:val="Compact"/>
              <w:jc w:val="left"/>
            </w:pPr>
            <w:r>
              <w:t xml:space="preserve">H1 construction</w:t>
            </w:r>
          </w:p>
        </w:tc>
        <w:tc>
          <w:tcPr/>
          <w:p>
            <w:pPr>
              <w:pStyle w:val="Compact"/>
              <w:jc w:val="left"/>
            </w:pPr>
            <w:r>
              <w:t xml:space="preserve">Typical H1 scope</w:t>
            </w:r>
          </w:p>
        </w:tc>
        <w:tc>
          <w:tcPr/>
          <w:p>
            <w:pPr>
              <w:pStyle w:val="Compact"/>
              <w:jc w:val="left"/>
            </w:pPr>
            <w:r>
              <w:t xml:space="preserve">H2 trigger type</w:t>
            </w:r>
          </w:p>
        </w:tc>
        <w:tc>
          <w:tcPr/>
          <w:p>
            <w:pPr>
              <w:pStyle w:val="Compact"/>
              <w:jc w:val="left"/>
            </w:pPr>
            <w:r>
              <w:t xml:space="preserve">H2 trigger value (examples)</w:t>
            </w:r>
          </w:p>
        </w:tc>
        <w:tc>
          <w:tcPr/>
          <w:p>
            <w:pPr>
              <w:pStyle w:val="Compact"/>
              <w:jc w:val="left"/>
            </w:pPr>
            <w:r>
              <w:t xml:space="preserve">H3 end state</w:t>
            </w:r>
          </w:p>
        </w:tc>
        <w:tc>
          <w:tcPr/>
          <w:p>
            <w:pPr>
              <w:pStyle w:val="Compact"/>
              <w:jc w:val="left"/>
            </w:pPr>
            <w:r>
              <w:t xml:space="preserve">Primary CDG node type</w:t>
            </w:r>
          </w:p>
        </w:tc>
      </w:tr>
      <w:tr>
        <w:tc>
          <w:tcPr/>
          <w:p>
            <w:pPr>
              <w:pStyle w:val="Compact"/>
              <w:jc w:val="left"/>
            </w:pPr>
            <w:r>
              <w:t xml:space="preserve">TLS 1.3 (external API)</w:t>
            </w:r>
          </w:p>
        </w:tc>
        <w:tc>
          <w:tcPr/>
          <w:p>
            <w:pPr>
              <w:pStyle w:val="Compact"/>
              <w:jc w:val="left"/>
            </w:pPr>
            <w:r>
              <w:t xml:space="preserve">X25519 + ML-KEM-768</w:t>
            </w:r>
          </w:p>
        </w:tc>
        <w:tc>
          <w:tcPr/>
          <w:p>
            <w:pPr>
              <w:pStyle w:val="Compact"/>
              <w:jc w:val="left"/>
            </w:pPr>
            <w:r>
              <w:t xml:space="preserve">Public endpoints; partner APIs</w:t>
            </w:r>
          </w:p>
        </w:tc>
        <w:tc>
          <w:tcPr/>
          <w:p>
            <w:pPr>
              <w:pStyle w:val="Compact"/>
              <w:jc w:val="left"/>
            </w:pPr>
            <w:r>
              <w:t xml:space="preserve">ecosystem</w:t>
            </w:r>
          </w:p>
        </w:tc>
        <w:tc>
          <w:tcPr/>
          <w:p>
            <w:pPr>
              <w:pStyle w:val="Compact"/>
              <w:jc w:val="left"/>
            </w:pPr>
            <w:r>
              <w:rPr>
                <w:rStyle w:val="VerbatimChar"/>
              </w:rPr>
              <w:t xml:space="preserve">92%_client_hybrid_negotiation</w:t>
            </w:r>
          </w:p>
        </w:tc>
        <w:tc>
          <w:tcPr/>
          <w:p>
            <w:pPr>
              <w:pStyle w:val="Compact"/>
              <w:jc w:val="left"/>
            </w:pPr>
            <w:r>
              <w:t xml:space="preserve">ML-KEM-only groups</w:t>
            </w:r>
          </w:p>
        </w:tc>
        <w:tc>
          <w:tcPr/>
          <w:p>
            <w:pPr>
              <w:pStyle w:val="Compact"/>
              <w:jc w:val="left"/>
            </w:pPr>
            <w:r>
              <w:rPr>
                <w:rStyle w:val="VerbatimChar"/>
              </w:rPr>
              <w:t xml:space="preserve">terminates</w:t>
            </w:r>
          </w:p>
        </w:tc>
      </w:tr>
      <w:tr>
        <w:tc>
          <w:tcPr/>
          <w:p>
            <w:pPr>
              <w:pStyle w:val="Compact"/>
              <w:jc w:val="left"/>
            </w:pPr>
            <w:r>
              <w:t xml:space="preserve">TLS 1.3 (internal mesh)</w:t>
            </w:r>
          </w:p>
        </w:tc>
        <w:tc>
          <w:tcPr/>
          <w:p>
            <w:pPr>
              <w:pStyle w:val="Compact"/>
              <w:jc w:val="left"/>
            </w:pPr>
            <w:r>
              <w:t xml:space="preserve">X25519 + ML-KEM-768</w:t>
            </w:r>
          </w:p>
        </w:tc>
        <w:tc>
          <w:tcPr/>
          <w:p>
            <w:pPr>
              <w:pStyle w:val="Compact"/>
              <w:jc w:val="left"/>
            </w:pPr>
            <w:r>
              <w:t xml:space="preserve">Service mesh ingress</w:t>
            </w:r>
          </w:p>
        </w:tc>
        <w:tc>
          <w:tcPr/>
          <w:p>
            <w:pPr>
              <w:pStyle w:val="Compact"/>
              <w:jc w:val="left"/>
            </w:pPr>
            <w:r>
              <w:t xml:space="preserve">vendor</w:t>
            </w:r>
          </w:p>
        </w:tc>
        <w:tc>
          <w:tcPr/>
          <w:p>
            <w:pPr>
              <w:pStyle w:val="Compact"/>
              <w:jc w:val="left"/>
            </w:pPr>
            <w:r>
              <w:rPr>
                <w:rStyle w:val="VerbatimChar"/>
              </w:rPr>
              <w:t xml:space="preserve">mesh_CA_ML-DSA_GA</w:t>
            </w:r>
          </w:p>
        </w:tc>
        <w:tc>
          <w:tcPr/>
          <w:p>
            <w:pPr>
              <w:pStyle w:val="Compact"/>
              <w:jc w:val="left"/>
            </w:pPr>
            <w:r>
              <w:t xml:space="preserve">PQC-native mesh</w:t>
            </w:r>
          </w:p>
        </w:tc>
        <w:tc>
          <w:tcPr/>
          <w:p>
            <w:pPr>
              <w:pStyle w:val="Compact"/>
              <w:jc w:val="left"/>
            </w:pPr>
            <w:r>
              <w:rPr>
                <w:rStyle w:val="VerbatimChar"/>
              </w:rPr>
              <w:t xml:space="preserve">trusts</w:t>
            </w:r>
          </w:p>
        </w:tc>
      </w:tr>
      <w:tr>
        <w:tc>
          <w:tcPr/>
          <w:p>
            <w:pPr>
              <w:pStyle w:val="Compact"/>
              <w:jc w:val="left"/>
            </w:pPr>
            <w:r>
              <w:t xml:space="preserve">IKEv2 VPN (WAN)</w:t>
            </w:r>
          </w:p>
        </w:tc>
        <w:tc>
          <w:tcPr/>
          <w:p>
            <w:pPr>
              <w:pStyle w:val="Compact"/>
              <w:jc w:val="left"/>
            </w:pPr>
            <w:r>
              <w:t xml:space="preserve">ECDH + ML-KEM hybrid</w:t>
            </w:r>
          </w:p>
        </w:tc>
        <w:tc>
          <w:tcPr/>
          <w:p>
            <w:pPr>
              <w:pStyle w:val="Compact"/>
              <w:jc w:val="left"/>
            </w:pPr>
            <w:r>
              <w:t xml:space="preserve">OT historian paths; remote site</w:t>
            </w:r>
          </w:p>
        </w:tc>
        <w:tc>
          <w:tcPr/>
          <w:p>
            <w:pPr>
              <w:pStyle w:val="Compact"/>
              <w:jc w:val="left"/>
            </w:pPr>
            <w:r>
              <w:t xml:space="preserve">calendar + vendor</w:t>
            </w:r>
          </w:p>
        </w:tc>
        <w:tc>
          <w:tcPr/>
          <w:p>
            <w:pPr>
              <w:pStyle w:val="Compact"/>
              <w:jc w:val="left"/>
            </w:pPr>
            <w:r>
              <w:rPr>
                <w:rStyle w:val="VerbatimChar"/>
              </w:rPr>
              <w:t xml:space="preserve">2030-01-01</w:t>
            </w:r>
            <w:r>
              <w:t xml:space="preserve"> </w:t>
            </w:r>
            <w:r>
              <w:t xml:space="preserve">+</w:t>
            </w:r>
            <w:r>
              <w:t xml:space="preserve"> </w:t>
            </w:r>
            <w:r>
              <w:rPr>
                <w:rStyle w:val="VerbatimChar"/>
              </w:rPr>
              <w:t xml:space="preserve">CPE_firmware_100%</w:t>
            </w:r>
          </w:p>
        </w:tc>
        <w:tc>
          <w:tcPr/>
          <w:p>
            <w:pPr>
              <w:pStyle w:val="Compact"/>
              <w:jc w:val="left"/>
            </w:pPr>
            <w:r>
              <w:t xml:space="preserve">PQC-only IKE</w:t>
            </w:r>
          </w:p>
        </w:tc>
        <w:tc>
          <w:tcPr/>
          <w:p>
            <w:pPr>
              <w:pStyle w:val="Compact"/>
              <w:jc w:val="left"/>
            </w:pPr>
            <w:r>
              <w:rPr>
                <w:rStyle w:val="VerbatimChar"/>
              </w:rPr>
              <w:t xml:space="preserve">terminates</w:t>
            </w:r>
          </w:p>
        </w:tc>
      </w:tr>
      <w:tr>
        <w:tc>
          <w:tcPr/>
          <w:p>
            <w:pPr>
              <w:pStyle w:val="Compact"/>
              <w:jc w:val="left"/>
            </w:pPr>
            <w:r>
              <w:t xml:space="preserve">IPsec (site-to-site)</w:t>
            </w:r>
          </w:p>
        </w:tc>
        <w:tc>
          <w:tcPr/>
          <w:p>
            <w:pPr>
              <w:pStyle w:val="Compact"/>
              <w:jc w:val="left"/>
            </w:pPr>
            <w:r>
              <w:t xml:space="preserve">IKE hybrid + classical cert</w:t>
            </w:r>
          </w:p>
        </w:tc>
        <w:tc>
          <w:tcPr/>
          <w:p>
            <w:pPr>
              <w:pStyle w:val="Compact"/>
              <w:jc w:val="left"/>
            </w:pPr>
            <w:r>
              <w:t xml:space="preserve">Legacy datacentre links</w:t>
            </w:r>
          </w:p>
        </w:tc>
        <w:tc>
          <w:tcPr/>
          <w:p>
            <w:pPr>
              <w:pStyle w:val="Compact"/>
              <w:jc w:val="left"/>
            </w:pPr>
            <w:r>
              <w:t xml:space="preserve">dependency</w:t>
            </w:r>
          </w:p>
        </w:tc>
        <w:tc>
          <w:tcPr/>
          <w:p>
            <w:pPr>
              <w:pStyle w:val="Compact"/>
              <w:jc w:val="left"/>
            </w:pPr>
            <w:r>
              <w:rPr>
                <w:rStyle w:val="VerbatimChar"/>
              </w:rPr>
              <w:t xml:space="preserve">PKI_ML-DSA_profile_GA</w:t>
            </w:r>
          </w:p>
        </w:tc>
        <w:tc>
          <w:tcPr/>
          <w:p>
            <w:pPr>
              <w:pStyle w:val="Compact"/>
              <w:jc w:val="left"/>
            </w:pPr>
            <w:r>
              <w:t xml:space="preserve">Full PQC IPsec</w:t>
            </w:r>
          </w:p>
        </w:tc>
        <w:tc>
          <w:tcPr/>
          <w:p>
            <w:pPr>
              <w:pStyle w:val="Compact"/>
              <w:jc w:val="left"/>
            </w:pPr>
            <w:r>
              <w:rPr>
                <w:rStyle w:val="VerbatimChar"/>
              </w:rPr>
              <w:t xml:space="preserve">trusts</w:t>
            </w:r>
          </w:p>
        </w:tc>
      </w:tr>
      <w:tr>
        <w:tc>
          <w:tcPr/>
          <w:p>
            <w:pPr>
              <w:pStyle w:val="Compact"/>
              <w:jc w:val="left"/>
            </w:pPr>
            <w:r>
              <w:t xml:space="preserve">Code / firmware signing</w:t>
            </w:r>
          </w:p>
        </w:tc>
        <w:tc>
          <w:tcPr/>
          <w:p>
            <w:pPr>
              <w:pStyle w:val="Compact"/>
              <w:jc w:val="left"/>
            </w:pPr>
            <w:r>
              <w:t xml:space="preserve">Dual ECDSA + ML-DSA</w:t>
            </w:r>
          </w:p>
        </w:tc>
        <w:tc>
          <w:tcPr/>
          <w:p>
            <w:pPr>
              <w:pStyle w:val="Compact"/>
              <w:jc w:val="left"/>
            </w:pPr>
            <w:r>
              <w:t xml:space="preserve">NSS + OT firmware</w:t>
            </w:r>
          </w:p>
        </w:tc>
        <w:tc>
          <w:tcPr/>
          <w:p>
            <w:pPr>
              <w:pStyle w:val="Compact"/>
              <w:jc w:val="left"/>
            </w:pPr>
            <w:r>
              <w:t xml:space="preserve">calendar / CNSA</w:t>
            </w:r>
          </w:p>
        </w:tc>
        <w:tc>
          <w:tcPr/>
          <w:p>
            <w:pPr>
              <w:pStyle w:val="Compact"/>
              <w:jc w:val="left"/>
            </w:pPr>
            <w:r>
              <w:rPr>
                <w:rStyle w:val="VerbatimChar"/>
              </w:rPr>
              <w:t xml:space="preserve">CNSA_2030_firmware</w:t>
            </w:r>
          </w:p>
        </w:tc>
        <w:tc>
          <w:tcPr/>
          <w:p>
            <w:pPr>
              <w:pStyle w:val="Compact"/>
              <w:jc w:val="left"/>
            </w:pPr>
            <w:r>
              <w:t xml:space="preserve">ML-DSA only</w:t>
            </w:r>
          </w:p>
        </w:tc>
        <w:tc>
          <w:tcPr/>
          <w:p>
            <w:pPr>
              <w:pStyle w:val="Compact"/>
              <w:jc w:val="left"/>
            </w:pPr>
            <w:r>
              <w:rPr>
                <w:rStyle w:val="VerbatimChar"/>
              </w:rPr>
              <w:t xml:space="preserve">signs</w:t>
            </w:r>
          </w:p>
        </w:tc>
      </w:tr>
      <w:tr>
        <w:tc>
          <w:tcPr/>
          <w:p>
            <w:pPr>
              <w:pStyle w:val="Compact"/>
              <w:jc w:val="left"/>
            </w:pPr>
            <w:r>
              <w:t xml:space="preserve">S/MIME email</w:t>
            </w:r>
          </w:p>
        </w:tc>
        <w:tc>
          <w:tcPr/>
          <w:p>
            <w:pPr>
              <w:pStyle w:val="Compact"/>
              <w:jc w:val="left"/>
            </w:pPr>
            <w:r>
              <w:t xml:space="preserve">Classical + ML-DSA dual sign</w:t>
            </w:r>
          </w:p>
        </w:tc>
        <w:tc>
          <w:tcPr/>
          <w:p>
            <w:pPr>
              <w:pStyle w:val="Compact"/>
              <w:jc w:val="left"/>
            </w:pPr>
            <w:r>
              <w:t xml:space="preserve">Executive comms</w:t>
            </w:r>
          </w:p>
        </w:tc>
        <w:tc>
          <w:tcPr/>
          <w:p>
            <w:pPr>
              <w:pStyle w:val="Compact"/>
              <w:jc w:val="left"/>
            </w:pPr>
            <w:r>
              <w:t xml:space="preserve">ecosystem</w:t>
            </w:r>
          </w:p>
        </w:tc>
        <w:tc>
          <w:tcPr/>
          <w:p>
            <w:pPr>
              <w:pStyle w:val="Compact"/>
              <w:jc w:val="left"/>
            </w:pPr>
            <w:r>
              <w:rPr>
                <w:rStyle w:val="VerbatimChar"/>
              </w:rPr>
              <w:t xml:space="preserve">mail_gateway_PQC_GA</w:t>
            </w:r>
          </w:p>
        </w:tc>
        <w:tc>
          <w:tcPr/>
          <w:p>
            <w:pPr>
              <w:pStyle w:val="Compact"/>
              <w:jc w:val="left"/>
            </w:pPr>
            <w:r>
              <w:t xml:space="preserve">ML-DSA only</w:t>
            </w:r>
          </w:p>
        </w:tc>
        <w:tc>
          <w:tcPr/>
          <w:p>
            <w:pPr>
              <w:pStyle w:val="Compact"/>
              <w:jc w:val="left"/>
            </w:pPr>
            <w:r>
              <w:rPr>
                <w:rStyle w:val="VerbatimChar"/>
              </w:rPr>
              <w:t xml:space="preserve">verifies</w:t>
            </w:r>
          </w:p>
        </w:tc>
      </w:tr>
      <w:tr>
        <w:tc>
          <w:tcPr/>
          <w:p>
            <w:pPr>
              <w:pStyle w:val="Compact"/>
              <w:jc w:val="left"/>
            </w:pPr>
            <w:r>
              <w:t xml:space="preserve">JWT / OIDC</w:t>
            </w:r>
          </w:p>
        </w:tc>
        <w:tc>
          <w:tcPr/>
          <w:p>
            <w:pPr>
              <w:pStyle w:val="Compact"/>
              <w:jc w:val="left"/>
            </w:pPr>
            <w:r>
              <w:t xml:space="preserve">Parallel issuers (classical + PQC cert)</w:t>
            </w:r>
          </w:p>
        </w:tc>
        <w:tc>
          <w:tcPr/>
          <w:p>
            <w:pPr>
              <w:pStyle w:val="Compact"/>
              <w:jc w:val="left"/>
            </w:pPr>
            <w:r>
              <w:t xml:space="preserve">Customer auth</w:t>
            </w:r>
          </w:p>
        </w:tc>
        <w:tc>
          <w:tcPr/>
          <w:p>
            <w:pPr>
              <w:pStyle w:val="Compact"/>
              <w:jc w:val="left"/>
            </w:pPr>
            <w:r>
              <w:t xml:space="preserve">ecosystem</w:t>
            </w:r>
          </w:p>
        </w:tc>
        <w:tc>
          <w:tcPr/>
          <w:p>
            <w:pPr>
              <w:pStyle w:val="Compact"/>
              <w:jc w:val="left"/>
            </w:pPr>
            <w:r>
              <w:rPr>
                <w:rStyle w:val="VerbatimChar"/>
              </w:rPr>
              <w:t xml:space="preserve">95%_client_PQC_issuer</w:t>
            </w:r>
          </w:p>
        </w:tc>
        <w:tc>
          <w:tcPr/>
          <w:p>
            <w:pPr>
              <w:pStyle w:val="Compact"/>
              <w:jc w:val="left"/>
            </w:pPr>
            <w:r>
              <w:t xml:space="preserve">Single PQC issuer</w:t>
            </w:r>
          </w:p>
        </w:tc>
        <w:tc>
          <w:tcPr/>
          <w:p>
            <w:pPr>
              <w:pStyle w:val="Compact"/>
              <w:jc w:val="left"/>
            </w:pPr>
            <w:r>
              <w:rPr>
                <w:rStyle w:val="VerbatimChar"/>
              </w:rPr>
              <w:t xml:space="preserve">signs</w:t>
            </w:r>
          </w:p>
        </w:tc>
      </w:tr>
      <w:tr>
        <w:tc>
          <w:tcPr/>
          <w:p>
            <w:pPr>
              <w:pStyle w:val="Compact"/>
              <w:jc w:val="left"/>
            </w:pPr>
            <w:r>
              <w:t xml:space="preserve">Database field encrypt</w:t>
            </w:r>
          </w:p>
        </w:tc>
        <w:tc>
          <w:tcPr/>
          <w:p>
            <w:pPr>
              <w:pStyle w:val="Compact"/>
              <w:jc w:val="left"/>
            </w:pPr>
            <w:r>
              <w:t xml:space="preserve">Classical KEK wraps PQC DEK</w:t>
            </w:r>
          </w:p>
        </w:tc>
        <w:tc>
          <w:tcPr/>
          <w:p>
            <w:pPr>
              <w:pStyle w:val="Compact"/>
              <w:jc w:val="left"/>
            </w:pPr>
            <w:r>
              <w:t xml:space="preserve">PCI columns</w:t>
            </w:r>
          </w:p>
        </w:tc>
        <w:tc>
          <w:tcPr/>
          <w:p>
            <w:pPr>
              <w:pStyle w:val="Compact"/>
              <w:jc w:val="left"/>
            </w:pPr>
            <w:r>
              <w:t xml:space="preserve">dependency</w:t>
            </w:r>
          </w:p>
        </w:tc>
        <w:tc>
          <w:tcPr/>
          <w:p>
            <w:pPr>
              <w:pStyle w:val="Compact"/>
              <w:jc w:val="left"/>
            </w:pPr>
            <w:r>
              <w:rPr>
                <w:rStyle w:val="VerbatimChar"/>
              </w:rPr>
              <w:t xml:space="preserve">KMS_ML-KEM_native</w:t>
            </w:r>
          </w:p>
        </w:tc>
        <w:tc>
          <w:tcPr/>
          <w:p>
            <w:pPr>
              <w:pStyle w:val="Compact"/>
              <w:jc w:val="left"/>
            </w:pPr>
            <w:r>
              <w:t xml:space="preserve">PQC-native envelope</w:t>
            </w:r>
          </w:p>
        </w:tc>
        <w:tc>
          <w:tcPr/>
          <w:p>
            <w:pPr>
              <w:pStyle w:val="Compact"/>
              <w:jc w:val="left"/>
            </w:pPr>
            <w:r>
              <w:rPr>
                <w:rStyle w:val="VerbatimChar"/>
              </w:rPr>
              <w:t xml:space="preserve">wraps</w:t>
            </w:r>
          </w:p>
        </w:tc>
      </w:tr>
      <w:tr>
        <w:tc>
          <w:tcPr/>
          <w:p>
            <w:pPr>
              <w:pStyle w:val="Compact"/>
              <w:jc w:val="left"/>
            </w:pPr>
            <w:r>
              <w:t xml:space="preserve">HSM key wrap</w:t>
            </w:r>
          </w:p>
        </w:tc>
        <w:tc>
          <w:tcPr/>
          <w:p>
            <w:pPr>
              <w:pStyle w:val="Compact"/>
              <w:jc w:val="left"/>
            </w:pPr>
            <w:r>
              <w:t xml:space="preserve">Hybrid wrap per vendor profile</w:t>
            </w:r>
          </w:p>
        </w:tc>
        <w:tc>
          <w:tcPr/>
          <w:p>
            <w:pPr>
              <w:pStyle w:val="Compact"/>
              <w:jc w:val="left"/>
            </w:pPr>
            <w:r>
              <w:t xml:space="preserve">Payment HSM</w:t>
            </w:r>
          </w:p>
        </w:tc>
        <w:tc>
          <w:tcPr/>
          <w:p>
            <w:pPr>
              <w:pStyle w:val="Compact"/>
              <w:jc w:val="left"/>
            </w:pPr>
            <w:r>
              <w:t xml:space="preserve">vendor</w:t>
            </w:r>
          </w:p>
        </w:tc>
        <w:tc>
          <w:tcPr/>
          <w:p>
            <w:pPr>
              <w:pStyle w:val="Compact"/>
              <w:jc w:val="left"/>
            </w:pPr>
            <w:r>
              <w:rPr>
                <w:rStyle w:val="VerbatimChar"/>
              </w:rPr>
              <w:t xml:space="preserve">module_FIPS_validation</w:t>
            </w:r>
          </w:p>
        </w:tc>
        <w:tc>
          <w:tcPr/>
          <w:p>
            <w:pPr>
              <w:pStyle w:val="Compact"/>
              <w:jc w:val="left"/>
            </w:pPr>
            <w:r>
              <w:t xml:space="preserve">PQC-only wrap</w:t>
            </w:r>
          </w:p>
        </w:tc>
        <w:tc>
          <w:tcPr/>
          <w:p>
            <w:pPr>
              <w:pStyle w:val="Compact"/>
              <w:jc w:val="left"/>
            </w:pPr>
            <w:r>
              <w:rPr>
                <w:rStyle w:val="VerbatimChar"/>
              </w:rPr>
              <w:t xml:space="preserve">implements</w:t>
            </w:r>
          </w:p>
        </w:tc>
      </w:tr>
      <w:tr>
        <w:tc>
          <w:tcPr/>
          <w:p>
            <w:pPr>
              <w:pStyle w:val="Compact"/>
              <w:jc w:val="left"/>
            </w:pPr>
            <w:r>
              <w:t xml:space="preserve">Document signing (CMS)</w:t>
            </w:r>
          </w:p>
        </w:tc>
        <w:tc>
          <w:tcPr/>
          <w:p>
            <w:pPr>
              <w:pStyle w:val="Compact"/>
              <w:jc w:val="left"/>
            </w:pPr>
            <w:r>
              <w:t xml:space="preserve">Dual signature CMS</w:t>
            </w:r>
          </w:p>
        </w:tc>
        <w:tc>
          <w:tcPr/>
          <w:p>
            <w:pPr>
              <w:pStyle w:val="Compact"/>
              <w:jc w:val="left"/>
            </w:pPr>
            <w:r>
              <w:t xml:space="preserve">Legal contracts</w:t>
            </w:r>
          </w:p>
        </w:tc>
        <w:tc>
          <w:tcPr/>
          <w:p>
            <w:pPr>
              <w:pStyle w:val="Compact"/>
              <w:jc w:val="left"/>
            </w:pPr>
            <w:r>
              <w:t xml:space="preserve">calendar</w:t>
            </w:r>
          </w:p>
        </w:tc>
        <w:tc>
          <w:tcPr/>
          <w:p>
            <w:pPr>
              <w:pStyle w:val="Compact"/>
              <w:jc w:val="left"/>
            </w:pPr>
            <w:r>
              <w:rPr>
                <w:rStyle w:val="VerbatimChar"/>
              </w:rPr>
              <w:t xml:space="preserve">2030_deprecation</w:t>
            </w:r>
          </w:p>
        </w:tc>
        <w:tc>
          <w:tcPr/>
          <w:p>
            <w:pPr>
              <w:pStyle w:val="Compact"/>
              <w:jc w:val="left"/>
            </w:pPr>
            <w:r>
              <w:t xml:space="preserve">ML-DSA only</w:t>
            </w:r>
          </w:p>
        </w:tc>
        <w:tc>
          <w:tcPr/>
          <w:p>
            <w:pPr>
              <w:pStyle w:val="Compact"/>
              <w:jc w:val="left"/>
            </w:pPr>
            <w:r>
              <w:rPr>
                <w:rStyle w:val="VerbatimChar"/>
              </w:rPr>
              <w:t xml:space="preserve">signs</w:t>
            </w:r>
          </w:p>
        </w:tc>
      </w:tr>
    </w:tbl>
    <w:p>
      <w:pPr>
        <w:pStyle w:val="BodyText"/>
      </w:pPr>
      <w:r>
        <w:t xml:space="preserve">Programme architects</w:t>
      </w:r>
      <w:r>
        <w:t xml:space="preserve"> </w:t>
      </w:r>
      <w:r>
        <w:rPr>
          <w:bCs/>
          <w:b/>
        </w:rPr>
        <w:t xml:space="preserve">copy this table into the enterprise architecture repository</w:t>
      </w:r>
      <w:r>
        <w:t xml:space="preserve"> </w:t>
      </w:r>
      <w:r>
        <w:t xml:space="preserve">and annotate with organisation-specific constructions — not every row applies to every estate. Rows with</w:t>
      </w:r>
      <w:r>
        <w:t xml:space="preserve"> </w:t>
      </w:r>
      <w:r>
        <w:rPr>
          <w:rStyle w:val="VerbatimChar"/>
        </w:rPr>
        <w:t xml:space="preserve">dependency</w:t>
      </w:r>
      <w:r>
        <w:t xml:space="preserve"> </w:t>
      </w:r>
      <w:r>
        <w:t xml:space="preserve">triggers reference CDG blocking nodes explicitly.</w:t>
      </w:r>
    </w:p>
    <w:p>
      <w:r>
        <w:pict>
          <v:rect style="width:0;height:1.5pt" o:hralign="center" o:hrstd="t" o:hr="t"/>
        </w:pict>
      </w:r>
    </w:p>
    <w:bookmarkEnd w:id="52"/>
    <w:bookmarkStart w:id="53" w:name="cbom-attributes-and-hlm-tracking"/>
    <w:p>
      <w:pPr>
        <w:pStyle w:val="Heading2"/>
      </w:pPr>
      <w:r>
        <w:t xml:space="preserve">11.10 CBOM Attributes and HLM Tracking</w:t>
      </w:r>
    </w:p>
    <w:p>
      <w:pPr>
        <w:pStyle w:val="FirstParagraph"/>
      </w:pPr>
      <w:r>
        <w:t xml:space="preserve">Chapter 5 defined minimum HLM CBOM attributes. Part IV adds</w:t>
      </w:r>
      <w:r>
        <w:t xml:space="preserve"> </w:t>
      </w:r>
      <w:r>
        <w:rPr>
          <w:bCs/>
          <w:b/>
        </w:rPr>
        <w:t xml:space="preserve">deployment-phase fields</w:t>
      </w:r>
      <w:r>
        <w:t xml:space="preserve"> </w:t>
      </w:r>
      <w:r>
        <w:t xml:space="preserve">consumed by change management and dashboards.</w:t>
      </w:r>
    </w:p>
    <w:p>
      <w:pPr>
        <w:pStyle w:val="BodyText"/>
      </w:pPr>
      <w:r>
        <w:rPr>
          <w:bCs/>
          <w:b/>
        </w:rPr>
        <w:t xml:space="preserve">Table 11.4 — Extended CBOM HLM Attributes</w:t>
      </w:r>
    </w:p>
    <w:tbl>
      <w:tblPr>
        <w:tblStyle w:val="Table"/>
        <w:tblW w:type="pct" w:w="5000"/>
        <w:tblLook w:firstRow="1" w:lastRow="0" w:firstColumn="0" w:lastColumn="0" w:noHBand="0" w:noVBand="0" w:val="0020"/>
        <w:jc w:val="start"/>
      </w:tblPr>
      <w:tblGrid>
        <w:gridCol w:w="1675"/>
        <w:gridCol w:w="2589"/>
        <w:gridCol w:w="2132"/>
        <w:gridCol w:w="1523"/>
      </w:tblGrid>
      <w:tr>
        <w:trPr>
          <w:tblHeader w:val="true"/>
        </w:trPr>
        <w:tc>
          <w:tcPr/>
          <w:p>
            <w:pPr>
              <w:pStyle w:val="Compact"/>
              <w:jc w:val="left"/>
            </w:pPr>
            <w:r>
              <w:t xml:space="preserve">Attribute</w:t>
            </w:r>
          </w:p>
        </w:tc>
        <w:tc>
          <w:tcPr/>
          <w:p>
            <w:pPr>
              <w:pStyle w:val="Compact"/>
              <w:jc w:val="left"/>
            </w:pPr>
            <w:r>
              <w:t xml:space="preserve">Values / format</w:t>
            </w:r>
          </w:p>
        </w:tc>
        <w:tc>
          <w:tcPr/>
          <w:p>
            <w:pPr>
              <w:pStyle w:val="Compact"/>
              <w:jc w:val="left"/>
            </w:pPr>
            <w:r>
              <w:t xml:space="preserve">Populated at</w:t>
            </w:r>
          </w:p>
        </w:tc>
        <w:tc>
          <w:tcPr/>
          <w:p>
            <w:pPr>
              <w:pStyle w:val="Compact"/>
              <w:jc w:val="left"/>
            </w:pPr>
            <w:r>
              <w:t xml:space="preserve">Consumer</w:t>
            </w:r>
          </w:p>
        </w:tc>
      </w:tr>
      <w:tr>
        <w:tc>
          <w:tcPr/>
          <w:p>
            <w:pPr>
              <w:pStyle w:val="Compact"/>
              <w:jc w:val="left"/>
            </w:pPr>
            <w:r>
              <w:rPr>
                <w:rStyle w:val="VerbatimChar"/>
              </w:rPr>
              <w:t xml:space="preserve">hlm_phase</w:t>
            </w:r>
          </w:p>
        </w:tc>
        <w:tc>
          <w:tcPr/>
          <w:p>
            <w:pPr>
              <w:pStyle w:val="Compact"/>
              <w:jc w:val="left"/>
            </w:pPr>
            <w:r>
              <w:t xml:space="preserve">H1, H2, H3</w:t>
            </w:r>
          </w:p>
        </w:tc>
        <w:tc>
          <w:tcPr/>
          <w:p>
            <w:pPr>
              <w:pStyle w:val="Compact"/>
              <w:jc w:val="left"/>
            </w:pPr>
            <w:r>
              <w:t xml:space="preserve">Change approval</w:t>
            </w:r>
          </w:p>
        </w:tc>
        <w:tc>
          <w:tcPr/>
          <w:p>
            <w:pPr>
              <w:pStyle w:val="Compact"/>
              <w:jc w:val="left"/>
            </w:pPr>
            <w:r>
              <w:t xml:space="preserve">Dashboards; audit</w:t>
            </w:r>
          </w:p>
        </w:tc>
      </w:tr>
      <w:tr>
        <w:tc>
          <w:tcPr/>
          <w:p>
            <w:pPr>
              <w:pStyle w:val="Compact"/>
              <w:jc w:val="left"/>
            </w:pPr>
            <w:r>
              <w:rPr>
                <w:rStyle w:val="VerbatimChar"/>
              </w:rPr>
              <w:t xml:space="preserve">h2_trigger_type</w:t>
            </w:r>
          </w:p>
        </w:tc>
        <w:tc>
          <w:tcPr/>
          <w:p>
            <w:pPr>
              <w:pStyle w:val="Compact"/>
              <w:jc w:val="left"/>
            </w:pPr>
            <w:r>
              <w:t xml:space="preserve">ecosystem, calendar, vendor, dependency</w:t>
            </w:r>
          </w:p>
        </w:tc>
        <w:tc>
          <w:tcPr/>
          <w:p>
            <w:pPr>
              <w:pStyle w:val="Compact"/>
              <w:jc w:val="left"/>
            </w:pPr>
            <w:r>
              <w:t xml:space="preserve">H1 approval</w:t>
            </w:r>
          </w:p>
        </w:tc>
        <w:tc>
          <w:tcPr/>
          <w:p>
            <w:pPr>
              <w:pStyle w:val="Compact"/>
              <w:jc w:val="left"/>
            </w:pPr>
            <w:r>
              <w:t xml:space="preserve">Steering committee</w:t>
            </w:r>
          </w:p>
        </w:tc>
      </w:tr>
      <w:tr>
        <w:tc>
          <w:tcPr/>
          <w:p>
            <w:pPr>
              <w:pStyle w:val="Compact"/>
              <w:jc w:val="left"/>
            </w:pPr>
            <w:r>
              <w:rPr>
                <w:rStyle w:val="VerbatimChar"/>
              </w:rPr>
              <w:t xml:space="preserve">h2_trigger_value</w:t>
            </w:r>
          </w:p>
        </w:tc>
        <w:tc>
          <w:tcPr/>
          <w:p>
            <w:pPr>
              <w:pStyle w:val="Compact"/>
              <w:jc w:val="left"/>
            </w:pPr>
            <w:r>
              <w:t xml:space="preserve">Measurable string</w:t>
            </w:r>
          </w:p>
        </w:tc>
        <w:tc>
          <w:tcPr/>
          <w:p>
            <w:pPr>
              <w:pStyle w:val="Compact"/>
              <w:jc w:val="left"/>
            </w:pPr>
            <w:r>
              <w:t xml:space="preserve">H1 approval</w:t>
            </w:r>
          </w:p>
        </w:tc>
        <w:tc>
          <w:tcPr/>
          <w:p>
            <w:pPr>
              <w:pStyle w:val="Compact"/>
              <w:jc w:val="left"/>
            </w:pPr>
            <w:r>
              <w:t xml:space="preserve">Automated breach alerts</w:t>
            </w:r>
          </w:p>
        </w:tc>
      </w:tr>
      <w:tr>
        <w:tc>
          <w:tcPr/>
          <w:p>
            <w:pPr>
              <w:pStyle w:val="Compact"/>
              <w:jc w:val="left"/>
            </w:pPr>
            <w:r>
              <w:rPr>
                <w:rStyle w:val="VerbatimChar"/>
              </w:rPr>
              <w:t xml:space="preserve">classical_component</w:t>
            </w:r>
          </w:p>
        </w:tc>
        <w:tc>
          <w:tcPr/>
          <w:p>
            <w:pPr>
              <w:pStyle w:val="Compact"/>
              <w:jc w:val="left"/>
            </w:pPr>
            <w:r>
              <w:t xml:space="preserve">Algorithm identifier</w:t>
            </w:r>
          </w:p>
        </w:tc>
        <w:tc>
          <w:tcPr/>
          <w:p>
            <w:pPr>
              <w:pStyle w:val="Compact"/>
              <w:jc w:val="left"/>
            </w:pPr>
            <w:r>
              <w:t xml:space="preserve">H1 approval</w:t>
            </w:r>
          </w:p>
        </w:tc>
        <w:tc>
          <w:tcPr/>
          <w:p>
            <w:pPr>
              <w:pStyle w:val="Compact"/>
              <w:jc w:val="left"/>
            </w:pPr>
            <w:r>
              <w:t xml:space="preserve">Sunset tracking</w:t>
            </w:r>
          </w:p>
        </w:tc>
      </w:tr>
      <w:tr>
        <w:tc>
          <w:tcPr/>
          <w:p>
            <w:pPr>
              <w:pStyle w:val="Compact"/>
              <w:jc w:val="left"/>
            </w:pPr>
            <w:r>
              <w:rPr>
                <w:rStyle w:val="VerbatimChar"/>
              </w:rPr>
              <w:t xml:space="preserve">pqc_component</w:t>
            </w:r>
          </w:p>
        </w:tc>
        <w:tc>
          <w:tcPr/>
          <w:p>
            <w:pPr>
              <w:pStyle w:val="Compact"/>
              <w:jc w:val="left"/>
            </w:pPr>
            <w:r>
              <w:t xml:space="preserve">Algorithm identifier</w:t>
            </w:r>
          </w:p>
        </w:tc>
        <w:tc>
          <w:tcPr/>
          <w:p>
            <w:pPr>
              <w:pStyle w:val="Compact"/>
              <w:jc w:val="left"/>
            </w:pPr>
            <w:r>
              <w:t xml:space="preserve">H1 approval</w:t>
            </w:r>
          </w:p>
        </w:tc>
        <w:tc>
          <w:tcPr/>
          <w:p>
            <w:pPr>
              <w:pStyle w:val="Compact"/>
              <w:jc w:val="left"/>
            </w:pPr>
            <w:r>
              <w:t xml:space="preserve">Algorithm matrix</w:t>
            </w:r>
          </w:p>
        </w:tc>
      </w:tr>
      <w:tr>
        <w:tc>
          <w:tcPr/>
          <w:p>
            <w:pPr>
              <w:pStyle w:val="Compact"/>
              <w:jc w:val="left"/>
            </w:pPr>
            <w:r>
              <w:rPr>
                <w:rStyle w:val="VerbatimChar"/>
              </w:rPr>
              <w:t xml:space="preserve">hybrid_construction_ref</w:t>
            </w:r>
          </w:p>
        </w:tc>
        <w:tc>
          <w:tcPr/>
          <w:p>
            <w:pPr>
              <w:pStyle w:val="Compact"/>
              <w:jc w:val="left"/>
            </w:pPr>
            <w:r>
              <w:t xml:space="preserve">RFC / FIPS / vendor profile ID</w:t>
            </w:r>
          </w:p>
        </w:tc>
        <w:tc>
          <w:tcPr/>
          <w:p>
            <w:pPr>
              <w:pStyle w:val="Compact"/>
              <w:jc w:val="left"/>
            </w:pPr>
            <w:r>
              <w:t xml:space="preserve">H1 approval</w:t>
            </w:r>
          </w:p>
        </w:tc>
        <w:tc>
          <w:tcPr/>
          <w:p>
            <w:pPr>
              <w:pStyle w:val="Compact"/>
              <w:jc w:val="left"/>
            </w:pPr>
            <w:r>
              <w:t xml:space="preserve">Standards traceability</w:t>
            </w:r>
          </w:p>
        </w:tc>
      </w:tr>
      <w:tr>
        <w:tc>
          <w:tcPr/>
          <w:p>
            <w:pPr>
              <w:pStyle w:val="Compact"/>
              <w:jc w:val="left"/>
            </w:pPr>
            <w:r>
              <w:rPr>
                <w:rStyle w:val="VerbatimChar"/>
              </w:rPr>
              <w:t xml:space="preserve">exception_id</w:t>
            </w:r>
          </w:p>
        </w:tc>
        <w:tc>
          <w:tcPr/>
          <w:p>
            <w:pPr>
              <w:pStyle w:val="Compact"/>
              <w:jc w:val="left"/>
            </w:pPr>
            <w:r>
              <w:t xml:space="preserve">Risk acceptance link</w:t>
            </w:r>
          </w:p>
        </w:tc>
        <w:tc>
          <w:tcPr/>
          <w:p>
            <w:pPr>
              <w:pStyle w:val="Compact"/>
              <w:jc w:val="left"/>
            </w:pPr>
            <w:r>
              <w:t xml:space="preserve">If Tier C client or blocker</w:t>
            </w:r>
          </w:p>
        </w:tc>
        <w:tc>
          <w:tcPr/>
          <w:p>
            <w:pPr>
              <w:pStyle w:val="Compact"/>
              <w:jc w:val="left"/>
            </w:pPr>
            <w:r>
              <w:t xml:space="preserve">Assurance</w:t>
            </w:r>
          </w:p>
        </w:tc>
      </w:tr>
      <w:tr>
        <w:tc>
          <w:tcPr/>
          <w:p>
            <w:pPr>
              <w:pStyle w:val="Compact"/>
              <w:jc w:val="left"/>
            </w:pPr>
            <w:r>
              <w:rPr>
                <w:rStyle w:val="VerbatimChar"/>
              </w:rPr>
              <w:t xml:space="preserve">hybrid_negotiation_rate</w:t>
            </w:r>
          </w:p>
        </w:tc>
        <w:tc>
          <w:tcPr/>
          <w:p>
            <w:pPr>
              <w:pStyle w:val="Compact"/>
              <w:jc w:val="left"/>
            </w:pPr>
            <w:r>
              <w:t xml:space="preserve">Percentage (telemetry)</w:t>
            </w:r>
          </w:p>
        </w:tc>
        <w:tc>
          <w:tcPr/>
          <w:p>
            <w:pPr>
              <w:pStyle w:val="Compact"/>
              <w:jc w:val="left"/>
            </w:pPr>
            <w:r>
              <w:t xml:space="preserve">Weekly refresh</w:t>
            </w:r>
          </w:p>
        </w:tc>
        <w:tc>
          <w:tcPr/>
          <w:p>
            <w:pPr>
              <w:pStyle w:val="Compact"/>
              <w:jc w:val="left"/>
            </w:pPr>
            <w:r>
              <w:t xml:space="preserve">Ecosystem gate</w:t>
            </w:r>
          </w:p>
        </w:tc>
      </w:tr>
      <w:tr>
        <w:tc>
          <w:tcPr/>
          <w:p>
            <w:pPr>
              <w:pStyle w:val="Compact"/>
              <w:jc w:val="left"/>
            </w:pPr>
            <w:r>
              <w:rPr>
                <w:rStyle w:val="VerbatimChar"/>
              </w:rPr>
              <w:t xml:space="preserve">h1_approved_date</w:t>
            </w:r>
          </w:p>
        </w:tc>
        <w:tc>
          <w:tcPr/>
          <w:p>
            <w:pPr>
              <w:pStyle w:val="Compact"/>
              <w:jc w:val="left"/>
            </w:pPr>
            <w:r>
              <w:t xml:space="preserve">ISO date</w:t>
            </w:r>
          </w:p>
        </w:tc>
        <w:tc>
          <w:tcPr/>
          <w:p>
            <w:pPr>
              <w:pStyle w:val="Compact"/>
              <w:jc w:val="left"/>
            </w:pPr>
            <w:r>
              <w:t xml:space="preserve">Change approval</w:t>
            </w:r>
          </w:p>
        </w:tc>
        <w:tc>
          <w:tcPr/>
          <w:p>
            <w:pPr>
              <w:pStyle w:val="Compact"/>
              <w:jc w:val="left"/>
            </w:pPr>
            <w:r>
              <w:t xml:space="preserve">Ageing report</w:t>
            </w:r>
          </w:p>
        </w:tc>
      </w:tr>
      <w:tr>
        <w:tc>
          <w:tcPr/>
          <w:p>
            <w:pPr>
              <w:pStyle w:val="Compact"/>
              <w:jc w:val="left"/>
            </w:pPr>
            <w:r>
              <w:rPr>
                <w:rStyle w:val="VerbatimChar"/>
              </w:rPr>
              <w:t xml:space="preserve">h2_transition_date</w:t>
            </w:r>
          </w:p>
        </w:tc>
        <w:tc>
          <w:tcPr/>
          <w:p>
            <w:pPr>
              <w:pStyle w:val="Compact"/>
              <w:jc w:val="left"/>
            </w:pPr>
            <w:r>
              <w:t xml:space="preserve">ISO date</w:t>
            </w:r>
          </w:p>
        </w:tc>
        <w:tc>
          <w:tcPr/>
          <w:p>
            <w:pPr>
              <w:pStyle w:val="Compact"/>
              <w:jc w:val="left"/>
            </w:pPr>
            <w:r>
              <w:t xml:space="preserve">H2 entry</w:t>
            </w:r>
          </w:p>
        </w:tc>
        <w:tc>
          <w:tcPr/>
          <w:p>
            <w:pPr>
              <w:pStyle w:val="Compact"/>
              <w:jc w:val="left"/>
            </w:pPr>
            <w:r>
              <w:t xml:space="preserve">Compliance evidence</w:t>
            </w:r>
          </w:p>
        </w:tc>
      </w:tr>
      <w:tr>
        <w:tc>
          <w:tcPr/>
          <w:p>
            <w:pPr>
              <w:pStyle w:val="Compact"/>
              <w:jc w:val="left"/>
            </w:pPr>
            <w:r>
              <w:rPr>
                <w:rStyle w:val="VerbatimChar"/>
              </w:rPr>
              <w:t xml:space="preserve">cdg_blocking_ref</w:t>
            </w:r>
          </w:p>
        </w:tc>
        <w:tc>
          <w:tcPr/>
          <w:p>
            <w:pPr>
              <w:pStyle w:val="Compact"/>
              <w:jc w:val="left"/>
            </w:pPr>
            <w:r>
              <w:t xml:space="preserve">Node ID</w:t>
            </w:r>
          </w:p>
        </w:tc>
        <w:tc>
          <w:tcPr/>
          <w:p>
            <w:pPr>
              <w:pStyle w:val="Compact"/>
              <w:jc w:val="left"/>
            </w:pPr>
            <w:r>
              <w:t xml:space="preserve">If blocked</w:t>
            </w:r>
          </w:p>
        </w:tc>
        <w:tc>
          <w:tcPr/>
          <w:p>
            <w:pPr>
              <w:pStyle w:val="Compact"/>
              <w:jc w:val="left"/>
            </w:pPr>
            <w:r>
              <w:t xml:space="preserve">Wave planner</w:t>
            </w:r>
          </w:p>
        </w:tc>
      </w:tr>
    </w:tbl>
    <w:p>
      <w:pPr>
        <w:pStyle w:val="BodyText"/>
      </w:pPr>
      <w:r>
        <w:t xml:space="preserve">GlobalSync automated pipeline rules:</w:t>
      </w:r>
    </w:p>
    <w:p>
      <w:pPr>
        <w:pStyle w:val="SourceCode"/>
      </w:pPr>
      <w:r>
        <w:rPr>
          <w:rStyle w:val="VerbatimChar"/>
        </w:rPr>
        <w:t xml:space="preserve">IF deployment_type == 'hybrid' AND h2_trigger_value IS NULL:</w:t>
      </w:r>
      <w:r>
        <w:br/>
      </w:r>
      <w:r>
        <w:rPr>
          <w:rStyle w:val="VerbatimChar"/>
        </w:rPr>
        <w:t xml:space="preserve">    REJECT change ticket</w:t>
      </w:r>
      <w:r>
        <w:br/>
      </w:r>
      <w:r>
        <w:rPr>
          <w:rStyle w:val="VerbatimChar"/>
        </w:rPr>
        <w:t xml:space="preserve">IF hlm_phase == 'H1' AND hybrid_negotiation_rate &lt; h2_trigger_threshold:</w:t>
      </w:r>
      <w:r>
        <w:br/>
      </w:r>
      <w:r>
        <w:rPr>
          <w:rStyle w:val="VerbatimChar"/>
        </w:rPr>
        <w:t xml:space="preserve">    FLAG 'trigger_not_met'  # informational until trigger date</w:t>
      </w:r>
      <w:r>
        <w:br/>
      </w:r>
      <w:r>
        <w:rPr>
          <w:rStyle w:val="VerbatimChar"/>
        </w:rPr>
        <w:t xml:space="preserve">IF hlm_phase == 'H1' AND today &gt; h2_trigger_date AND h2_transition_date IS NULL:</w:t>
      </w:r>
      <w:r>
        <w:br/>
      </w:r>
      <w:r>
        <w:rPr>
          <w:rStyle w:val="VerbatimChar"/>
        </w:rPr>
        <w:t xml:space="preserve">    ESCALATE steering_committee</w:t>
      </w:r>
    </w:p>
    <w:p>
      <w:pPr>
        <w:pStyle w:val="FirstParagraph"/>
      </w:pPr>
      <w:r>
        <w:t xml:space="preserve">Meridian integrated</w:t>
      </w:r>
      <w:r>
        <w:t xml:space="preserve"> </w:t>
      </w:r>
      <w:r>
        <w:rPr>
          <w:rStyle w:val="VerbatimChar"/>
        </w:rPr>
        <w:t xml:space="preserve">hlm_phase</w:t>
      </w:r>
      <w:r>
        <w:t xml:space="preserve"> </w:t>
      </w:r>
      <w:r>
        <w:t xml:space="preserve">distribution into the board dashboard introduced in Chapter 1 — replacing misleading</w:t>
      </w:r>
      <w:r>
        <w:t xml:space="preserve"> </w:t>
      </w:r>
      <w:r>
        <w:t xml:space="preserve">“</w:t>
      </w:r>
      <w:r>
        <w:t xml:space="preserve">PQC pilot complete</w:t>
      </w:r>
      <w:r>
        <w:t xml:space="preserve">”</w:t>
      </w:r>
      <w:r>
        <w:t xml:space="preserve"> </w:t>
      </w:r>
      <w:r>
        <w:t xml:space="preserve">counts with percentage of estate in H1/H2/H3 by TRADE tier.</w:t>
      </w:r>
    </w:p>
    <w:p>
      <w:r>
        <w:pict>
          <v:rect style="width:0;height:1.5pt" o:hralign="center" o:hrstd="t" o:hr="t"/>
        </w:pict>
      </w:r>
    </w:p>
    <w:bookmarkEnd w:id="53"/>
    <w:bookmarkStart w:id="55" w:name="cdg-blocking-waves-and-hybrid-sequencing"/>
    <w:p>
      <w:pPr>
        <w:pStyle w:val="Heading2"/>
      </w:pPr>
      <w:r>
        <w:t xml:space="preserve">11.11 CDG Blocking, Waves, and Hybrid Sequencing</w:t>
      </w:r>
    </w:p>
    <w:p>
      <w:pPr>
        <w:pStyle w:val="FirstParagraph"/>
      </w:pPr>
      <w:r>
        <w:t xml:space="preserve">Hybrid patterns do not deploy in CBOM sort order. Chapter 9 wave plans sequence work through</w:t>
      </w:r>
      <w:r>
        <w:t xml:space="preserve"> </w:t>
      </w:r>
      <w:r>
        <w:rPr>
          <w:bCs/>
          <w:b/>
        </w:rPr>
        <w:t xml:space="preserve">blocking nodes</w:t>
      </w:r>
      <w:r>
        <w:t xml:space="preserve"> </w:t>
      </w:r>
      <w:r>
        <w:t xml:space="preserve">(Chapter 8). Hybrid deployment follows wave membership and CDG fan-in analysis.</w:t>
      </w:r>
    </w:p>
    <w:bookmarkStart w:id="54" w:name="sequencing-rules"/>
    <w:p>
      <w:pPr>
        <w:pStyle w:val="Heading3"/>
      </w:pPr>
      <w:r>
        <w:t xml:space="preserve">Sequencing rules</w:t>
      </w:r>
    </w:p>
    <w:p>
      <w:pPr>
        <w:numPr>
          <w:ilvl w:val="0"/>
          <w:numId w:val="1010"/>
        </w:numPr>
        <w:pStyle w:val="Compact"/>
      </w:pPr>
      <w:r>
        <w:rPr>
          <w:bCs/>
          <w:b/>
        </w:rPr>
        <w:t xml:space="preserve">Wave 0</w:t>
      </w:r>
      <w:r>
        <w:t xml:space="preserve"> </w:t>
      </w:r>
      <w:r>
        <w:t xml:space="preserve">resolves blocking nodes — partner mTLS policy, root CA ML-DSA profiles, HSM firmware signing — before wide H1 TLS rollout.</w:t>
      </w:r>
    </w:p>
    <w:p>
      <w:pPr>
        <w:numPr>
          <w:ilvl w:val="0"/>
          <w:numId w:val="1010"/>
        </w:numPr>
        <w:pStyle w:val="Compact"/>
      </w:pPr>
      <w:r>
        <w:rPr>
          <w:bCs/>
          <w:b/>
        </w:rPr>
        <w:t xml:space="preserve">Wave 1</w:t>
      </w:r>
      <w:r>
        <w:t xml:space="preserve"> </w:t>
      </w:r>
      <w:r>
        <w:t xml:space="preserve">deploys H1 on TES 5 systems without unresolved upstream</w:t>
      </w:r>
      <w:r>
        <w:t xml:space="preserve"> </w:t>
      </w:r>
      <w:r>
        <w:rPr>
          <w:rStyle w:val="VerbatimChar"/>
        </w:rPr>
        <w:t xml:space="preserve">trusts</w:t>
      </w:r>
      <w:r>
        <w:t xml:space="preserve"> </w:t>
      </w:r>
      <w:r>
        <w:t xml:space="preserve">or</w:t>
      </w:r>
      <w:r>
        <w:t xml:space="preserve"> </w:t>
      </w:r>
      <w:r>
        <w:rPr>
          <w:rStyle w:val="VerbatimChar"/>
        </w:rPr>
        <w:t xml:space="preserve">signs</w:t>
      </w:r>
      <w:r>
        <w:t xml:space="preserve"> </w:t>
      </w:r>
      <w:r>
        <w:t xml:space="preserve">edges to classical-only anchors.</w:t>
      </w:r>
    </w:p>
    <w:p>
      <w:pPr>
        <w:numPr>
          <w:ilvl w:val="0"/>
          <w:numId w:val="1010"/>
        </w:numPr>
        <w:pStyle w:val="Compact"/>
      </w:pPr>
      <w:r>
        <w:rPr>
          <w:bCs/>
          <w:b/>
        </w:rPr>
        <w:t xml:space="preserve">Parallel tracks</w:t>
      </w:r>
      <w:r>
        <w:t xml:space="preserve"> </w:t>
      </w:r>
      <w:r>
        <w:t xml:space="preserve">permitted when CDG shows no shared blocking node — Apex NSS vs corporate IT pattern.</w:t>
      </w:r>
    </w:p>
    <w:p>
      <w:pPr>
        <w:numPr>
          <w:ilvl w:val="0"/>
          <w:numId w:val="1010"/>
        </w:numPr>
        <w:pStyle w:val="Compact"/>
      </w:pPr>
      <w:r>
        <w:rPr>
          <w:bCs/>
          <w:b/>
        </w:rPr>
        <w:t xml:space="preserve">Downstream cascade:</w:t>
      </w:r>
      <w:r>
        <w:t xml:space="preserve"> </w:t>
      </w:r>
      <w:r>
        <w:t xml:space="preserve">when a blocking node reaches H3, dependent systems inherit accelerated H2 eligibility — Meridian payment HSM chain pattern (Chapter 5 §5.9).</w:t>
      </w:r>
    </w:p>
    <w:p>
      <w:pPr>
        <w:pStyle w:val="FirstParagraph"/>
      </w:pPr>
      <w:r>
        <w:rPr>
          <w:bCs/>
          <w:b/>
        </w:rPr>
        <w:t xml:space="preserve">Figure 11.3 — CDG Blocking and Hybrid Rollout Sequence</w:t>
      </w:r>
    </w:p>
    <w:p>
      <w:pPr>
        <w:pStyle w:val="SourceCode"/>
      </w:pPr>
      <w:r>
        <w:rPr>
          <w:rStyle w:val="VerbatimChar"/>
        </w:rPr>
        <w:t xml:space="preserve">Wave 0 (blocking)          Wave 1 (H1 deploy)         Wave 2 (H2 transition)</w:t>
      </w:r>
      <w:r>
        <w:br/>
      </w:r>
      <w:r>
        <w:rPr>
          <w:rStyle w:val="VerbatimChar"/>
        </w:rPr>
        <w:t xml:space="preserve">-----------------          --------------------         ---------------------</w:t>
      </w:r>
      <w:r>
        <w:br/>
      </w:r>
      <w:r>
        <w:rPr>
          <w:rStyle w:val="VerbatimChar"/>
        </w:rPr>
        <w:t xml:space="preserve">[Root CA ML-DSA] ---------&gt; [API TLS hybrid] ----------&gt; [PQC-only API tier]</w:t>
      </w:r>
      <w:r>
        <w:br/>
      </w:r>
      <w:r>
        <w:rPr>
          <w:rStyle w:val="VerbatimChar"/>
        </w:rPr>
        <w:t xml:space="preserve">       |                          ^</w:t>
      </w:r>
      <w:r>
        <w:br/>
      </w:r>
      <w:r>
        <w:rPr>
          <w:rStyle w:val="VerbatimChar"/>
        </w:rPr>
        <w:t xml:space="preserve">       | signs                    | terminates</w:t>
      </w:r>
      <w:r>
        <w:br/>
      </w:r>
      <w:r>
        <w:rPr>
          <w:rStyle w:val="VerbatimChar"/>
        </w:rPr>
        <w:t xml:space="preserve">[Partner mTLS policy] ------+-----+</w:t>
      </w:r>
      <w:r>
        <w:br/>
      </w:r>
      <w:r>
        <w:rPr>
          <w:rStyle w:val="VerbatimChar"/>
        </w:rPr>
        <w:t xml:space="preserve">       |</w:t>
      </w:r>
      <w:r>
        <w:br/>
      </w:r>
      <w:r>
        <w:rPr>
          <w:rStyle w:val="VerbatimChar"/>
        </w:rPr>
        <w:t xml:space="preserve">       +---&gt; [200 microservice certs] --- (held until policy H1)</w:t>
      </w:r>
    </w:p>
    <w:p>
      <w:pPr>
        <w:pStyle w:val="FirstParagraph"/>
      </w:pPr>
      <w:r>
        <w:t xml:space="preserve">Marcus Chen’s GlobalSync team held 200 microservice migrations in</w:t>
      </w:r>
      <w:r>
        <w:t xml:space="preserve"> </w:t>
      </w:r>
      <w:r>
        <w:rPr>
          <w:bCs/>
          <w:b/>
        </w:rPr>
        <w:t xml:space="preserve">“</w:t>
      </w:r>
      <w:r>
        <w:rPr>
          <w:bCs/>
          <w:b/>
        </w:rPr>
        <w:t xml:space="preserve">engineering complete / production blocked</w:t>
      </w:r>
      <w:r>
        <w:rPr>
          <w:bCs/>
          <w:b/>
        </w:rPr>
        <w:t xml:space="preserve">”</w:t>
      </w:r>
      <w:r>
        <w:t xml:space="preserve"> </w:t>
      </w:r>
      <w:r>
        <w:t xml:space="preserve">state for nine months — correct programme posture when CDG blocking node</w:t>
      </w:r>
      <w:r>
        <w:t xml:space="preserve"> </w:t>
      </w:r>
      <w:r>
        <w:rPr>
          <w:rStyle w:val="VerbatimChar"/>
        </w:rPr>
        <w:t xml:space="preserve">partner-mtls-policy-v3</w:t>
      </w:r>
      <w:r>
        <w:t xml:space="preserve"> </w:t>
      </w:r>
      <w:r>
        <w:t xml:space="preserve">remained classical-only.</w:t>
      </w:r>
    </w:p>
    <w:p>
      <w:r>
        <w:pict>
          <v:rect style="width:0;height:1.5pt" o:hralign="center" o:hrstd="t" o:hr="t"/>
        </w:pict>
      </w:r>
    </w:p>
    <w:bookmarkEnd w:id="54"/>
    <w:bookmarkEnd w:id="55"/>
    <w:bookmarkStart w:id="62" w:name="case-study-meridian-hybrid-tls-pilot"/>
    <w:p>
      <w:pPr>
        <w:pStyle w:val="Heading2"/>
      </w:pPr>
      <w:r>
        <w:t xml:space="preserve">11.12 Case Study: Meridian Hybrid TLS Pilot</w:t>
      </w:r>
    </w:p>
    <w:p>
      <w:pPr>
        <w:pStyle w:val="FirstParagraph"/>
      </w:pPr>
      <w:r>
        <w:t xml:space="preserve">Meridian’s pilot scope:</w:t>
      </w:r>
      <w:r>
        <w:t xml:space="preserve"> </w:t>
      </w:r>
      <w:r>
        <w:rPr>
          <w:bCs/>
          <w:b/>
        </w:rPr>
        <w:t xml:space="preserve">retail mobile API</w:t>
      </w:r>
      <w:r>
        <w:t xml:space="preserve"> </w:t>
      </w:r>
      <w:r>
        <w:t xml:space="preserve">(</w:t>
      </w:r>
      <w:r>
        <w:rPr>
          <w:rStyle w:val="VerbatimChar"/>
        </w:rPr>
        <w:t xml:space="preserve">api-retail.meridian.example</w:t>
      </w:r>
      <w:r>
        <w:t xml:space="preserve">),</w:t>
      </w:r>
      <w:r>
        <w:t xml:space="preserve"> </w:t>
      </w:r>
      <w:r>
        <w:rPr>
          <w:bCs/>
          <w:b/>
        </w:rPr>
        <w:t xml:space="preserve">4.2 million</w:t>
      </w:r>
      <w:r>
        <w:t xml:space="preserve"> </w:t>
      </w:r>
      <w:r>
        <w:t xml:space="preserve">daily handshakes, DORA-regulated PII in transit, TRADE MPI 4.1, CDG fan-in to payment authorisation service.</w:t>
      </w:r>
    </w:p>
    <w:bookmarkStart w:id="56" w:name="X494c9d41dbb4e8bc6ca0d5fabb0a3526fdd66f6"/>
    <w:p>
      <w:pPr>
        <w:pStyle w:val="Heading3"/>
      </w:pPr>
      <w:r>
        <w:t xml:space="preserve">Phase 1 — Measurement (30 days production traffic)</w:t>
      </w:r>
    </w:p>
    <w:tbl>
      <w:tblPr>
        <w:tblStyle w:val="Table"/>
        <w:tblW w:type="pct" w:w="5000"/>
        <w:tblLook w:firstRow="1" w:lastRow="0" w:firstColumn="0" w:lastColumn="0" w:noHBand="0" w:noVBand="0" w:val="0020"/>
        <w:jc w:val="start"/>
      </w:tblPr>
      <w:tblGrid>
        <w:gridCol w:w="1255"/>
        <w:gridCol w:w="1159"/>
        <w:gridCol w:w="1931"/>
        <w:gridCol w:w="1641"/>
        <w:gridCol w:w="1931"/>
      </w:tblGrid>
      <w:tr>
        <w:trPr>
          <w:tblHeader w:val="true"/>
        </w:trPr>
        <w:tc>
          <w:tcPr/>
          <w:p>
            <w:pPr>
              <w:pStyle w:val="Compact"/>
              <w:jc w:val="left"/>
            </w:pPr>
            <w:r>
              <w:t xml:space="preserve">Client tier</w:t>
            </w:r>
          </w:p>
        </w:tc>
        <w:tc>
          <w:tcPr/>
          <w:p>
            <w:pPr>
              <w:pStyle w:val="Compact"/>
              <w:jc w:val="left"/>
            </w:pPr>
            <w:r>
              <w:t xml:space="preserve">Definition</w:t>
            </w:r>
          </w:p>
        </w:tc>
        <w:tc>
          <w:tcPr/>
          <w:p>
            <w:pPr>
              <w:pStyle w:val="Compact"/>
              <w:jc w:val="left"/>
            </w:pPr>
            <w:r>
              <w:t xml:space="preserve">Unique fingerprints</w:t>
            </w:r>
          </w:p>
        </w:tc>
        <w:tc>
          <w:tcPr/>
          <w:p>
            <w:pPr>
              <w:pStyle w:val="Compact"/>
              <w:jc w:val="left"/>
            </w:pPr>
            <w:r>
              <w:t xml:space="preserve">Handshake share</w:t>
            </w:r>
          </w:p>
        </w:tc>
        <w:tc>
          <w:tcPr/>
          <w:p>
            <w:pPr>
              <w:pStyle w:val="Compact"/>
              <w:jc w:val="left"/>
            </w:pPr>
            <w:r>
              <w:t xml:space="preserve">Programme action</w:t>
            </w:r>
          </w:p>
        </w:tc>
      </w:tr>
      <w:tr>
        <w:tc>
          <w:tcPr/>
          <w:p>
            <w:pPr>
              <w:pStyle w:val="Compact"/>
              <w:jc w:val="left"/>
            </w:pPr>
            <w:r>
              <w:t xml:space="preserve">A — PQC-capable</w:t>
            </w:r>
          </w:p>
        </w:tc>
        <w:tc>
          <w:tcPr/>
          <w:p>
            <w:pPr>
              <w:pStyle w:val="Compact"/>
              <w:jc w:val="left"/>
            </w:pPr>
            <w:r>
              <w:t xml:space="preserve">Negotiates X25519MLKEM768</w:t>
            </w:r>
          </w:p>
        </w:tc>
        <w:tc>
          <w:tcPr/>
          <w:p>
            <w:pPr>
              <w:pStyle w:val="Compact"/>
              <w:jc w:val="left"/>
            </w:pPr>
            <w:r>
              <w:t xml:space="preserve">847</w:t>
            </w:r>
          </w:p>
        </w:tc>
        <w:tc>
          <w:tcPr/>
          <w:p>
            <w:pPr>
              <w:pStyle w:val="Compact"/>
              <w:jc w:val="left"/>
            </w:pPr>
            <w:r>
              <w:t xml:space="preserve">88.7%</w:t>
            </w:r>
          </w:p>
        </w:tc>
        <w:tc>
          <w:tcPr/>
          <w:p>
            <w:pPr>
              <w:pStyle w:val="Compact"/>
              <w:jc w:val="left"/>
            </w:pPr>
            <w:r>
              <w:t xml:space="preserve">Include in H1 endpoint</w:t>
            </w:r>
          </w:p>
        </w:tc>
      </w:tr>
      <w:tr>
        <w:tc>
          <w:tcPr/>
          <w:p>
            <w:pPr>
              <w:pStyle w:val="Compact"/>
              <w:jc w:val="left"/>
            </w:pPr>
            <w:r>
              <w:t xml:space="preserve">B — Classical, updatable</w:t>
            </w:r>
          </w:p>
        </w:tc>
        <w:tc>
          <w:tcPr/>
          <w:p>
            <w:pPr>
              <w:pStyle w:val="Compact"/>
              <w:jc w:val="left"/>
            </w:pPr>
            <w:r>
              <w:t xml:space="preserve">Legacy app version; patch available</w:t>
            </w:r>
          </w:p>
        </w:tc>
        <w:tc>
          <w:tcPr/>
          <w:p>
            <w:pPr>
              <w:pStyle w:val="Compact"/>
              <w:jc w:val="left"/>
            </w:pPr>
            <w:r>
              <w:t xml:space="preserve">23</w:t>
            </w:r>
          </w:p>
        </w:tc>
        <w:tc>
          <w:tcPr/>
          <w:p>
            <w:pPr>
              <w:pStyle w:val="Compact"/>
              <w:jc w:val="left"/>
            </w:pPr>
            <w:r>
              <w:t xml:space="preserve">7.2%</w:t>
            </w:r>
          </w:p>
        </w:tc>
        <w:tc>
          <w:tcPr/>
          <w:p>
            <w:pPr>
              <w:pStyle w:val="Compact"/>
              <w:jc w:val="left"/>
            </w:pPr>
            <w:r>
              <w:t xml:space="preserve">Tenant notification; 90-day sunset</w:t>
            </w:r>
          </w:p>
        </w:tc>
      </w:tr>
      <w:tr>
        <w:tc>
          <w:tcPr/>
          <w:p>
            <w:pPr>
              <w:pStyle w:val="Compact"/>
              <w:jc w:val="left"/>
            </w:pPr>
            <w:r>
              <w:t xml:space="preserve">C — Classical, fixed</w:t>
            </w:r>
          </w:p>
        </w:tc>
        <w:tc>
          <w:tcPr/>
          <w:p>
            <w:pPr>
              <w:pStyle w:val="Compact"/>
              <w:jc w:val="left"/>
            </w:pPr>
            <w:r>
              <w:t xml:space="preserve">Embedded integration; no patch</w:t>
            </w:r>
          </w:p>
        </w:tc>
        <w:tc>
          <w:tcPr/>
          <w:p>
            <w:pPr>
              <w:pStyle w:val="Compact"/>
              <w:jc w:val="left"/>
            </w:pPr>
            <w:r>
              <w:t xml:space="preserve">8</w:t>
            </w:r>
          </w:p>
        </w:tc>
        <w:tc>
          <w:tcPr/>
          <w:p>
            <w:pPr>
              <w:pStyle w:val="Compact"/>
              <w:jc w:val="left"/>
            </w:pPr>
            <w:r>
              <w:t xml:space="preserve">4.1%</w:t>
            </w:r>
          </w:p>
        </w:tc>
        <w:tc>
          <w:tcPr/>
          <w:p>
            <w:pPr>
              <w:pStyle w:val="Compact"/>
              <w:jc w:val="left"/>
            </w:pPr>
            <w:r>
              <w:t xml:space="preserve">Risk acceptance; parallel endpoint</w:t>
            </w:r>
          </w:p>
        </w:tc>
      </w:tr>
      <w:tr>
        <w:tc>
          <w:tcPr/>
          <w:p>
            <w:pPr>
              <w:pStyle w:val="Compact"/>
              <w:jc w:val="left"/>
            </w:pPr>
            <w:r>
              <w:t xml:space="preserve">D — Unknown</w:t>
            </w:r>
          </w:p>
        </w:tc>
        <w:tc>
          <w:tcPr/>
          <w:p>
            <w:pPr>
              <w:pStyle w:val="Compact"/>
              <w:jc w:val="left"/>
            </w:pPr>
            <w:r>
              <w:t xml:space="preserve">Insufficient logging</w:t>
            </w:r>
          </w:p>
        </w:tc>
        <w:tc>
          <w:tcPr/>
          <w:p>
            <w:pPr>
              <w:pStyle w:val="Compact"/>
              <w:jc w:val="left"/>
            </w:pPr>
            <w:r>
              <w:t xml:space="preserve">4</w:t>
            </w:r>
          </w:p>
        </w:tc>
        <w:tc>
          <w:tcPr/>
          <w:p>
            <w:pPr>
              <w:pStyle w:val="Compact"/>
              <w:jc w:val="left"/>
            </w:pPr>
            <w:r>
              <w:t xml:space="preserve">&lt;0.1%</w:t>
            </w:r>
          </w:p>
        </w:tc>
        <w:tc>
          <w:tcPr/>
          <w:p>
            <w:pPr>
              <w:pStyle w:val="Compact"/>
              <w:jc w:val="left"/>
            </w:pPr>
            <w:r>
              <w:t xml:space="preserve">Instrument; recategorise</w:t>
            </w:r>
          </w:p>
        </w:tc>
      </w:tr>
    </w:tbl>
    <w:p>
      <w:pPr>
        <w:pStyle w:val="BodyText"/>
      </w:pPr>
      <w:r>
        <w:t xml:space="preserve">Elena Vasquez refused to average tiers —</w:t>
      </w:r>
      <w:r>
        <w:t xml:space="preserve"> </w:t>
      </w:r>
      <w:r>
        <w:rPr>
          <w:bCs/>
          <w:b/>
        </w:rPr>
        <w:t xml:space="preserve">4.1% fixed clients</w:t>
      </w:r>
      <w:r>
        <w:t xml:space="preserve"> </w:t>
      </w:r>
      <w:r>
        <w:t xml:space="preserve">on payment-adjacent workflows required compensating controls, not silent classical fallback on the primary endpoint.</w:t>
      </w:r>
    </w:p>
    <w:bookmarkEnd w:id="56"/>
    <w:bookmarkStart w:id="57" w:name="phase-2-tiered-endpoint-architecture"/>
    <w:p>
      <w:pPr>
        <w:pStyle w:val="Heading3"/>
      </w:pPr>
      <w:r>
        <w:t xml:space="preserve">Phase 2 — Tiered endpoint architecture</w:t>
      </w:r>
    </w:p>
    <w:tbl>
      <w:tblPr>
        <w:tblStyle w:val="Table"/>
        <w:tblW w:type="pct" w:w="5000"/>
        <w:tblLook w:firstRow="1" w:lastRow="0" w:firstColumn="0" w:lastColumn="0" w:noHBand="0" w:noVBand="0" w:val="0020"/>
        <w:jc w:val="start"/>
      </w:tblPr>
      <w:tblGrid>
        <w:gridCol w:w="1841"/>
        <w:gridCol w:w="2394"/>
        <w:gridCol w:w="1657"/>
        <w:gridCol w:w="2026"/>
      </w:tblGrid>
      <w:tr>
        <w:trPr>
          <w:tblHeader w:val="true"/>
        </w:trPr>
        <w:tc>
          <w:tcPr/>
          <w:p>
            <w:pPr>
              <w:pStyle w:val="Compact"/>
              <w:jc w:val="left"/>
            </w:pPr>
            <w:r>
              <w:t xml:space="preserve">Endpoint</w:t>
            </w:r>
          </w:p>
        </w:tc>
        <w:tc>
          <w:tcPr/>
          <w:p>
            <w:pPr>
              <w:pStyle w:val="Compact"/>
              <w:jc w:val="left"/>
            </w:pPr>
            <w:r>
              <w:t xml:space="preserve">Construction</w:t>
            </w:r>
          </w:p>
        </w:tc>
        <w:tc>
          <w:tcPr/>
          <w:p>
            <w:pPr>
              <w:pStyle w:val="Compact"/>
              <w:jc w:val="left"/>
            </w:pPr>
            <w:r>
              <w:t xml:space="preserve">Clients</w:t>
            </w:r>
          </w:p>
        </w:tc>
        <w:tc>
          <w:tcPr/>
          <w:p>
            <w:pPr>
              <w:pStyle w:val="Compact"/>
              <w:jc w:val="left"/>
            </w:pPr>
            <w:r>
              <w:t xml:space="preserve">HLM phase</w:t>
            </w:r>
          </w:p>
        </w:tc>
      </w:tr>
      <w:tr>
        <w:tc>
          <w:tcPr/>
          <w:p>
            <w:pPr>
              <w:pStyle w:val="Compact"/>
              <w:jc w:val="left"/>
            </w:pPr>
            <w:r>
              <w:rPr>
                <w:rStyle w:val="VerbatimChar"/>
              </w:rPr>
              <w:t xml:space="preserve">api-retail.meridian.example</w:t>
            </w:r>
          </w:p>
        </w:tc>
        <w:tc>
          <w:tcPr/>
          <w:p>
            <w:pPr>
              <w:pStyle w:val="Compact"/>
              <w:jc w:val="left"/>
            </w:pPr>
            <w:r>
              <w:t xml:space="preserve">Hybrid TLS H1</w:t>
            </w:r>
          </w:p>
        </w:tc>
        <w:tc>
          <w:tcPr/>
          <w:p>
            <w:pPr>
              <w:pStyle w:val="Compact"/>
              <w:jc w:val="left"/>
            </w:pPr>
            <w:r>
              <w:t xml:space="preserve">Tier A + B (post-patch)</w:t>
            </w:r>
          </w:p>
        </w:tc>
        <w:tc>
          <w:tcPr/>
          <w:p>
            <w:pPr>
              <w:pStyle w:val="Compact"/>
              <w:jc w:val="left"/>
            </w:pPr>
            <w:r>
              <w:t xml:space="preserve">H1</w:t>
            </w:r>
          </w:p>
        </w:tc>
      </w:tr>
      <w:tr>
        <w:tc>
          <w:tcPr/>
          <w:p>
            <w:pPr>
              <w:pStyle w:val="Compact"/>
              <w:jc w:val="left"/>
            </w:pPr>
            <w:r>
              <w:rPr>
                <w:rStyle w:val="VerbatimChar"/>
              </w:rPr>
              <w:t xml:space="preserve">api-retail-classical.meridian.example</w:t>
            </w:r>
          </w:p>
        </w:tc>
        <w:tc>
          <w:tcPr/>
          <w:p>
            <w:pPr>
              <w:pStyle w:val="Compact"/>
              <w:jc w:val="left"/>
            </w:pPr>
            <w:r>
              <w:t xml:space="preserve">Classical-only (temporary)</w:t>
            </w:r>
          </w:p>
        </w:tc>
        <w:tc>
          <w:tcPr/>
          <w:p>
            <w:pPr>
              <w:pStyle w:val="Compact"/>
              <w:jc w:val="left"/>
            </w:pPr>
            <w:r>
              <w:t xml:space="preserve">Tier C</w:t>
            </w:r>
          </w:p>
        </w:tc>
        <w:tc>
          <w:tcPr/>
          <w:p>
            <w:pPr>
              <w:pStyle w:val="Compact"/>
              <w:jc w:val="left"/>
            </w:pPr>
            <w:r>
              <w:t xml:space="preserve">Exception-governed</w:t>
            </w:r>
          </w:p>
        </w:tc>
      </w:tr>
      <w:tr>
        <w:tc>
          <w:tcPr/>
          <w:p>
            <w:pPr>
              <w:pStyle w:val="Compact"/>
              <w:jc w:val="left"/>
            </w:pPr>
            <w:r>
              <w:rPr>
                <w:rStyle w:val="VerbatimChar"/>
              </w:rPr>
              <w:t xml:space="preserve">api-retail-pqc.meridian.example</w:t>
            </w:r>
          </w:p>
        </w:tc>
        <w:tc>
          <w:tcPr/>
          <w:p>
            <w:pPr>
              <w:pStyle w:val="Compact"/>
              <w:jc w:val="left"/>
            </w:pPr>
            <w:r>
              <w:t xml:space="preserve">PQC-only (pilot)</w:t>
            </w:r>
          </w:p>
        </w:tc>
        <w:tc>
          <w:tcPr/>
          <w:p>
            <w:pPr>
              <w:pStyle w:val="Compact"/>
              <w:jc w:val="left"/>
            </w:pPr>
            <w:r>
              <w:t xml:space="preserve">Internal soak tests</w:t>
            </w:r>
          </w:p>
        </w:tc>
        <w:tc>
          <w:tcPr/>
          <w:p>
            <w:pPr>
              <w:pStyle w:val="Compact"/>
              <w:jc w:val="left"/>
            </w:pPr>
            <w:r>
              <w:t xml:space="preserve">H2 pilot</w:t>
            </w:r>
          </w:p>
        </w:tc>
      </w:tr>
    </w:tbl>
    <w:p>
      <w:pPr>
        <w:pStyle w:val="BodyText"/>
      </w:pPr>
      <w:r>
        <w:t xml:space="preserve">Tier C endpoint carried</w:t>
      </w:r>
      <w:r>
        <w:t xml:space="preserve"> </w:t>
      </w:r>
      <w:r>
        <w:rPr>
          <w:bCs/>
          <w:b/>
        </w:rPr>
        <w:t xml:space="preserve">risk acceptance</w:t>
      </w:r>
      <w:r>
        <w:t xml:space="preserve"> </w:t>
      </w:r>
      <w:r>
        <w:t xml:space="preserve">with</w:t>
      </w:r>
      <w:r>
        <w:t xml:space="preserve"> </w:t>
      </w:r>
      <w:r>
        <w:rPr>
          <w:rStyle w:val="VerbatimChar"/>
        </w:rPr>
        <w:t xml:space="preserve">exception_id</w:t>
      </w:r>
      <w:r>
        <w:t xml:space="preserve"> </w:t>
      </w:r>
      <w:r>
        <w:t xml:space="preserve">RA-2026-0147; compensating controls: IP allowlisting, enhanced fraud monitoring, six-month review;</w:t>
      </w:r>
      <w:r>
        <w:t xml:space="preserve"> </w:t>
      </w:r>
      <w:r>
        <w:rPr>
          <w:rStyle w:val="VerbatimChar"/>
        </w:rPr>
        <w:t xml:space="preserve">h2_trigger_value</w:t>
      </w:r>
      <w:r>
        <w:t xml:space="preserve">:</w:t>
      </w:r>
      <w:r>
        <w:t xml:space="preserve"> </w:t>
      </w:r>
      <w:r>
        <w:rPr>
          <w:rStyle w:val="VerbatimChar"/>
        </w:rPr>
        <w:t xml:space="preserve">2030-01-01</w:t>
      </w:r>
      <w:r>
        <w:t xml:space="preserve"> </w:t>
      </w:r>
      <w:r>
        <w:t xml:space="preserve">or Tier C client decommission.</w:t>
      </w:r>
    </w:p>
    <w:bookmarkEnd w:id="57"/>
    <w:bookmarkStart w:id="58" w:name="phase-3-middlebox-remediation"/>
    <w:p>
      <w:pPr>
        <w:pStyle w:val="Heading3"/>
      </w:pPr>
      <w:r>
        <w:t xml:space="preserve">Phase 3 — Middlebox remediation</w:t>
      </w:r>
    </w:p>
    <w:p>
      <w:pPr>
        <w:pStyle w:val="FirstParagraph"/>
      </w:pPr>
      <w:r>
        <w:t xml:space="preserve">Three production incidents during pilot:</w:t>
      </w:r>
    </w:p>
    <w:p>
      <w:pPr>
        <w:numPr>
          <w:ilvl w:val="0"/>
          <w:numId w:val="1011"/>
        </w:numPr>
        <w:pStyle w:val="Compact"/>
      </w:pPr>
      <w:r>
        <w:t xml:space="preserve">Corporate SSL inspection buffer — appliance firmware upgrade</w:t>
      </w:r>
    </w:p>
    <w:p>
      <w:pPr>
        <w:numPr>
          <w:ilvl w:val="0"/>
          <w:numId w:val="1011"/>
        </w:numPr>
        <w:pStyle w:val="Compact"/>
      </w:pPr>
      <w:r>
        <w:t xml:space="preserve">Legacy load balancer rule stripping unknown extensions — rule update</w:t>
      </w:r>
    </w:p>
    <w:p>
      <w:pPr>
        <w:numPr>
          <w:ilvl w:val="0"/>
          <w:numId w:val="1011"/>
        </w:numPr>
        <w:pStyle w:val="Compact"/>
      </w:pPr>
      <w:r>
        <w:t xml:space="preserve">Partner webhook platform ClientHello truncation — partner upgraded SDK</w:t>
      </w:r>
    </w:p>
    <w:p>
      <w:pPr>
        <w:pStyle w:val="FirstParagraph"/>
      </w:pPr>
      <w:r>
        <w:t xml:space="preserve">Each incident reinforced Chapter 5’s warning:</w:t>
      </w:r>
      <w:r>
        <w:t xml:space="preserve"> </w:t>
      </w:r>
      <w:r>
        <w:rPr>
          <w:bCs/>
          <w:b/>
        </w:rPr>
        <w:t xml:space="preserve">pilots on unconstrained endpoints mislead</w:t>
      </w:r>
      <w:r>
        <w:t xml:space="preserve">.</w:t>
      </w:r>
    </w:p>
    <w:bookmarkEnd w:id="58"/>
    <w:bookmarkStart w:id="59" w:name="operational-runbook-excerpt"/>
    <w:p>
      <w:pPr>
        <w:pStyle w:val="Heading3"/>
      </w:pPr>
      <w:r>
        <w:t xml:space="preserve">Operational runbook excerpt</w:t>
      </w:r>
    </w:p>
    <w:p>
      <w:pPr>
        <w:pStyle w:val="FirstParagraph"/>
      </w:pPr>
      <w:r>
        <w:t xml:space="preserve">Meridian published a</w:t>
      </w:r>
      <w:r>
        <w:t xml:space="preserve"> </w:t>
      </w:r>
      <w:r>
        <w:rPr>
          <w:bCs/>
          <w:b/>
        </w:rPr>
        <w:t xml:space="preserve">hybrid TLS runbook</w:t>
      </w:r>
      <w:r>
        <w:t xml:space="preserve"> </w:t>
      </w:r>
      <w:r>
        <w:t xml:space="preserve">consumed by operations centre staff — architecture patterns must survive 3 a.m. incidents:</w:t>
      </w:r>
    </w:p>
    <w:tbl>
      <w:tblPr>
        <w:tblStyle w:val="Table"/>
        <w:tblW w:type="pct" w:w="5000"/>
        <w:tblLook w:firstRow="1" w:lastRow="0" w:firstColumn="0" w:lastColumn="0" w:noHBand="0" w:noVBand="0" w:val="0020"/>
        <w:jc w:val="start"/>
      </w:tblPr>
      <w:tblGrid>
        <w:gridCol w:w="1485"/>
        <w:gridCol w:w="2145"/>
        <w:gridCol w:w="231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First action</w:t>
            </w:r>
          </w:p>
        </w:tc>
        <w:tc>
          <w:tcPr/>
          <w:p>
            <w:pPr>
              <w:pStyle w:val="Compact"/>
              <w:jc w:val="left"/>
            </w:pPr>
            <w:r>
              <w:t xml:space="preserve">Escalation</w:t>
            </w:r>
          </w:p>
        </w:tc>
      </w:tr>
      <w:tr>
        <w:tc>
          <w:tcPr/>
          <w:p>
            <w:pPr>
              <w:pStyle w:val="Compact"/>
              <w:jc w:val="left"/>
            </w:pPr>
            <w:r>
              <w:t xml:space="preserve">Spike in classical-only to primary hostname</w:t>
            </w:r>
          </w:p>
        </w:tc>
        <w:tc>
          <w:tcPr/>
          <w:p>
            <w:pPr>
              <w:pStyle w:val="Compact"/>
              <w:jc w:val="left"/>
            </w:pPr>
            <w:r>
              <w:t xml:space="preserve">Client patch regression or fraud routing</w:t>
            </w:r>
          </w:p>
        </w:tc>
        <w:tc>
          <w:tcPr/>
          <w:p>
            <w:pPr>
              <w:pStyle w:val="Compact"/>
              <w:jc w:val="left"/>
            </w:pPr>
            <w:r>
              <w:t xml:space="preserve">Compare</w:t>
            </w:r>
            <w:r>
              <w:t xml:space="preserve"> </w:t>
            </w:r>
            <w:r>
              <w:rPr>
                <w:rStyle w:val="VerbatimChar"/>
              </w:rPr>
              <w:t xml:space="preserve">client_fingerprint</w:t>
            </w:r>
            <w:r>
              <w:t xml:space="preserve"> </w:t>
            </w:r>
            <w:r>
              <w:t xml:space="preserve">to Tier registry</w:t>
            </w:r>
          </w:p>
        </w:tc>
        <w:tc>
          <w:tcPr/>
          <w:p>
            <w:pPr>
              <w:pStyle w:val="Compact"/>
              <w:jc w:val="left"/>
            </w:pPr>
            <w:r>
              <w:t xml:space="preserve">Security operations if unknown fingerprint</w:t>
            </w:r>
          </w:p>
        </w:tc>
      </w:tr>
      <w:tr>
        <w:tc>
          <w:tcPr/>
          <w:p>
            <w:pPr>
              <w:pStyle w:val="Compact"/>
              <w:jc w:val="left"/>
            </w:pPr>
            <w:r>
              <w:t xml:space="preserve">Sudden hybrid failure rate &gt;5%</w:t>
            </w:r>
          </w:p>
        </w:tc>
        <w:tc>
          <w:tcPr/>
          <w:p>
            <w:pPr>
              <w:pStyle w:val="Compact"/>
              <w:jc w:val="left"/>
            </w:pPr>
            <w:r>
              <w:t xml:space="preserve">Middlebox or CDN change</w:t>
            </w:r>
          </w:p>
        </w:tc>
        <w:tc>
          <w:tcPr/>
          <w:p>
            <w:pPr>
              <w:pStyle w:val="Compact"/>
              <w:jc w:val="left"/>
            </w:pPr>
            <w:r>
              <w:t xml:space="preserve">Check change log for proxy/CDN deploy</w:t>
            </w:r>
          </w:p>
        </w:tc>
        <w:tc>
          <w:tcPr/>
          <w:p>
            <w:pPr>
              <w:pStyle w:val="Compact"/>
              <w:jc w:val="left"/>
            </w:pPr>
            <w:r>
              <w:t xml:space="preserve">Network team</w:t>
            </w:r>
          </w:p>
        </w:tc>
      </w:tr>
      <w:tr>
        <w:tc>
          <w:tcPr/>
          <w:p>
            <w:pPr>
              <w:pStyle w:val="Compact"/>
              <w:jc w:val="left"/>
            </w:pPr>
            <w:r>
              <w:t xml:space="preserve">Tier C endpoint traffic spike</w:t>
            </w:r>
          </w:p>
        </w:tc>
        <w:tc>
          <w:tcPr/>
          <w:p>
            <w:pPr>
              <w:pStyle w:val="Compact"/>
              <w:jc w:val="left"/>
            </w:pPr>
            <w:r>
              <w:t xml:space="preserve">Client misconfigured URL</w:t>
            </w:r>
          </w:p>
        </w:tc>
        <w:tc>
          <w:tcPr/>
          <w:p>
            <w:pPr>
              <w:pStyle w:val="Compact"/>
              <w:jc w:val="left"/>
            </w:pPr>
            <w:r>
              <w:t xml:space="preserve">Customer notification template</w:t>
            </w:r>
          </w:p>
        </w:tc>
        <w:tc>
          <w:tcPr/>
          <w:p>
            <w:pPr>
              <w:pStyle w:val="Compact"/>
              <w:jc w:val="left"/>
            </w:pPr>
            <w:r>
              <w:t xml:space="preserve">Customer success</w:t>
            </w:r>
          </w:p>
        </w:tc>
      </w:tr>
      <w:tr>
        <w:tc>
          <w:tcPr/>
          <w:p>
            <w:pPr>
              <w:pStyle w:val="Compact"/>
              <w:jc w:val="left"/>
            </w:pPr>
            <w:r>
              <w:t xml:space="preserve">Certificate renewal post-incident</w:t>
            </w:r>
          </w:p>
        </w:tc>
        <w:tc>
          <w:tcPr/>
          <w:p>
            <w:pPr>
              <w:pStyle w:val="Compact"/>
              <w:jc w:val="left"/>
            </w:pPr>
            <w:r>
              <w:t xml:space="preserve">Chain size exceeded buffer</w:t>
            </w:r>
          </w:p>
        </w:tc>
        <w:tc>
          <w:tcPr/>
          <w:p>
            <w:pPr>
              <w:pStyle w:val="Compact"/>
              <w:jc w:val="left"/>
            </w:pPr>
            <w:r>
              <w:t xml:space="preserve">Temporary classical endpoint</w:t>
            </w:r>
            <w:r>
              <w:t xml:space="preserve"> </w:t>
            </w:r>
            <w:r>
              <w:rPr>
                <w:bCs/>
                <w:b/>
              </w:rPr>
              <w:t xml:space="preserve">not</w:t>
            </w:r>
            <w:r>
              <w:t xml:space="preserve"> </w:t>
            </w:r>
            <w:r>
              <w:t xml:space="preserve">authorised — expand buffer</w:t>
            </w:r>
          </w:p>
        </w:tc>
        <w:tc>
          <w:tcPr/>
          <w:p>
            <w:pPr>
              <w:pStyle w:val="Compact"/>
              <w:jc w:val="left"/>
            </w:pPr>
            <w:r>
              <w:t xml:space="preserve">PKI team + infrastructure</w:t>
            </w:r>
          </w:p>
        </w:tc>
      </w:tr>
    </w:tbl>
    <w:p>
      <w:pPr>
        <w:pStyle w:val="BodyText"/>
      </w:pPr>
      <w:r>
        <w:t xml:space="preserve">Thomas required runbook steps to reference</w:t>
      </w:r>
      <w:r>
        <w:t xml:space="preserve"> </w:t>
      </w:r>
      <w:r>
        <w:rPr>
          <w:bCs/>
          <w:b/>
        </w:rPr>
        <w:t xml:space="preserve">CBOM</w:t>
      </w:r>
      <w:r>
        <w:rPr>
          <w:bCs/>
          <w:b/>
        </w:rPr>
        <w:t xml:space="preserve"> </w:t>
      </w:r>
      <w:r>
        <w:rPr>
          <w:rStyle w:val="VerbatimChar"/>
          <w:bCs/>
          <w:b/>
        </w:rPr>
        <w:t xml:space="preserve">asset_id</w:t>
      </w:r>
      <w:r>
        <w:t xml:space="preserve"> </w:t>
      </w:r>
      <w:r>
        <w:t xml:space="preserve">— operators traced incidents to inventory rows without searching architecture slide decks.</w:t>
      </w:r>
    </w:p>
    <w:bookmarkEnd w:id="59"/>
    <w:bookmarkStart w:id="60" w:name="supervisory-evidence-package"/>
    <w:p>
      <w:pPr>
        <w:pStyle w:val="Heading3"/>
      </w:pPr>
      <w:r>
        <w:t xml:space="preserve">Supervisory evidence package</w:t>
      </w:r>
    </w:p>
    <w:p>
      <w:pPr>
        <w:pStyle w:val="FirstParagraph"/>
      </w:pPr>
      <w:r>
        <w:t xml:space="preserve">DORA examination readiness linked hybrid deployment to</w:t>
      </w:r>
      <w:r>
        <w:t xml:space="preserve"> </w:t>
      </w:r>
      <w:r>
        <w:rPr>
          <w:bCs/>
          <w:b/>
        </w:rPr>
        <w:t xml:space="preserve">artefacts</w:t>
      </w:r>
      <w:r>
        <w:t xml:space="preserve">, not algorithms:</w:t>
      </w:r>
    </w:p>
    <w:p>
      <w:pPr>
        <w:numPr>
          <w:ilvl w:val="0"/>
          <w:numId w:val="1012"/>
        </w:numPr>
        <w:pStyle w:val="Compact"/>
      </w:pPr>
      <w:r>
        <w:t xml:space="preserve">Approved hybrid policy excerpt (Chapter 5 §5.7 structure)</w:t>
      </w:r>
    </w:p>
    <w:p>
      <w:pPr>
        <w:numPr>
          <w:ilvl w:val="0"/>
          <w:numId w:val="1012"/>
        </w:numPr>
        <w:pStyle w:val="Compact"/>
      </w:pPr>
      <w:r>
        <w:t xml:space="preserve">CBOM export for retail API endpoints with</w:t>
      </w:r>
      <w:r>
        <w:t xml:space="preserve"> </w:t>
      </w:r>
      <w:r>
        <w:rPr>
          <w:rStyle w:val="VerbatimChar"/>
        </w:rPr>
        <w:t xml:space="preserve">hlm_phase</w:t>
      </w:r>
      <w:r>
        <w:t xml:space="preserve">,</w:t>
      </w:r>
      <w:r>
        <w:t xml:space="preserve"> </w:t>
      </w:r>
      <w:r>
        <w:rPr>
          <w:rStyle w:val="VerbatimChar"/>
        </w:rPr>
        <w:t xml:space="preserve">h2_trigger_value</w:t>
      </w:r>
      <w:r>
        <w:t xml:space="preserve">,</w:t>
      </w:r>
      <w:r>
        <w:t xml:space="preserve"> </w:t>
      </w:r>
      <w:r>
        <w:rPr>
          <w:rStyle w:val="VerbatimChar"/>
        </w:rPr>
        <w:t xml:space="preserve">exception_id</w:t>
      </w:r>
    </w:p>
    <w:p>
      <w:pPr>
        <w:numPr>
          <w:ilvl w:val="0"/>
          <w:numId w:val="1012"/>
        </w:numPr>
        <w:pStyle w:val="Compact"/>
      </w:pPr>
      <w:r>
        <w:t xml:space="preserve">Thirty-day production traffic analysis methodology</w:t>
      </w:r>
    </w:p>
    <w:p>
      <w:pPr>
        <w:numPr>
          <w:ilvl w:val="0"/>
          <w:numId w:val="1012"/>
        </w:numPr>
        <w:pStyle w:val="Compact"/>
      </w:pPr>
      <w:r>
        <w:t xml:space="preserve">Tier C risk acceptance RA-2026-0147 with compensating controls</w:t>
      </w:r>
    </w:p>
    <w:p>
      <w:pPr>
        <w:numPr>
          <w:ilvl w:val="0"/>
          <w:numId w:val="1012"/>
        </w:numPr>
        <w:pStyle w:val="Compact"/>
      </w:pPr>
      <w:r>
        <w:t xml:space="preserve">Middlebox remediation change tickets</w:t>
      </w:r>
    </w:p>
    <w:p>
      <w:pPr>
        <w:numPr>
          <w:ilvl w:val="0"/>
          <w:numId w:val="1012"/>
        </w:numPr>
        <w:pStyle w:val="Compact"/>
      </w:pPr>
      <w:r>
        <w:t xml:space="preserve">H1 exit criteria checklist signed by CISO</w:t>
      </w:r>
    </w:p>
    <w:p>
      <w:pPr>
        <w:pStyle w:val="FirstParagraph"/>
      </w:pPr>
      <w:r>
        <w:t xml:space="preserve">Supervisory dialogue focused on</w:t>
      </w:r>
      <w:r>
        <w:t xml:space="preserve"> </w:t>
      </w:r>
      <w:r>
        <w:rPr>
          <w:bCs/>
          <w:b/>
        </w:rPr>
        <w:t xml:space="preserve">governance credibility</w:t>
      </w:r>
      <w:r>
        <w:t xml:space="preserve"> </w:t>
      </w:r>
      <w:r>
        <w:t xml:space="preserve">— whether Meridian could demonstrate measured transition, not whether ML-KEM-768 was the correct parameter set.</w:t>
      </w:r>
    </w:p>
    <w:bookmarkEnd w:id="60"/>
    <w:bookmarkStart w:id="61" w:name="phase-4-h1-exit-assessment-month-six"/>
    <w:p>
      <w:pPr>
        <w:pStyle w:val="Heading3"/>
      </w:pPr>
      <w:r>
        <w:t xml:space="preserve">Phase 4 — H1 exit assessment (month six)</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Hybrid negotiation (primary endpoint)</w:t>
            </w:r>
          </w:p>
        </w:tc>
        <w:tc>
          <w:tcPr/>
          <w:p>
            <w:pPr>
              <w:pStyle w:val="Compact"/>
              <w:jc w:val="left"/>
            </w:pPr>
            <w:r>
              <w:t xml:space="preserve">90%</w:t>
            </w:r>
          </w:p>
        </w:tc>
        <w:tc>
          <w:tcPr/>
          <w:p>
            <w:pPr>
              <w:pStyle w:val="Compact"/>
              <w:jc w:val="left"/>
            </w:pPr>
            <w:r>
              <w:t xml:space="preserve">91.4%</w:t>
            </w:r>
          </w:p>
        </w:tc>
      </w:tr>
      <w:tr>
        <w:tc>
          <w:tcPr/>
          <w:p>
            <w:pPr>
              <w:pStyle w:val="Compact"/>
              <w:jc w:val="left"/>
            </w:pPr>
            <w:r>
              <w:t xml:space="preserve">Tier B migration</w:t>
            </w:r>
          </w:p>
        </w:tc>
        <w:tc>
          <w:tcPr/>
          <w:p>
            <w:pPr>
              <w:pStyle w:val="Compact"/>
              <w:jc w:val="left"/>
            </w:pPr>
            <w:r>
              <w:t xml:space="preserve">100% patched or sunset</w:t>
            </w:r>
          </w:p>
        </w:tc>
        <w:tc>
          <w:tcPr/>
          <w:p>
            <w:pPr>
              <w:pStyle w:val="Compact"/>
              <w:jc w:val="left"/>
            </w:pPr>
            <w:r>
              <w:t xml:space="preserve">96% — four clients in extension</w:t>
            </w:r>
          </w:p>
        </w:tc>
      </w:tr>
      <w:tr>
        <w:tc>
          <w:tcPr/>
          <w:p>
            <w:pPr>
              <w:pStyle w:val="Compact"/>
              <w:jc w:val="left"/>
            </w:pPr>
            <w:r>
              <w:t xml:space="preserve">Tier C exposure</w:t>
            </w:r>
          </w:p>
        </w:tc>
        <w:tc>
          <w:tcPr/>
          <w:p>
            <w:pPr>
              <w:pStyle w:val="Compact"/>
              <w:jc w:val="left"/>
            </w:pPr>
            <w:r>
              <w:t xml:space="preserve">Documented + compensating</w:t>
            </w:r>
          </w:p>
        </w:tc>
        <w:tc>
          <w:tcPr/>
          <w:p>
            <w:pPr>
              <w:pStyle w:val="Compact"/>
              <w:jc w:val="left"/>
            </w:pPr>
            <w:r>
              <w:t xml:space="preserve">100% documented</w:t>
            </w:r>
          </w:p>
        </w:tc>
      </w:tr>
      <w:tr>
        <w:tc>
          <w:tcPr/>
          <w:p>
            <w:pPr>
              <w:pStyle w:val="Compact"/>
              <w:jc w:val="left"/>
            </w:pPr>
            <w:r>
              <w:t xml:space="preserve">Incidents (Sev 1/2)</w:t>
            </w:r>
          </w:p>
        </w:tc>
        <w:tc>
          <w:tcPr/>
          <w:p>
            <w:pPr>
              <w:pStyle w:val="Compact"/>
              <w:jc w:val="left"/>
            </w:pPr>
            <w:r>
              <w:t xml:space="preserve">0 post-remediation</w:t>
            </w:r>
          </w:p>
        </w:tc>
        <w:tc>
          <w:tcPr/>
          <w:p>
            <w:pPr>
              <w:pStyle w:val="Compact"/>
              <w:jc w:val="left"/>
            </w:pPr>
            <w:r>
              <w:t xml:space="preserve">0</w:t>
            </w:r>
          </w:p>
        </w:tc>
      </w:tr>
    </w:tbl>
    <w:p>
      <w:pPr>
        <w:pStyle w:val="BodyText"/>
      </w:pPr>
      <w:r>
        <w:t xml:space="preserve">Meridian declared</w:t>
      </w:r>
      <w:r>
        <w:t xml:space="preserve"> </w:t>
      </w:r>
      <w:r>
        <w:rPr>
          <w:bCs/>
          <w:b/>
        </w:rPr>
        <w:t xml:space="preserve">H1 exit for retail API scope</w:t>
      </w:r>
      <w:r>
        <w:t xml:space="preserve"> </w:t>
      </w:r>
      <w:r>
        <w:t xml:space="preserve">— entering H2 for Tier A/B traffic while Tier C remained on exception endpoint until decommission. Supervisory reviewers received CBOM export with</w:t>
      </w:r>
      <w:r>
        <w:t xml:space="preserve"> </w:t>
      </w:r>
      <w:r>
        <w:rPr>
          <w:rStyle w:val="VerbatimChar"/>
        </w:rPr>
        <w:t xml:space="preserve">hlm_phase</w:t>
      </w:r>
      <w:r>
        <w:t xml:space="preserve"> </w:t>
      </w:r>
      <w:r>
        <w:t xml:space="preserve">per endpoint — not a single boolean</w:t>
      </w:r>
      <w:r>
        <w:t xml:space="preserve"> </w:t>
      </w:r>
      <w:r>
        <w:t xml:space="preserve">“</w:t>
      </w:r>
      <w:r>
        <w:t xml:space="preserve">PQC enabled.</w:t>
      </w:r>
      <w:r>
        <w:t xml:space="preserve">”</w:t>
      </w:r>
    </w:p>
    <w:p>
      <w:pPr>
        <w:pStyle w:val="BlockText"/>
      </w:pPr>
      <w:r>
        <w:rPr>
          <w:bCs/>
          <w:b/>
        </w:rPr>
        <w:t xml:space="preserve">Migration Moment</w:t>
      </w:r>
    </w:p>
    <w:p>
      <w:pPr>
        <w:pStyle w:val="BlockText"/>
      </w:pPr>
      <w:r>
        <w:rPr>
          <w:iCs/>
          <w:i/>
        </w:rPr>
        <w:t xml:space="preserve">“</w:t>
      </w:r>
      <w:r>
        <w:rPr>
          <w:iCs/>
          <w:i/>
        </w:rPr>
        <w:t xml:space="preserve">We hit 91% hybrid negotiation — we’re done.</w:t>
      </w:r>
      <w:r>
        <w:rPr>
          <w:iCs/>
          <w:i/>
        </w:rPr>
        <w:t xml:space="preserve">”</w:t>
      </w:r>
    </w:p>
    <w:p>
      <w:pPr>
        <w:pStyle w:val="BlockText"/>
      </w:pPr>
      <w:r>
        <w:t xml:space="preserve">H1 exit is</w:t>
      </w:r>
      <w:r>
        <w:t xml:space="preserve"> </w:t>
      </w:r>
      <w:r>
        <w:rPr>
          <w:bCs/>
          <w:b/>
        </w:rPr>
        <w:t xml:space="preserve">scope-specific</w:t>
      </w:r>
      <w:r>
        <w:t xml:space="preserve"> </w:t>
      </w:r>
      <w:r>
        <w:t xml:space="preserve">and</w:t>
      </w:r>
      <w:r>
        <w:t xml:space="preserve"> </w:t>
      </w:r>
      <w:r>
        <w:rPr>
          <w:bCs/>
          <w:b/>
        </w:rPr>
        <w:t xml:space="preserve">governance-complete</w:t>
      </w:r>
      <w:r>
        <w:t xml:space="preserve">, not a single metric. Tier C clients on a classical exception endpoint, middlebox remediation evidence, and</w:t>
      </w:r>
      <w:r>
        <w:t xml:space="preserve"> </w:t>
      </w:r>
      <w:r>
        <w:rPr>
          <w:rStyle w:val="VerbatimChar"/>
        </w:rPr>
        <w:t xml:space="preserve">h2_trigger_value</w:t>
      </w:r>
      <w:r>
        <w:t xml:space="preserve"> </w:t>
      </w:r>
      <w:r>
        <w:t xml:space="preserve">population are part of exit — not afterthoughts for audit.</w:t>
      </w:r>
    </w:p>
    <w:p>
      <w:r>
        <w:pict>
          <v:rect style="width:0;height:1.5pt" o:hralign="center" o:hrstd="t" o:hr="t"/>
        </w:pict>
      </w:r>
    </w:p>
    <w:bookmarkEnd w:id="61"/>
    <w:bookmarkEnd w:id="62"/>
    <w:bookmarkStart w:id="65" w:name="X47439609641a815d59391425ff2abb32d477f9c"/>
    <w:p>
      <w:pPr>
        <w:pStyle w:val="Heading2"/>
      </w:pPr>
      <w:r>
        <w:t xml:space="preserve">11.13 GlobalSync: Tiered Endpoints and Tenant Cohorts</w:t>
      </w:r>
    </w:p>
    <w:p>
      <w:pPr>
        <w:pStyle w:val="FirstParagraph"/>
      </w:pPr>
      <w:r>
        <w:t xml:space="preserve">GlobalSync Logistics operates multi-tenant SaaS APIs across forty countries. Marcus Chen’s team extended Meridian’s tiered endpoint pattern with</w:t>
      </w:r>
      <w:r>
        <w:t xml:space="preserve"> </w:t>
      </w:r>
      <w:r>
        <w:rPr>
          <w:bCs/>
          <w:b/>
        </w:rPr>
        <w:t xml:space="preserve">tenant cohort routing</w:t>
      </w:r>
      <w:r>
        <w:t xml:space="preserve"> </w:t>
      </w:r>
      <w:r>
        <w:t xml:space="preserve">— aligning HLM phases to commercial reality.</w:t>
      </w:r>
    </w:p>
    <w:p>
      <w:pPr>
        <w:pStyle w:val="BodyText"/>
      </w:pPr>
      <w:r>
        <w:rPr>
          <w:bCs/>
          <w:b/>
        </w:rPr>
        <w:t xml:space="preserve">Table 11.5 — GlobalSync API Tier Strategy</w:t>
      </w:r>
    </w:p>
    <w:tbl>
      <w:tblPr>
        <w:tblStyle w:val="Table"/>
        <w:tblW w:type="pct" w:w="5000"/>
        <w:tblLook w:firstRow="1" w:lastRow="0" w:firstColumn="0" w:lastColumn="0" w:noHBand="0" w:noVBand="0" w:val="0020"/>
        <w:jc w:val="start"/>
      </w:tblPr>
      <w:tblGrid>
        <w:gridCol w:w="633"/>
        <w:gridCol w:w="1584"/>
        <w:gridCol w:w="1795"/>
        <w:gridCol w:w="2006"/>
        <w:gridCol w:w="1900"/>
      </w:tblGrid>
      <w:tr>
        <w:trPr>
          <w:tblHeader w:val="true"/>
        </w:trPr>
        <w:tc>
          <w:tcPr/>
          <w:p>
            <w:pPr>
              <w:pStyle w:val="Compact"/>
              <w:jc w:val="left"/>
            </w:pPr>
            <w:r>
              <w:t xml:space="preserve">Tier</w:t>
            </w:r>
          </w:p>
        </w:tc>
        <w:tc>
          <w:tcPr/>
          <w:p>
            <w:pPr>
              <w:pStyle w:val="Compact"/>
              <w:jc w:val="left"/>
            </w:pPr>
            <w:r>
              <w:t xml:space="preserve">Tenant profile</w:t>
            </w:r>
          </w:p>
        </w:tc>
        <w:tc>
          <w:tcPr/>
          <w:p>
            <w:pPr>
              <w:pStyle w:val="Compact"/>
              <w:jc w:val="left"/>
            </w:pPr>
            <w:r>
              <w:t xml:space="preserve">Endpoint policy</w:t>
            </w:r>
          </w:p>
        </w:tc>
        <w:tc>
          <w:tcPr/>
          <w:p>
            <w:pPr>
              <w:pStyle w:val="Compact"/>
              <w:jc w:val="left"/>
            </w:pPr>
            <w:r>
              <w:t xml:space="preserve">HLM phase (2026)</w:t>
            </w:r>
          </w:p>
        </w:tc>
        <w:tc>
          <w:tcPr/>
          <w:p>
            <w:pPr>
              <w:pStyle w:val="Compact"/>
              <w:jc w:val="left"/>
            </w:pPr>
            <w:r>
              <w:t xml:space="preserve">Sunset mechanism</w:t>
            </w:r>
          </w:p>
        </w:tc>
      </w:tr>
      <w:tr>
        <w:tc>
          <w:tcPr/>
          <w:p>
            <w:pPr>
              <w:pStyle w:val="Compact"/>
              <w:jc w:val="left"/>
            </w:pPr>
            <w:r>
              <w:t xml:space="preserve">Tier A</w:t>
            </w:r>
          </w:p>
        </w:tc>
        <w:tc>
          <w:tcPr/>
          <w:p>
            <w:pPr>
              <w:pStyle w:val="Compact"/>
              <w:jc w:val="left"/>
            </w:pPr>
            <w:r>
              <w:t xml:space="preserve">Cloud-native; rapid patch cycle</w:t>
            </w:r>
          </w:p>
        </w:tc>
        <w:tc>
          <w:tcPr/>
          <w:p>
            <w:pPr>
              <w:pStyle w:val="Compact"/>
              <w:jc w:val="left"/>
            </w:pPr>
            <w:r>
              <w:t xml:space="preserve">Single hybrid endpoint</w:t>
            </w:r>
          </w:p>
        </w:tc>
        <w:tc>
          <w:tcPr/>
          <w:p>
            <w:pPr>
              <w:pStyle w:val="Compact"/>
              <w:jc w:val="left"/>
            </w:pPr>
            <w:r>
              <w:t xml:space="preserve">H1 → H2 2028</w:t>
            </w:r>
          </w:p>
        </w:tc>
        <w:tc>
          <w:tcPr/>
          <w:p>
            <w:pPr>
              <w:pStyle w:val="Compact"/>
              <w:jc w:val="left"/>
            </w:pPr>
            <w:r>
              <w:t xml:space="preserve">Contractual notice 90 days</w:t>
            </w:r>
          </w:p>
        </w:tc>
      </w:tr>
      <w:tr>
        <w:tc>
          <w:tcPr/>
          <w:p>
            <w:pPr>
              <w:pStyle w:val="Compact"/>
              <w:jc w:val="left"/>
            </w:pPr>
            <w:r>
              <w:t xml:space="preserve">Tier B</w:t>
            </w:r>
          </w:p>
        </w:tc>
        <w:tc>
          <w:tcPr/>
          <w:p>
            <w:pPr>
              <w:pStyle w:val="Compact"/>
              <w:jc w:val="left"/>
            </w:pPr>
            <w:r>
              <w:t xml:space="preserve">Updatable on-prem agents</w:t>
            </w:r>
          </w:p>
        </w:tc>
        <w:tc>
          <w:tcPr/>
          <w:p>
            <w:pPr>
              <w:pStyle w:val="Compact"/>
              <w:jc w:val="left"/>
            </w:pPr>
            <w:r>
              <w:t xml:space="preserve">Hybrid + migration guide</w:t>
            </w:r>
          </w:p>
        </w:tc>
        <w:tc>
          <w:tcPr/>
          <w:p>
            <w:pPr>
              <w:pStyle w:val="Compact"/>
              <w:jc w:val="left"/>
            </w:pPr>
            <w:r>
              <w:t xml:space="preserve">H1</w:t>
            </w:r>
          </w:p>
        </w:tc>
        <w:tc>
          <w:tcPr/>
          <w:p>
            <w:pPr>
              <w:pStyle w:val="Compact"/>
              <w:jc w:val="left"/>
            </w:pPr>
            <w:r>
              <w:t xml:space="preserve">Tenant success programme</w:t>
            </w:r>
          </w:p>
        </w:tc>
      </w:tr>
      <w:tr>
        <w:tc>
          <w:tcPr/>
          <w:p>
            <w:pPr>
              <w:pStyle w:val="Compact"/>
              <w:jc w:val="left"/>
            </w:pPr>
            <w:r>
              <w:t xml:space="preserve">Tier C</w:t>
            </w:r>
          </w:p>
        </w:tc>
        <w:tc>
          <w:tcPr/>
          <w:p>
            <w:pPr>
              <w:pStyle w:val="Compact"/>
              <w:jc w:val="left"/>
            </w:pPr>
            <w:r>
              <w:t xml:space="preserve">Embedded fixed integrations</w:t>
            </w:r>
          </w:p>
        </w:tc>
        <w:tc>
          <w:tcPr/>
          <w:p>
            <w:pPr>
              <w:pStyle w:val="Compact"/>
              <w:jc w:val="left"/>
            </w:pPr>
            <w:r>
              <w:t xml:space="preserve">Dedicated classical endpoint + monitoring</w:t>
            </w:r>
          </w:p>
        </w:tc>
        <w:tc>
          <w:tcPr/>
          <w:p>
            <w:pPr>
              <w:pStyle w:val="Compact"/>
              <w:jc w:val="left"/>
            </w:pPr>
            <w:r>
              <w:t xml:space="preserve">H1 exception path</w:t>
            </w:r>
          </w:p>
        </w:tc>
        <w:tc>
          <w:tcPr/>
          <w:p>
            <w:pPr>
              <w:pStyle w:val="Compact"/>
              <w:jc w:val="left"/>
            </w:pPr>
            <w:r>
              <w:t xml:space="preserve">Contract amendment; 2.1% traffic (</w:t>
            </w:r>
            <w:r>
              <w:rPr>
                <w:iCs/>
                <w:i/>
              </w:rPr>
              <w:t xml:space="preserve">illustrative</w:t>
            </w:r>
            <w:r>
              <w:t xml:space="preserve">)</w:t>
            </w:r>
          </w:p>
        </w:tc>
      </w:tr>
    </w:tbl>
    <w:p>
      <w:pPr>
        <w:pStyle w:val="BodyText"/>
      </w:pPr>
      <w:r>
        <w:t xml:space="preserve">GlobalSync’s CDN configuration:</w:t>
      </w:r>
    </w:p>
    <w:p>
      <w:pPr>
        <w:numPr>
          <w:ilvl w:val="0"/>
          <w:numId w:val="1013"/>
        </w:numPr>
        <w:pStyle w:val="Compact"/>
      </w:pPr>
      <w:r>
        <w:rPr>
          <w:bCs/>
          <w:b/>
        </w:rPr>
        <w:t xml:space="preserve">Default route:</w:t>
      </w:r>
      <w:r>
        <w:t xml:space="preserve"> </w:t>
      </w:r>
      <w:r>
        <w:t xml:space="preserve">hybrid TLS on</w:t>
      </w:r>
      <w:r>
        <w:t xml:space="preserve"> </w:t>
      </w:r>
      <w:r>
        <w:rPr>
          <w:rStyle w:val="VerbatimChar"/>
        </w:rPr>
        <w:t xml:space="preserve">api.globalsync.example</w:t>
      </w:r>
    </w:p>
    <w:p>
      <w:pPr>
        <w:numPr>
          <w:ilvl w:val="0"/>
          <w:numId w:val="1013"/>
        </w:numPr>
        <w:pStyle w:val="Compact"/>
      </w:pPr>
      <w:r>
        <w:rPr>
          <w:bCs/>
          <w:b/>
        </w:rPr>
        <w:t xml:space="preserve">Tenant header route:</w:t>
      </w:r>
      <w:r>
        <w:t xml:space="preserve"> </w:t>
      </w:r>
      <w:r>
        <w:rPr>
          <w:rStyle w:val="VerbatimChar"/>
        </w:rPr>
        <w:t xml:space="preserve">X-GS-Crypto-Tier: C</w:t>
      </w:r>
      <w:r>
        <w:t xml:space="preserve"> </w:t>
      </w:r>
      <w:r>
        <w:t xml:space="preserve">→</w:t>
      </w:r>
      <w:r>
        <w:t xml:space="preserve"> </w:t>
      </w:r>
      <w:r>
        <w:rPr>
          <w:rStyle w:val="VerbatimChar"/>
        </w:rPr>
        <w:t xml:space="preserve">api-classical.globalsync.example</w:t>
      </w:r>
    </w:p>
    <w:p>
      <w:pPr>
        <w:numPr>
          <w:ilvl w:val="0"/>
          <w:numId w:val="1013"/>
        </w:numPr>
        <w:pStyle w:val="Compact"/>
      </w:pPr>
      <w:r>
        <w:rPr>
          <w:bCs/>
          <w:b/>
        </w:rPr>
        <w:t xml:space="preserve">Telemetry tag:</w:t>
      </w:r>
      <w:r>
        <w:t xml:space="preserve"> </w:t>
      </w:r>
      <w:r>
        <w:rPr>
          <w:rStyle w:val="VerbatimChar"/>
        </w:rPr>
        <w:t xml:space="preserve">tenant_id</w:t>
      </w:r>
      <w:r>
        <w:t xml:space="preserve"> </w:t>
      </w:r>
      <w:r>
        <w:t xml:space="preserve">×</w:t>
      </w:r>
      <w:r>
        <w:t xml:space="preserve"> </w:t>
      </w:r>
      <w:r>
        <w:rPr>
          <w:rStyle w:val="VerbatimChar"/>
        </w:rPr>
        <w:t xml:space="preserve">negotiated_group</w:t>
      </w:r>
      <w:r>
        <w:t xml:space="preserve"> </w:t>
      </w:r>
      <w:r>
        <w:t xml:space="preserve">→ weekly CBOM refresh</w:t>
      </w:r>
    </w:p>
    <w:p>
      <w:pPr>
        <w:pStyle w:val="FirstParagraph"/>
      </w:pPr>
      <w:r>
        <w:t xml:space="preserve">Marcus sequenced tenant legal work</w:t>
      </w:r>
      <w:r>
        <w:t xml:space="preserve"> </w:t>
      </w:r>
      <w:r>
        <w:rPr>
          <w:bCs/>
          <w:b/>
        </w:rPr>
        <w:t xml:space="preserve">before</w:t>
      </w:r>
      <w:r>
        <w:t xml:space="preserve"> </w:t>
      </w:r>
      <w:r>
        <w:t xml:space="preserve">H1 production — two enterprise tenants required contract amendments averaging</w:t>
      </w:r>
      <w:r>
        <w:t xml:space="preserve"> </w:t>
      </w:r>
      <w:r>
        <w:rPr>
          <w:bCs/>
          <w:b/>
        </w:rPr>
        <w:t xml:space="preserve">74 days</w:t>
      </w:r>
      <w:r>
        <w:t xml:space="preserve"> </w:t>
      </w:r>
      <w:r>
        <w:t xml:space="preserve">legal cycle (</w:t>
      </w:r>
      <w:r>
        <w:rPr>
          <w:iCs/>
          <w:i/>
        </w:rPr>
        <w:t xml:space="preserve">illustrative</w:t>
      </w:r>
      <w:r>
        <w:t xml:space="preserve">). GDPR Article 32 documentation updated via customer security whitepaper referencing standards-track hybrid constructions.</w:t>
      </w:r>
    </w:p>
    <w:p>
      <w:pPr>
        <w:pStyle w:val="BodyText"/>
      </w:pPr>
      <w:r>
        <w:t xml:space="preserve">When Tier C traffic exceeded</w:t>
      </w:r>
      <w:r>
        <w:t xml:space="preserve"> </w:t>
      </w:r>
      <w:r>
        <w:rPr>
          <w:bCs/>
          <w:b/>
        </w:rPr>
        <w:t xml:space="preserve">5%</w:t>
      </w:r>
      <w:r>
        <w:t xml:space="preserve"> </w:t>
      </w:r>
      <w:r>
        <w:t xml:space="preserve">of API volume, customer success received programme escalation — hybrid negotiation rate alone masked concentrated legacy exposure.</w:t>
      </w:r>
    </w:p>
    <w:bookmarkStart w:id="63" w:name="multi-cdn-and-geographic-variance"/>
    <w:p>
      <w:pPr>
        <w:pStyle w:val="Heading3"/>
      </w:pPr>
      <w:r>
        <w:t xml:space="preserve">Multi-CDN and geographic variance</w:t>
      </w:r>
    </w:p>
    <w:p>
      <w:pPr>
        <w:pStyle w:val="FirstParagraph"/>
      </w:pPr>
      <w:r>
        <w:t xml:space="preserve">GlobalSync operated three CDN providers for resilience. Hybrid negotiation rates varied geographically:</w:t>
      </w:r>
    </w:p>
    <w:tbl>
      <w:tblPr>
        <w:tblStyle w:val="Table"/>
        <w:tblW w:type="pct" w:w="5000"/>
        <w:tblLook w:firstRow="1" w:lastRow="0" w:firstColumn="0" w:lastColumn="0" w:noHBand="0" w:noVBand="0" w:val="0020"/>
        <w:jc w:val="start"/>
      </w:tblPr>
      <w:tblGrid>
        <w:gridCol w:w="1173"/>
        <w:gridCol w:w="3080"/>
        <w:gridCol w:w="1760"/>
        <w:gridCol w:w="1906"/>
      </w:tblGrid>
      <w:tr>
        <w:trPr>
          <w:tblHeader w:val="true"/>
        </w:trPr>
        <w:tc>
          <w:tcPr/>
          <w:p>
            <w:pPr>
              <w:pStyle w:val="Compact"/>
              <w:jc w:val="left"/>
            </w:pPr>
            <w:r>
              <w:t xml:space="preserve">Region</w:t>
            </w:r>
          </w:p>
        </w:tc>
        <w:tc>
          <w:tcPr/>
          <w:p>
            <w:pPr>
              <w:pStyle w:val="Compact"/>
              <w:jc w:val="left"/>
            </w:pPr>
            <w:r>
              <w:t xml:space="preserve">Hybrid rate (Tier A)</w:t>
            </w:r>
          </w:p>
        </w:tc>
        <w:tc>
          <w:tcPr/>
          <w:p>
            <w:pPr>
              <w:pStyle w:val="Compact"/>
              <w:jc w:val="left"/>
            </w:pPr>
            <w:r>
              <w:t xml:space="preserve">Root cause</w:t>
            </w:r>
          </w:p>
        </w:tc>
        <w:tc>
          <w:tcPr/>
          <w:p>
            <w:pPr>
              <w:pStyle w:val="Compact"/>
              <w:jc w:val="left"/>
            </w:pPr>
            <w:r>
              <w:t xml:space="preserve">Remediation</w:t>
            </w:r>
          </w:p>
        </w:tc>
      </w:tr>
      <w:tr>
        <w:tc>
          <w:tcPr/>
          <w:p>
            <w:pPr>
              <w:pStyle w:val="Compact"/>
              <w:jc w:val="left"/>
            </w:pPr>
            <w:r>
              <w:t xml:space="preserve">EU-West</w:t>
            </w:r>
          </w:p>
        </w:tc>
        <w:tc>
          <w:tcPr/>
          <w:p>
            <w:pPr>
              <w:pStyle w:val="Compact"/>
              <w:jc w:val="left"/>
            </w:pPr>
            <w:r>
              <w:t xml:space="preserve">94.2%</w:t>
            </w:r>
          </w:p>
        </w:tc>
        <w:tc>
          <w:tcPr/>
          <w:p>
            <w:pPr>
              <w:pStyle w:val="Compact"/>
              <w:jc w:val="left"/>
            </w:pPr>
            <w:r>
              <w:t xml:space="preserve">Uniform edge firmware</w:t>
            </w:r>
          </w:p>
        </w:tc>
        <w:tc>
          <w:tcPr/>
          <w:p>
            <w:pPr>
              <w:pStyle w:val="Compact"/>
              <w:jc w:val="left"/>
            </w:pPr>
            <w:r>
              <w:t xml:space="preserve">Baseline</w:t>
            </w:r>
          </w:p>
        </w:tc>
      </w:tr>
      <w:tr>
        <w:tc>
          <w:tcPr/>
          <w:p>
            <w:pPr>
              <w:pStyle w:val="Compact"/>
              <w:jc w:val="left"/>
            </w:pPr>
            <w:r>
              <w:t xml:space="preserve">US-East</w:t>
            </w:r>
          </w:p>
        </w:tc>
        <w:tc>
          <w:tcPr/>
          <w:p>
            <w:pPr>
              <w:pStyle w:val="Compact"/>
              <w:jc w:val="left"/>
            </w:pPr>
            <w:r>
              <w:t xml:space="preserve">91.8%</w:t>
            </w:r>
          </w:p>
        </w:tc>
        <w:tc>
          <w:tcPr/>
          <w:p>
            <w:pPr>
              <w:pStyle w:val="Compact"/>
              <w:jc w:val="left"/>
            </w:pPr>
            <w:r>
              <w:t xml:space="preserve">One CDN PoP on stale firmware</w:t>
            </w:r>
          </w:p>
        </w:tc>
        <w:tc>
          <w:tcPr/>
          <w:p>
            <w:pPr>
              <w:pStyle w:val="Compact"/>
              <w:jc w:val="left"/>
            </w:pPr>
            <w:r>
              <w:t xml:space="preserve">Provider escalation</w:t>
            </w:r>
          </w:p>
        </w:tc>
      </w:tr>
      <w:tr>
        <w:tc>
          <w:tcPr/>
          <w:p>
            <w:pPr>
              <w:pStyle w:val="Compact"/>
              <w:jc w:val="left"/>
            </w:pPr>
            <w:r>
              <w:t xml:space="preserve">APAC-South</w:t>
            </w:r>
          </w:p>
        </w:tc>
        <w:tc>
          <w:tcPr/>
          <w:p>
            <w:pPr>
              <w:pStyle w:val="Compact"/>
              <w:jc w:val="left"/>
            </w:pPr>
            <w:r>
              <w:t xml:space="preserve">86.1%</w:t>
            </w:r>
          </w:p>
        </w:tc>
        <w:tc>
          <w:tcPr/>
          <w:p>
            <w:pPr>
              <w:pStyle w:val="Compact"/>
              <w:jc w:val="left"/>
            </w:pPr>
            <w:r>
              <w:t xml:space="preserve">Mobile carrier gateway truncation</w:t>
            </w:r>
          </w:p>
        </w:tc>
        <w:tc>
          <w:tcPr/>
          <w:p>
            <w:pPr>
              <w:pStyle w:val="Compact"/>
              <w:jc w:val="left"/>
            </w:pPr>
            <w:r>
              <w:t xml:space="preserve">Tier B extension; local PoP tuning</w:t>
            </w:r>
          </w:p>
        </w:tc>
      </w:tr>
      <w:tr>
        <w:tc>
          <w:tcPr/>
          <w:p>
            <w:pPr>
              <w:pStyle w:val="Compact"/>
              <w:jc w:val="left"/>
            </w:pPr>
            <w:r>
              <w:t xml:space="preserve">LATAM</w:t>
            </w:r>
          </w:p>
        </w:tc>
        <w:tc>
          <w:tcPr/>
          <w:p>
            <w:pPr>
              <w:pStyle w:val="Compact"/>
              <w:jc w:val="left"/>
            </w:pPr>
            <w:r>
              <w:t xml:space="preserve">88.4%</w:t>
            </w:r>
          </w:p>
        </w:tc>
        <w:tc>
          <w:tcPr/>
          <w:p>
            <w:pPr>
              <w:pStyle w:val="Compact"/>
              <w:jc w:val="left"/>
            </w:pPr>
            <w:r>
              <w:t xml:space="preserve">Mixed — inspection + client age</w:t>
            </w:r>
          </w:p>
        </w:tc>
        <w:tc>
          <w:tcPr/>
          <w:p>
            <w:pPr>
              <w:pStyle w:val="Compact"/>
              <w:jc w:val="left"/>
            </w:pPr>
            <w:r>
              <w:t xml:space="preserve">Tenant outreach programme</w:t>
            </w:r>
          </w:p>
        </w:tc>
      </w:tr>
    </w:tbl>
    <w:p>
      <w:pPr>
        <w:pStyle w:val="BodyText"/>
      </w:pPr>
      <w:r>
        <w:t xml:space="preserve">Marcus refused global H1 exit until</w:t>
      </w:r>
      <w:r>
        <w:t xml:space="preserve"> </w:t>
      </w:r>
      <w:r>
        <w:rPr>
          <w:bCs/>
          <w:b/>
        </w:rPr>
        <w:t xml:space="preserve">all regions exceeded 90% on Tier A</w:t>
      </w:r>
      <w:r>
        <w:t xml:space="preserve"> </w:t>
      </w:r>
      <w:r>
        <w:t xml:space="preserve">or documented region-specific exception registers — multinational enterprises cannot average geography into a single compliance narrative.</w:t>
      </w:r>
    </w:p>
    <w:bookmarkEnd w:id="63"/>
    <w:bookmarkStart w:id="64" w:name="customer-facing-cryptography-statement"/>
    <w:p>
      <w:pPr>
        <w:pStyle w:val="Heading3"/>
      </w:pPr>
      <w:r>
        <w:t xml:space="preserve">Customer-facing cryptography statement</w:t>
      </w:r>
    </w:p>
    <w:p>
      <w:pPr>
        <w:pStyle w:val="FirstParagraph"/>
      </w:pPr>
      <w:r>
        <w:t xml:space="preserve">GlobalSync published</w:t>
      </w:r>
      <w:r>
        <w:t xml:space="preserve"> </w:t>
      </w:r>
      <w:r>
        <w:rPr>
          <w:bCs/>
          <w:b/>
        </w:rPr>
        <w:t xml:space="preserve">cryptography statement v2.3</w:t>
      </w:r>
      <w:r>
        <w:t xml:space="preserve"> </w:t>
      </w:r>
      <w:r>
        <w:t xml:space="preserve">with semantic versioning — tenants subscribed to notifications when API tiers advanced HLM phase. Statement contents:</w:t>
      </w:r>
    </w:p>
    <w:p>
      <w:pPr>
        <w:numPr>
          <w:ilvl w:val="0"/>
          <w:numId w:val="1014"/>
        </w:numPr>
        <w:pStyle w:val="Compact"/>
      </w:pPr>
      <w:r>
        <w:t xml:space="preserve">Active hybrid construction reference (IETF identifier)</w:t>
      </w:r>
    </w:p>
    <w:p>
      <w:pPr>
        <w:numPr>
          <w:ilvl w:val="0"/>
          <w:numId w:val="1014"/>
        </w:numPr>
        <w:pStyle w:val="Compact"/>
      </w:pPr>
      <w:r>
        <w:t xml:space="preserve">Per-tier endpoint hostnames and expected client behaviour</w:t>
      </w:r>
    </w:p>
    <w:p>
      <w:pPr>
        <w:numPr>
          <w:ilvl w:val="0"/>
          <w:numId w:val="1014"/>
        </w:numPr>
        <w:pStyle w:val="Compact"/>
      </w:pPr>
      <w:r>
        <w:t xml:space="preserve">Tier C sunset dates where contractually committed</w:t>
      </w:r>
    </w:p>
    <w:p>
      <w:pPr>
        <w:numPr>
          <w:ilvl w:val="0"/>
          <w:numId w:val="1014"/>
        </w:numPr>
        <w:pStyle w:val="Compact"/>
      </w:pPr>
      <w:r>
        <w:t xml:space="preserve">Data residency note: hybrid deployment does not alter processing locations (GDPR cross-border concern separation)</w:t>
      </w:r>
    </w:p>
    <w:p>
      <w:pPr>
        <w:pStyle w:val="FirstParagraph"/>
      </w:pPr>
      <w:r>
        <w:t xml:space="preserve">Customer trust teams reported</w:t>
      </w:r>
      <w:r>
        <w:t xml:space="preserve"> </w:t>
      </w:r>
      <w:r>
        <w:rPr>
          <w:bCs/>
          <w:b/>
        </w:rPr>
        <w:t xml:space="preserve">eleven tenant-initiated security reviews</w:t>
      </w:r>
      <w:r>
        <w:t xml:space="preserve"> </w:t>
      </w:r>
      <w:r>
        <w:t xml:space="preserve">in the first quarter post-H1 — all closed with whitepaper and CBOM-summary slide, none requiring algorithm tutorial.</w:t>
      </w:r>
    </w:p>
    <w:p>
      <w:r>
        <w:pict>
          <v:rect style="width:0;height:1.5pt" o:hralign="center" o:hrstd="t" o:hr="t"/>
        </w:pict>
      </w:r>
    </w:p>
    <w:bookmarkEnd w:id="64"/>
    <w:bookmarkEnd w:id="65"/>
    <w:bookmarkStart w:id="66" w:name="hlm-and-hybrid-failure-modes"/>
    <w:p>
      <w:pPr>
        <w:pStyle w:val="Heading2"/>
      </w:pPr>
      <w:r>
        <w:t xml:space="preserve">11.14 HLM and Hybrid Failure Modes</w:t>
      </w:r>
    </w:p>
    <w:p>
      <w:pPr>
        <w:pStyle w:val="FirstParagraph"/>
      </w:pPr>
      <w:r>
        <w:t xml:space="preserve">Chapter 5 introduced HLM failure modes at policy level. Deployment adds engineering failure modes:</w:t>
      </w:r>
    </w:p>
    <w:p>
      <w:pPr>
        <w:pStyle w:val="BodyText"/>
      </w:pPr>
      <w:r>
        <w:rPr>
          <w:bCs/>
          <w:b/>
        </w:rPr>
        <w:t xml:space="preserve">Table 11.6 — Hybrid Deployment Failure Modes</w:t>
      </w:r>
    </w:p>
    <w:tbl>
      <w:tblPr>
        <w:tblStyle w:val="Table"/>
        <w:tblW w:type="pct" w:w="5000"/>
        <w:tblLook w:firstRow="1" w:lastRow="0" w:firstColumn="0" w:lastColumn="0" w:noHBand="0" w:noVBand="0" w:val="0020"/>
        <w:jc w:val="start"/>
      </w:tblPr>
      <w:tblGrid>
        <w:gridCol w:w="1516"/>
        <w:gridCol w:w="1179"/>
        <w:gridCol w:w="1516"/>
        <w:gridCol w:w="2022"/>
        <w:gridCol w:w="1685"/>
      </w:tblGrid>
      <w:tr>
        <w:trPr>
          <w:tblHeader w:val="true"/>
        </w:trPr>
        <w:tc>
          <w:tcPr/>
          <w:p>
            <w:pPr>
              <w:pStyle w:val="Compact"/>
              <w:jc w:val="left"/>
            </w:pPr>
            <w:r>
              <w:t xml:space="preserve">Failure</w:t>
            </w:r>
          </w:p>
        </w:tc>
        <w:tc>
          <w:tcPr/>
          <w:p>
            <w:pPr>
              <w:pStyle w:val="Compact"/>
              <w:jc w:val="left"/>
            </w:pPr>
            <w:r>
              <w:t xml:space="preserve">Phase</w:t>
            </w:r>
          </w:p>
        </w:tc>
        <w:tc>
          <w:tcPr/>
          <w:p>
            <w:pPr>
              <w:pStyle w:val="Compact"/>
              <w:jc w:val="left"/>
            </w:pPr>
            <w:r>
              <w:t xml:space="preserve">Symptom</w:t>
            </w:r>
          </w:p>
        </w:tc>
        <w:tc>
          <w:tcPr/>
          <w:p>
            <w:pPr>
              <w:pStyle w:val="Compact"/>
              <w:jc w:val="left"/>
            </w:pPr>
            <w:r>
              <w:t xml:space="preserve">Root cause</w:t>
            </w:r>
          </w:p>
        </w:tc>
        <w:tc>
          <w:tcPr/>
          <w:p>
            <w:pPr>
              <w:pStyle w:val="Compact"/>
              <w:jc w:val="left"/>
            </w:pPr>
            <w:r>
              <w:t xml:space="preserve">Recovery</w:t>
            </w:r>
          </w:p>
        </w:tc>
      </w:tr>
      <w:tr>
        <w:tc>
          <w:tcPr/>
          <w:p>
            <w:pPr>
              <w:pStyle w:val="Compact"/>
              <w:jc w:val="left"/>
            </w:pPr>
            <w:r>
              <w:t xml:space="preserve">Permanent hybrid</w:t>
            </w:r>
          </w:p>
        </w:tc>
        <w:tc>
          <w:tcPr/>
          <w:p>
            <w:pPr>
              <w:pStyle w:val="Compact"/>
              <w:jc w:val="left"/>
            </w:pPr>
            <w:r>
              <w:t xml:space="preserve">H1</w:t>
            </w:r>
          </w:p>
        </w:tc>
        <w:tc>
          <w:tcPr/>
          <w:p>
            <w:pPr>
              <w:pStyle w:val="Compact"/>
              <w:jc w:val="left"/>
            </w:pPr>
            <w:r>
              <w:t xml:space="preserve">Years in H1; no H2 transition</w:t>
            </w:r>
          </w:p>
        </w:tc>
        <w:tc>
          <w:tcPr/>
          <w:p>
            <w:pPr>
              <w:pStyle w:val="Compact"/>
              <w:jc w:val="left"/>
            </w:pPr>
            <w:r>
              <w:t xml:space="preserve">Missing</w:t>
            </w:r>
            <w:r>
              <w:t xml:space="preserve"> </w:t>
            </w:r>
            <w:r>
              <w:rPr>
                <w:rStyle w:val="VerbatimChar"/>
              </w:rPr>
              <w:t xml:space="preserve">h2_trigger_value</w:t>
            </w:r>
          </w:p>
        </w:tc>
        <w:tc>
          <w:tcPr/>
          <w:p>
            <w:pPr>
              <w:pStyle w:val="Compact"/>
              <w:jc w:val="left"/>
            </w:pPr>
            <w:r>
              <w:t xml:space="preserve">Retroactive policy; audit finding likely</w:t>
            </w:r>
          </w:p>
        </w:tc>
      </w:tr>
      <w:tr>
        <w:tc>
          <w:tcPr/>
          <w:p>
            <w:pPr>
              <w:pStyle w:val="Compact"/>
              <w:jc w:val="left"/>
            </w:pPr>
            <w:r>
              <w:t xml:space="preserve">Pilot-as-production</w:t>
            </w:r>
          </w:p>
        </w:tc>
        <w:tc>
          <w:tcPr/>
          <w:p>
            <w:pPr>
              <w:pStyle w:val="Compact"/>
              <w:jc w:val="left"/>
            </w:pPr>
            <w:r>
              <w:t xml:space="preserve">H1</w:t>
            </w:r>
          </w:p>
        </w:tc>
        <w:tc>
          <w:tcPr/>
          <w:p>
            <w:pPr>
              <w:pStyle w:val="Compact"/>
              <w:jc w:val="left"/>
            </w:pPr>
            <w:r>
              <w:t xml:space="preserve">One load balancer</w:t>
            </w:r>
            <w:r>
              <w:t xml:space="preserve"> </w:t>
            </w:r>
            <w:r>
              <w:t xml:space="preserve">“</w:t>
            </w:r>
            <w:r>
              <w:t xml:space="preserve">complete</w:t>
            </w:r>
            <w:r>
              <w:t xml:space="preserve">”</w:t>
            </w:r>
          </w:p>
        </w:tc>
        <w:tc>
          <w:tcPr/>
          <w:p>
            <w:pPr>
              <w:pStyle w:val="Compact"/>
              <w:jc w:val="left"/>
            </w:pPr>
            <w:r>
              <w:t xml:space="preserve">No CBOM coverage</w:t>
            </w:r>
          </w:p>
        </w:tc>
        <w:tc>
          <w:tcPr/>
          <w:p>
            <w:pPr>
              <w:pStyle w:val="Compact"/>
              <w:jc w:val="left"/>
            </w:pPr>
            <w:r>
              <w:t xml:space="preserve">Expand inventory; honest dashboard</w:t>
            </w:r>
          </w:p>
        </w:tc>
      </w:tr>
      <w:tr>
        <w:tc>
          <w:tcPr/>
          <w:p>
            <w:pPr>
              <w:pStyle w:val="Compact"/>
              <w:jc w:val="left"/>
            </w:pPr>
            <w:r>
              <w:t xml:space="preserve">Silent classical fallback</w:t>
            </w:r>
          </w:p>
        </w:tc>
        <w:tc>
          <w:tcPr/>
          <w:p>
            <w:pPr>
              <w:pStyle w:val="Compact"/>
              <w:jc w:val="left"/>
            </w:pPr>
            <w:r>
              <w:t xml:space="preserve">H1</w:t>
            </w:r>
          </w:p>
        </w:tc>
        <w:tc>
          <w:tcPr/>
          <w:p>
            <w:pPr>
              <w:pStyle w:val="Compact"/>
              <w:jc w:val="left"/>
            </w:pPr>
            <w:r>
              <w:t xml:space="preserve">Server offers hybrid; falls back without logging</w:t>
            </w:r>
          </w:p>
        </w:tc>
        <w:tc>
          <w:tcPr/>
          <w:p>
            <w:pPr>
              <w:pStyle w:val="Compact"/>
              <w:jc w:val="left"/>
            </w:pPr>
            <w:r>
              <w:t xml:space="preserve">Misconfigured cipher priority</w:t>
            </w:r>
          </w:p>
        </w:tc>
        <w:tc>
          <w:tcPr/>
          <w:p>
            <w:pPr>
              <w:pStyle w:val="Compact"/>
              <w:jc w:val="left"/>
            </w:pPr>
            <w:r>
              <w:t xml:space="preserve">Fix config; add telemetry</w:t>
            </w:r>
          </w:p>
        </w:tc>
      </w:tr>
      <w:tr>
        <w:tc>
          <w:tcPr/>
          <w:p>
            <w:pPr>
              <w:pStyle w:val="Compact"/>
              <w:jc w:val="left"/>
            </w:pPr>
            <w:r>
              <w:t xml:space="preserve">Buffer truncation</w:t>
            </w:r>
          </w:p>
        </w:tc>
        <w:tc>
          <w:tcPr/>
          <w:p>
            <w:pPr>
              <w:pStyle w:val="Compact"/>
              <w:jc w:val="left"/>
            </w:pPr>
            <w:r>
              <w:t xml:space="preserve">H1</w:t>
            </w:r>
          </w:p>
        </w:tc>
        <w:tc>
          <w:tcPr/>
          <w:p>
            <w:pPr>
              <w:pStyle w:val="Compact"/>
              <w:jc w:val="left"/>
            </w:pPr>
            <w:r>
              <w:t xml:space="preserve">Intermittent mobile failures</w:t>
            </w:r>
          </w:p>
        </w:tc>
        <w:tc>
          <w:tcPr/>
          <w:p>
            <w:pPr>
              <w:pStyle w:val="Compact"/>
              <w:jc w:val="left"/>
            </w:pPr>
            <w:r>
              <w:t xml:space="preserve">Middlebox limits</w:t>
            </w:r>
          </w:p>
        </w:tc>
        <w:tc>
          <w:tcPr/>
          <w:p>
            <w:pPr>
              <w:pStyle w:val="Compact"/>
              <w:jc w:val="left"/>
            </w:pPr>
            <w:r>
              <w:t xml:space="preserve">Infrastructure assessment</w:t>
            </w:r>
          </w:p>
        </w:tc>
      </w:tr>
      <w:tr>
        <w:tc>
          <w:tcPr/>
          <w:p>
            <w:pPr>
              <w:pStyle w:val="Compact"/>
              <w:jc w:val="left"/>
            </w:pPr>
            <w:r>
              <w:t xml:space="preserve">Combiner confusion</w:t>
            </w:r>
          </w:p>
        </w:tc>
        <w:tc>
          <w:tcPr/>
          <w:p>
            <w:pPr>
              <w:pStyle w:val="Compact"/>
              <w:jc w:val="left"/>
            </w:pPr>
            <w:r>
              <w:t xml:space="preserve">H1</w:t>
            </w:r>
          </w:p>
        </w:tc>
        <w:tc>
          <w:tcPr/>
          <w:p>
            <w:pPr>
              <w:pStyle w:val="Compact"/>
              <w:jc w:val="left"/>
            </w:pPr>
            <w:r>
              <w:t xml:space="preserve">Dual-sign policy applied to TLS KEX</w:t>
            </w:r>
          </w:p>
        </w:tc>
        <w:tc>
          <w:tcPr/>
          <w:p>
            <w:pPr>
              <w:pStyle w:val="Compact"/>
              <w:jc w:val="left"/>
            </w:pPr>
            <w:r>
              <w:t xml:space="preserve">Policy gap</w:t>
            </w:r>
          </w:p>
        </w:tc>
        <w:tc>
          <w:tcPr/>
          <w:p>
            <w:pPr>
              <w:pStyle w:val="Compact"/>
              <w:jc w:val="left"/>
            </w:pPr>
            <w:r>
              <w:t xml:space="preserve">Separate annexes</w:t>
            </w:r>
          </w:p>
        </w:tc>
      </w:tr>
      <w:tr>
        <w:tc>
          <w:tcPr/>
          <w:p>
            <w:pPr>
              <w:pStyle w:val="Compact"/>
              <w:jc w:val="left"/>
            </w:pPr>
            <w:r>
              <w:t xml:space="preserve">False H3 claim</w:t>
            </w:r>
          </w:p>
        </w:tc>
        <w:tc>
          <w:tcPr/>
          <w:p>
            <w:pPr>
              <w:pStyle w:val="Compact"/>
              <w:jc w:val="left"/>
            </w:pPr>
            <w:r>
              <w:t xml:space="preserve">H3</w:t>
            </w:r>
          </w:p>
        </w:tc>
        <w:tc>
          <w:tcPr/>
          <w:p>
            <w:pPr>
              <w:pStyle w:val="Compact"/>
              <w:jc w:val="left"/>
            </w:pPr>
            <w:r>
              <w:t xml:space="preserve">Marketing</w:t>
            </w:r>
            <w:r>
              <w:t xml:space="preserve"> </w:t>
            </w:r>
            <w:r>
              <w:t xml:space="preserve">“</w:t>
            </w:r>
            <w:r>
              <w:t xml:space="preserve">quantum-safe</w:t>
            </w:r>
            <w:r>
              <w:t xml:space="preserve">”</w:t>
            </w:r>
          </w:p>
        </w:tc>
        <w:tc>
          <w:tcPr/>
          <w:p>
            <w:pPr>
              <w:pStyle w:val="Compact"/>
              <w:jc w:val="left"/>
            </w:pPr>
            <w:r>
              <w:t xml:space="preserve">CBOM scan false negative</w:t>
            </w:r>
          </w:p>
        </w:tc>
        <w:tc>
          <w:tcPr/>
          <w:p>
            <w:pPr>
              <w:pStyle w:val="Compact"/>
              <w:jc w:val="left"/>
            </w:pPr>
            <w:r>
              <w:t xml:space="preserve">Expand discovery</w:t>
            </w:r>
          </w:p>
        </w:tc>
      </w:tr>
      <w:tr>
        <w:tc>
          <w:tcPr/>
          <w:p>
            <w:pPr>
              <w:pStyle w:val="Compact"/>
              <w:jc w:val="left"/>
            </w:pPr>
            <w:r>
              <w:t xml:space="preserve">Forced synchronisation</w:t>
            </w:r>
          </w:p>
        </w:tc>
        <w:tc>
          <w:tcPr/>
          <w:p>
            <w:pPr>
              <w:pStyle w:val="Compact"/>
              <w:jc w:val="left"/>
            </w:pPr>
            <w:r>
              <w:t xml:space="preserve">H2</w:t>
            </w:r>
          </w:p>
        </w:tc>
        <w:tc>
          <w:tcPr/>
          <w:p>
            <w:pPr>
              <w:pStyle w:val="Compact"/>
              <w:jc w:val="left"/>
            </w:pPr>
            <w:r>
              <w:t xml:space="preserve">NSS H2 delays corporate H1</w:t>
            </w:r>
          </w:p>
        </w:tc>
        <w:tc>
          <w:tcPr/>
          <w:p>
            <w:pPr>
              <w:pStyle w:val="Compact"/>
              <w:jc w:val="left"/>
            </w:pPr>
            <w:r>
              <w:t xml:space="preserve">Matrix row missing</w:t>
            </w:r>
          </w:p>
        </w:tc>
        <w:tc>
          <w:tcPr/>
          <w:p>
            <w:pPr>
              <w:pStyle w:val="Compact"/>
              <w:jc w:val="left"/>
            </w:pPr>
            <w:r>
              <w:t xml:space="preserve">Parallel phase tracking</w:t>
            </w:r>
          </w:p>
        </w:tc>
      </w:tr>
      <w:tr>
        <w:tc>
          <w:tcPr/>
          <w:p>
            <w:pPr>
              <w:pStyle w:val="Compact"/>
              <w:jc w:val="left"/>
            </w:pPr>
            <w:r>
              <w:t xml:space="preserve">Partner lag</w:t>
            </w:r>
          </w:p>
        </w:tc>
        <w:tc>
          <w:tcPr/>
          <w:p>
            <w:pPr>
              <w:pStyle w:val="Compact"/>
              <w:jc w:val="left"/>
            </w:pPr>
            <w:r>
              <w:t xml:space="preserve">H2/H3</w:t>
            </w:r>
          </w:p>
        </w:tc>
        <w:tc>
          <w:tcPr/>
          <w:p>
            <w:pPr>
              <w:pStyle w:val="Compact"/>
              <w:jc w:val="left"/>
            </w:pPr>
            <w:r>
              <w:t xml:space="preserve">Enterprise H3; partner classical</w:t>
            </w:r>
          </w:p>
        </w:tc>
        <w:tc>
          <w:tcPr/>
          <w:p>
            <w:pPr>
              <w:pStyle w:val="Compact"/>
              <w:jc w:val="left"/>
            </w:pPr>
            <w:r>
              <w:t xml:space="preserve">CDG external node</w:t>
            </w:r>
          </w:p>
        </w:tc>
        <w:tc>
          <w:tcPr/>
          <w:p>
            <w:pPr>
              <w:pStyle w:val="Compact"/>
              <w:jc w:val="left"/>
            </w:pPr>
            <w:r>
              <w:t xml:space="preserve">Partner programme</w:t>
            </w:r>
          </w:p>
        </w:tc>
      </w:tr>
      <w:tr>
        <w:tc>
          <w:tcPr/>
          <w:p>
            <w:pPr>
              <w:pStyle w:val="Compact"/>
              <w:jc w:val="left"/>
            </w:pPr>
            <w:r>
              <w:t xml:space="preserve">Exception sprawl</w:t>
            </w:r>
          </w:p>
        </w:tc>
        <w:tc>
          <w:tcPr/>
          <w:p>
            <w:pPr>
              <w:pStyle w:val="Compact"/>
              <w:jc w:val="left"/>
            </w:pPr>
            <w:r>
              <w:t xml:space="preserve">H2</w:t>
            </w:r>
          </w:p>
        </w:tc>
        <w:tc>
          <w:tcPr/>
          <w:p>
            <w:pPr>
              <w:pStyle w:val="Compact"/>
              <w:jc w:val="left"/>
            </w:pPr>
            <w:r>
              <w:t xml:space="preserve">Hundreds of classical systems</w:t>
            </w:r>
          </w:p>
        </w:tc>
        <w:tc>
          <w:tcPr/>
          <w:p>
            <w:pPr>
              <w:pStyle w:val="Compact"/>
              <w:jc w:val="left"/>
            </w:pPr>
            <w:r>
              <w:t xml:space="preserve">Weak SDLC gates</w:t>
            </w:r>
          </w:p>
        </w:tc>
        <w:tc>
          <w:tcPr/>
          <w:p>
            <w:pPr>
              <w:pStyle w:val="Compact"/>
              <w:jc w:val="left"/>
            </w:pPr>
            <w:r>
              <w:t xml:space="preserve">Steering cap</w:t>
            </w:r>
          </w:p>
        </w:tc>
      </w:tr>
      <w:tr>
        <w:tc>
          <w:tcPr/>
          <w:p>
            <w:pPr>
              <w:pStyle w:val="Compact"/>
              <w:jc w:val="left"/>
            </w:pPr>
            <w:r>
              <w:t xml:space="preserve">Tier C neglect</w:t>
            </w:r>
          </w:p>
        </w:tc>
        <w:tc>
          <w:tcPr/>
          <w:p>
            <w:pPr>
              <w:pStyle w:val="Compact"/>
              <w:jc w:val="left"/>
            </w:pPr>
            <w:r>
              <w:t xml:space="preserve">H1</w:t>
            </w:r>
          </w:p>
        </w:tc>
        <w:tc>
          <w:tcPr/>
          <w:p>
            <w:pPr>
              <w:pStyle w:val="Compact"/>
              <w:jc w:val="left"/>
            </w:pPr>
            <w:r>
              <w:t xml:space="preserve">Primary endpoint hybrid; hidden classical route</w:t>
            </w:r>
          </w:p>
        </w:tc>
        <w:tc>
          <w:tcPr/>
          <w:p>
            <w:pPr>
              <w:pStyle w:val="Compact"/>
              <w:jc w:val="left"/>
            </w:pPr>
            <w:r>
              <w:t xml:space="preserve">Uninstrumented legacy URL</w:t>
            </w:r>
          </w:p>
        </w:tc>
        <w:tc>
          <w:tcPr/>
          <w:p>
            <w:pPr>
              <w:pStyle w:val="Compact"/>
              <w:jc w:val="left"/>
            </w:pPr>
            <w:r>
              <w:t xml:space="preserve">Discovery; risk acceptance</w:t>
            </w:r>
          </w:p>
        </w:tc>
      </w:tr>
    </w:tbl>
    <w:p>
      <w:pPr>
        <w:pStyle w:val="BodyText"/>
      </w:pPr>
      <w:r>
        <w:t xml:space="preserve">Apex documented deployment failure modes in programme risk register with</w:t>
      </w:r>
      <w:r>
        <w:t xml:space="preserve"> </w:t>
      </w:r>
      <w:r>
        <w:rPr>
          <w:bCs/>
          <w:b/>
        </w:rPr>
        <w:t xml:space="preserve">RAG status per workload class</w:t>
      </w:r>
      <w:r>
        <w:t xml:space="preserve"> </w:t>
      </w:r>
      <w:r>
        <w:t xml:space="preserve">— corporate IT amber on VPN while NSS firmware green on dual-sign H2.</w:t>
      </w:r>
    </w:p>
    <w:p>
      <w:r>
        <w:pict>
          <v:rect style="width:0;height:1.5pt" o:hralign="center" o:hrstd="t" o:hr="t"/>
        </w:pict>
      </w:r>
    </w:p>
    <w:bookmarkEnd w:id="66"/>
    <w:bookmarkStart w:id="70" w:name="validation-and-interoperability-testing"/>
    <w:p>
      <w:pPr>
        <w:pStyle w:val="Heading2"/>
      </w:pPr>
      <w:r>
        <w:t xml:space="preserve">11.15 Validation and Interoperability Testing</w:t>
      </w:r>
    </w:p>
    <w:p>
      <w:pPr>
        <w:pStyle w:val="FirstParagraph"/>
      </w:pPr>
      <w:r>
        <w:t xml:space="preserve">Hybrid deployment requires</w:t>
      </w:r>
      <w:r>
        <w:t xml:space="preserve"> </w:t>
      </w:r>
      <w:r>
        <w:rPr>
          <w:bCs/>
          <w:b/>
        </w:rPr>
        <w:t xml:space="preserve">validation beyond functional test</w:t>
      </w:r>
      <w:r>
        <w:t xml:space="preserve"> </w:t>
      </w:r>
      <w:r>
        <w:t xml:space="preserve">— pattern catalogue entry is necessary, not sufficient.</w:t>
      </w:r>
    </w:p>
    <w:bookmarkStart w:id="67" w:name="minimum-test-matrix-for-h1-approval"/>
    <w:p>
      <w:pPr>
        <w:pStyle w:val="Heading3"/>
      </w:pPr>
      <w:r>
        <w:t xml:space="preserve">Minimum test matrix for H1 approval</w:t>
      </w:r>
    </w:p>
    <w:tbl>
      <w:tblPr>
        <w:tblStyle w:val="Table"/>
        <w:tblW w:type="pct" w:w="5000"/>
        <w:tblLook w:firstRow="1" w:lastRow="0" w:firstColumn="0" w:lastColumn="0" w:noHBand="0" w:noVBand="0" w:val="0020"/>
        <w:jc w:val="start"/>
      </w:tblPr>
      <w:tblGrid>
        <w:gridCol w:w="3210"/>
        <w:gridCol w:w="1498"/>
        <w:gridCol w:w="3210"/>
      </w:tblGrid>
      <w:tr>
        <w:trPr>
          <w:tblHeader w:val="true"/>
        </w:trPr>
        <w:tc>
          <w:tcPr/>
          <w:p>
            <w:pPr>
              <w:pStyle w:val="Compact"/>
              <w:jc w:val="left"/>
            </w:pPr>
            <w:r>
              <w:t xml:space="preserve">Test category</w:t>
            </w:r>
          </w:p>
        </w:tc>
        <w:tc>
          <w:tcPr/>
          <w:p>
            <w:pPr>
              <w:pStyle w:val="Compact"/>
              <w:jc w:val="left"/>
            </w:pPr>
            <w:r>
              <w:t xml:space="preserve">Scope</w:t>
            </w:r>
          </w:p>
        </w:tc>
        <w:tc>
          <w:tcPr/>
          <w:p>
            <w:pPr>
              <w:pStyle w:val="Compact"/>
              <w:jc w:val="left"/>
            </w:pPr>
            <w:r>
              <w:t xml:space="preserve">Pass criteria</w:t>
            </w:r>
          </w:p>
        </w:tc>
      </w:tr>
      <w:tr>
        <w:tc>
          <w:tcPr/>
          <w:p>
            <w:pPr>
              <w:pStyle w:val="Compact"/>
              <w:jc w:val="left"/>
            </w:pPr>
            <w:r>
              <w:t xml:space="preserve">Functional</w:t>
            </w:r>
          </w:p>
        </w:tc>
        <w:tc>
          <w:tcPr/>
          <w:p>
            <w:pPr>
              <w:pStyle w:val="Compact"/>
              <w:jc w:val="left"/>
            </w:pPr>
            <w:r>
              <w:t xml:space="preserve">Client ↔ server handshake</w:t>
            </w:r>
          </w:p>
        </w:tc>
        <w:tc>
          <w:tcPr/>
          <w:p>
            <w:pPr>
              <w:pStyle w:val="Compact"/>
              <w:jc w:val="left"/>
            </w:pPr>
            <w:r>
              <w:t xml:space="preserve">100% success on approved client matrix</w:t>
            </w:r>
          </w:p>
        </w:tc>
      </w:tr>
      <w:tr>
        <w:tc>
          <w:tcPr/>
          <w:p>
            <w:pPr>
              <w:pStyle w:val="Compact"/>
              <w:jc w:val="left"/>
            </w:pPr>
            <w:r>
              <w:t xml:space="preserve">Interoperability</w:t>
            </w:r>
          </w:p>
        </w:tc>
        <w:tc>
          <w:tcPr/>
          <w:p>
            <w:pPr>
              <w:pStyle w:val="Compact"/>
              <w:jc w:val="left"/>
            </w:pPr>
            <w:r>
              <w:t xml:space="preserve">Partner / tenant sample</w:t>
            </w:r>
          </w:p>
        </w:tc>
        <w:tc>
          <w:tcPr/>
          <w:p>
            <w:pPr>
              <w:pStyle w:val="Compact"/>
              <w:jc w:val="left"/>
            </w:pPr>
            <w:r>
              <w:t xml:space="preserve">Zero Sev 1 failures in 7-day soak</w:t>
            </w:r>
          </w:p>
        </w:tc>
      </w:tr>
      <w:tr>
        <w:tc>
          <w:tcPr/>
          <w:p>
            <w:pPr>
              <w:pStyle w:val="Compact"/>
              <w:jc w:val="left"/>
            </w:pPr>
            <w:r>
              <w:t xml:space="preserve">Performance</w:t>
            </w:r>
          </w:p>
        </w:tc>
        <w:tc>
          <w:tcPr/>
          <w:p>
            <w:pPr>
              <w:pStyle w:val="Compact"/>
              <w:jc w:val="left"/>
            </w:pPr>
            <w:r>
              <w:t xml:space="preserve">P95 latency under production load</w:t>
            </w:r>
          </w:p>
        </w:tc>
        <w:tc>
          <w:tcPr/>
          <w:p>
            <w:pPr>
              <w:pStyle w:val="Compact"/>
              <w:jc w:val="left"/>
            </w:pPr>
            <w:r>
              <w:t xml:space="preserve">Within SLA budget</w:t>
            </w:r>
          </w:p>
        </w:tc>
      </w:tr>
      <w:tr>
        <w:tc>
          <w:tcPr/>
          <w:p>
            <w:pPr>
              <w:pStyle w:val="Compact"/>
              <w:jc w:val="left"/>
            </w:pPr>
            <w:r>
              <w:t xml:space="preserve">Rollback</w:t>
            </w:r>
          </w:p>
        </w:tc>
        <w:tc>
          <w:tcPr/>
          <w:p>
            <w:pPr>
              <w:pStyle w:val="Compact"/>
              <w:jc w:val="left"/>
            </w:pPr>
            <w:r>
              <w:t xml:space="preserve">Disable hybrid group</w:t>
            </w:r>
          </w:p>
        </w:tc>
        <w:tc>
          <w:tcPr/>
          <w:p>
            <w:pPr>
              <w:pStyle w:val="Compact"/>
              <w:jc w:val="left"/>
            </w:pPr>
            <w:r>
              <w:t xml:space="preserve">Recovery &lt; change window</w:t>
            </w:r>
          </w:p>
        </w:tc>
      </w:tr>
      <w:tr>
        <w:tc>
          <w:tcPr/>
          <w:p>
            <w:pPr>
              <w:pStyle w:val="Compact"/>
              <w:jc w:val="left"/>
            </w:pPr>
            <w:r>
              <w:t xml:space="preserve">Buffer stress</w:t>
            </w:r>
          </w:p>
        </w:tc>
        <w:tc>
          <w:tcPr/>
          <w:p>
            <w:pPr>
              <w:pStyle w:val="Compact"/>
              <w:jc w:val="left"/>
            </w:pPr>
            <w:r>
              <w:t xml:space="preserve">Maximum cert chain + hybrid</w:t>
            </w:r>
          </w:p>
        </w:tc>
        <w:tc>
          <w:tcPr/>
          <w:p>
            <w:pPr>
              <w:pStyle w:val="Compact"/>
              <w:jc w:val="left"/>
            </w:pPr>
            <w:r>
              <w:t xml:space="preserve">No truncation on inspection path</w:t>
            </w:r>
          </w:p>
        </w:tc>
      </w:tr>
      <w:tr>
        <w:tc>
          <w:tcPr/>
          <w:p>
            <w:pPr>
              <w:pStyle w:val="Compact"/>
              <w:jc w:val="left"/>
            </w:pPr>
            <w:r>
              <w:t xml:space="preserve">Monitoring</w:t>
            </w:r>
          </w:p>
        </w:tc>
        <w:tc>
          <w:tcPr/>
          <w:p>
            <w:pPr>
              <w:pStyle w:val="Compact"/>
              <w:jc w:val="left"/>
            </w:pPr>
            <w:r>
              <w:t xml:space="preserve">Telemetry dashboards</w:t>
            </w:r>
          </w:p>
        </w:tc>
        <w:tc>
          <w:tcPr/>
          <w:p>
            <w:pPr>
              <w:pStyle w:val="Compact"/>
              <w:jc w:val="left"/>
            </w:pPr>
            <w:r>
              <w:rPr>
                <w:rStyle w:val="VerbatimChar"/>
              </w:rPr>
              <w:t xml:space="preserve">hybrid_negotiation_rate</w:t>
            </w:r>
            <w:r>
              <w:t xml:space="preserve"> </w:t>
            </w:r>
            <w:r>
              <w:t xml:space="preserve">populated</w:t>
            </w:r>
          </w:p>
        </w:tc>
      </w:tr>
      <w:tr>
        <w:tc>
          <w:tcPr/>
          <w:p>
            <w:pPr>
              <w:pStyle w:val="Compact"/>
              <w:jc w:val="left"/>
            </w:pPr>
            <w:r>
              <w:t xml:space="preserve">CBOM</w:t>
            </w:r>
          </w:p>
        </w:tc>
        <w:tc>
          <w:tcPr/>
          <w:p>
            <w:pPr>
              <w:pStyle w:val="Compact"/>
              <w:jc w:val="left"/>
            </w:pPr>
            <w:r>
              <w:t xml:space="preserve">Attribute completeness</w:t>
            </w:r>
          </w:p>
        </w:tc>
        <w:tc>
          <w:tcPr/>
          <w:p>
            <w:pPr>
              <w:pStyle w:val="Compact"/>
              <w:jc w:val="left"/>
            </w:pPr>
            <w:r>
              <w:t xml:space="preserve">All HLM fields present</w:t>
            </w:r>
          </w:p>
        </w:tc>
      </w:tr>
    </w:tbl>
    <w:p>
      <w:pPr>
        <w:pStyle w:val="BodyText"/>
      </w:pPr>
      <w:r>
        <w:t xml:space="preserve">Meridian required</w:t>
      </w:r>
      <w:r>
        <w:t xml:space="preserve"> </w:t>
      </w:r>
      <w:r>
        <w:rPr>
          <w:bCs/>
          <w:b/>
        </w:rPr>
        <w:t xml:space="preserve">production traffic shadowing</w:t>
      </w:r>
      <w:r>
        <w:t xml:space="preserve"> </w:t>
      </w:r>
      <w:r>
        <w:t xml:space="preserve">— hybrid enabled on mirror endpoint receiving 5% traffic clone — before primary cutover. Northfield required</w:t>
      </w:r>
      <w:r>
        <w:t xml:space="preserve"> </w:t>
      </w:r>
      <w:r>
        <w:rPr>
          <w:bCs/>
          <w:b/>
        </w:rPr>
        <w:t xml:space="preserve">30-day OT pilot</w:t>
      </w:r>
      <w:r>
        <w:t xml:space="preserve"> </w:t>
      </w:r>
      <w:r>
        <w:t xml:space="preserve">with historian replay validation.</w:t>
      </w:r>
    </w:p>
    <w:p>
      <w:pPr>
        <w:pStyle w:val="BodyText"/>
      </w:pPr>
      <w:r>
        <w:t xml:space="preserve">Interoperability testing with</w:t>
      </w:r>
      <w:r>
        <w:t xml:space="preserve"> </w:t>
      </w:r>
      <w:r>
        <w:rPr>
          <w:bCs/>
          <w:b/>
        </w:rPr>
        <w:t xml:space="preserve">partners</w:t>
      </w:r>
      <w:r>
        <w:t xml:space="preserve"> </w:t>
      </w:r>
      <w:r>
        <w:t xml:space="preserve">precedes microservice waves when CDG shows</w:t>
      </w:r>
      <w:r>
        <w:t xml:space="preserve"> </w:t>
      </w:r>
      <w:r>
        <w:rPr>
          <w:rStyle w:val="VerbatimChar"/>
        </w:rPr>
        <w:t xml:space="preserve">trusts</w:t>
      </w:r>
      <w:r>
        <w:t xml:space="preserve"> </w:t>
      </w:r>
      <w:r>
        <w:t xml:space="preserve">edges to external policy nodes — GlobalSync’s nine-month partner programme pattern.</w:t>
      </w:r>
    </w:p>
    <w:bookmarkEnd w:id="67"/>
    <w:bookmarkStart w:id="68" w:name="rollback-and-incident-response"/>
    <w:p>
      <w:pPr>
        <w:pStyle w:val="Heading3"/>
      </w:pPr>
      <w:r>
        <w:t xml:space="preserve">Rollback and incident response</w:t>
      </w:r>
    </w:p>
    <w:p>
      <w:pPr>
        <w:pStyle w:val="FirstParagraph"/>
      </w:pPr>
      <w:r>
        <w:t xml:space="preserve">Hybrid deployments require</w:t>
      </w:r>
      <w:r>
        <w:t xml:space="preserve"> </w:t>
      </w:r>
      <w:r>
        <w:rPr>
          <w:bCs/>
          <w:b/>
        </w:rPr>
        <w:t xml:space="preserve">tested rollback</w:t>
      </w:r>
      <w:r>
        <w:t xml:space="preserve"> </w:t>
      </w:r>
      <w:r>
        <w:t xml:space="preserve">— not theoretical classical fallback.</w:t>
      </w:r>
    </w:p>
    <w:tbl>
      <w:tblPr>
        <w:tblStyle w:val="Table"/>
        <w:tblW w:type="pct" w:w="5000"/>
        <w:tblLook w:firstRow="1" w:lastRow="0" w:firstColumn="0" w:lastColumn="0" w:noHBand="0" w:noVBand="0" w:val="0020"/>
        <w:jc w:val="start"/>
      </w:tblPr>
      <w:tblGrid>
        <w:gridCol w:w="2030"/>
        <w:gridCol w:w="3452"/>
        <w:gridCol w:w="2436"/>
      </w:tblGrid>
      <w:tr>
        <w:trPr>
          <w:tblHeader w:val="true"/>
        </w:trPr>
        <w:tc>
          <w:tcPr/>
          <w:p>
            <w:pPr>
              <w:pStyle w:val="Compact"/>
              <w:jc w:val="left"/>
            </w:pPr>
            <w:r>
              <w:t xml:space="preserve">Scenario</w:t>
            </w:r>
          </w:p>
        </w:tc>
        <w:tc>
          <w:tcPr/>
          <w:p>
            <w:pPr>
              <w:pStyle w:val="Compact"/>
              <w:jc w:val="left"/>
            </w:pPr>
            <w:r>
              <w:t xml:space="preserve">Rollback posture</w:t>
            </w:r>
          </w:p>
        </w:tc>
        <w:tc>
          <w:tcPr/>
          <w:p>
            <w:pPr>
              <w:pStyle w:val="Compact"/>
              <w:jc w:val="left"/>
            </w:pPr>
            <w:r>
              <w:t xml:space="preserve">HLM impact</w:t>
            </w:r>
          </w:p>
        </w:tc>
      </w:tr>
      <w:tr>
        <w:tc>
          <w:tcPr/>
          <w:p>
            <w:pPr>
              <w:pStyle w:val="Compact"/>
              <w:jc w:val="left"/>
            </w:pPr>
            <w:r>
              <w:t xml:space="preserve">Hybrid causes Sev 1 outage</w:t>
            </w:r>
          </w:p>
        </w:tc>
        <w:tc>
          <w:tcPr/>
          <w:p>
            <w:pPr>
              <w:pStyle w:val="Compact"/>
              <w:jc w:val="left"/>
            </w:pPr>
            <w:r>
              <w:t xml:space="preserve">Revert to classical-only on affected endpoint</w:t>
            </w:r>
          </w:p>
        </w:tc>
        <w:tc>
          <w:tcPr/>
          <w:p>
            <w:pPr>
              <w:pStyle w:val="Compact"/>
              <w:jc w:val="left"/>
            </w:pPr>
            <w:r>
              <w:t xml:space="preserve">Remains H1; incident review</w:t>
            </w:r>
          </w:p>
        </w:tc>
      </w:tr>
      <w:tr>
        <w:tc>
          <w:tcPr/>
          <w:p>
            <w:pPr>
              <w:pStyle w:val="Compact"/>
              <w:jc w:val="left"/>
            </w:pPr>
            <w:r>
              <w:t xml:space="preserve">Hybrid negotiation bug in library</w:t>
            </w:r>
          </w:p>
        </w:tc>
        <w:tc>
          <w:tcPr/>
          <w:p>
            <w:pPr>
              <w:pStyle w:val="Compact"/>
              <w:jc w:val="left"/>
            </w:pPr>
            <w:r>
              <w:t xml:space="preserve">Pin previous library; disable hybrid group</w:t>
            </w:r>
          </w:p>
        </w:tc>
        <w:tc>
          <w:tcPr/>
          <w:p>
            <w:pPr>
              <w:pStyle w:val="Compact"/>
              <w:jc w:val="left"/>
            </w:pPr>
            <w:r>
              <w:t xml:space="preserve">H1 extended; vendor ticket</w:t>
            </w:r>
          </w:p>
        </w:tc>
      </w:tr>
      <w:tr>
        <w:tc>
          <w:tcPr/>
          <w:p>
            <w:pPr>
              <w:pStyle w:val="Compact"/>
              <w:jc w:val="left"/>
            </w:pPr>
            <w:r>
              <w:t xml:space="preserve">Erroneous H2 transition</w:t>
            </w:r>
          </w:p>
        </w:tc>
        <w:tc>
          <w:tcPr/>
          <w:p>
            <w:pPr>
              <w:pStyle w:val="Compact"/>
              <w:jc w:val="left"/>
            </w:pPr>
            <w:r>
              <w:t xml:space="preserve">Re-enable hybrid on subset</w:t>
            </w:r>
          </w:p>
        </w:tc>
        <w:tc>
          <w:tcPr/>
          <w:p>
            <w:pPr>
              <w:pStyle w:val="Compact"/>
              <w:jc w:val="left"/>
            </w:pPr>
            <w:r>
              <w:t xml:space="preserve">H2 scope correction</w:t>
            </w:r>
          </w:p>
        </w:tc>
      </w:tr>
      <w:tr>
        <w:tc>
          <w:tcPr/>
          <w:p>
            <w:pPr>
              <w:pStyle w:val="Compact"/>
              <w:jc w:val="left"/>
            </w:pPr>
            <w:r>
              <w:t xml:space="preserve">Post-quantum component vulnerability (hypothetical)</w:t>
            </w:r>
          </w:p>
        </w:tc>
        <w:tc>
          <w:tcPr/>
          <w:p>
            <w:pPr>
              <w:pStyle w:val="Compact"/>
              <w:jc w:val="left"/>
            </w:pPr>
            <w:r>
              <w:t xml:space="preserve">Emergency classical-only per incident response plan</w:t>
            </w:r>
          </w:p>
        </w:tc>
        <w:tc>
          <w:tcPr/>
          <w:p>
            <w:pPr>
              <w:pStyle w:val="Compact"/>
              <w:jc w:val="left"/>
            </w:pPr>
            <w:r>
              <w:t xml:space="preserve">CISO + policy committee</w:t>
            </w:r>
          </w:p>
        </w:tc>
      </w:tr>
    </w:tbl>
    <w:p>
      <w:pPr>
        <w:pStyle w:val="BodyText"/>
      </w:pPr>
      <w:r>
        <w:t xml:space="preserve">Meridian tested rollback in</w:t>
      </w:r>
      <w:r>
        <w:t xml:space="preserve"> </w:t>
      </w:r>
      <w:r>
        <w:rPr>
          <w:bCs/>
          <w:b/>
        </w:rPr>
        <w:t xml:space="preserve">scheduled change window</w:t>
      </w:r>
      <w:r>
        <w:t xml:space="preserve"> </w:t>
      </w:r>
      <w:r>
        <w:t xml:space="preserve">— classical-only restoration in four minutes via load balancer policy toggle; CBOM</w:t>
      </w:r>
      <w:r>
        <w:t xml:space="preserve"> </w:t>
      </w:r>
      <w:r>
        <w:rPr>
          <w:rStyle w:val="VerbatimChar"/>
        </w:rPr>
        <w:t xml:space="preserve">hlm_phase</w:t>
      </w:r>
      <w:r>
        <w:t xml:space="preserve"> </w:t>
      </w:r>
      <w:r>
        <w:t xml:space="preserve">remained H1 with incident annotation. Rollback without governance update produces</w:t>
      </w:r>
      <w:r>
        <w:t xml:space="preserve"> </w:t>
      </w:r>
      <w:r>
        <w:rPr>
          <w:bCs/>
          <w:b/>
        </w:rPr>
        <w:t xml:space="preserve">false H3</w:t>
      </w:r>
      <w:r>
        <w:t xml:space="preserve"> </w:t>
      </w:r>
      <w:r>
        <w:t xml:space="preserve">claims in stale inventory.</w:t>
      </w:r>
    </w:p>
    <w:p>
      <w:pPr>
        <w:pStyle w:val="BodyText"/>
      </w:pPr>
      <w:r>
        <w:t xml:space="preserve">Northfield OT rollback was</w:t>
      </w:r>
      <w:r>
        <w:t xml:space="preserve"> </w:t>
      </w:r>
      <w:r>
        <w:rPr>
          <w:bCs/>
          <w:b/>
        </w:rPr>
        <w:t xml:space="preserve">slower by design</w:t>
      </w:r>
      <w:r>
        <w:t xml:space="preserve"> </w:t>
      </w:r>
      <w:r>
        <w:t xml:space="preserve">— VPN hybrid rollback required staged concentrator failover with historian replication pause; runbook measured</w:t>
      </w:r>
      <w:r>
        <w:t xml:space="preserve"> </w:t>
      </w:r>
      <w:r>
        <w:rPr>
          <w:bCs/>
          <w:b/>
        </w:rPr>
        <w:t xml:space="preserve">45 minutes</w:t>
      </w:r>
      <w:r>
        <w:t xml:space="preserve"> </w:t>
      </w:r>
      <w:r>
        <w:t xml:space="preserve">acceptable for OT maintenance window. OT programmes must budget rollback differently from cloud API tiers.</w:t>
      </w:r>
    </w:p>
    <w:bookmarkEnd w:id="68"/>
    <w:bookmarkStart w:id="69" w:name="performance-regression-testing"/>
    <w:p>
      <w:pPr>
        <w:pStyle w:val="Heading3"/>
      </w:pPr>
      <w:r>
        <w:t xml:space="preserve">Performance regression testing</w:t>
      </w:r>
    </w:p>
    <w:tbl>
      <w:tblPr>
        <w:tblStyle w:val="Table"/>
        <w:tblW w:type="pct" w:w="5000"/>
        <w:tblLook w:firstRow="1" w:lastRow="0" w:firstColumn="0" w:lastColumn="0" w:noHBand="0" w:noVBand="0" w:val="0020"/>
        <w:jc w:val="start"/>
      </w:tblPr>
      <w:tblGrid>
        <w:gridCol w:w="1365"/>
        <w:gridCol w:w="1092"/>
        <w:gridCol w:w="2594"/>
        <w:gridCol w:w="2867"/>
      </w:tblGrid>
      <w:tr>
        <w:trPr>
          <w:tblHeader w:val="true"/>
        </w:trPr>
        <w:tc>
          <w:tcPr/>
          <w:p>
            <w:pPr>
              <w:pStyle w:val="Compact"/>
              <w:jc w:val="left"/>
            </w:pPr>
            <w:r>
              <w:t xml:space="preserve">Workload</w:t>
            </w:r>
          </w:p>
        </w:tc>
        <w:tc>
          <w:tcPr/>
          <w:p>
            <w:pPr>
              <w:pStyle w:val="Compact"/>
              <w:jc w:val="left"/>
            </w:pPr>
            <w:r>
              <w:t xml:space="preserve">Metric</w:t>
            </w:r>
          </w:p>
        </w:tc>
        <w:tc>
          <w:tcPr/>
          <w:p>
            <w:pPr>
              <w:pStyle w:val="Compact"/>
              <w:jc w:val="left"/>
            </w:pPr>
            <w:r>
              <w:t xml:space="preserve">Meridian threshold</w:t>
            </w:r>
          </w:p>
        </w:tc>
        <w:tc>
          <w:tcPr/>
          <w:p>
            <w:pPr>
              <w:pStyle w:val="Compact"/>
              <w:jc w:val="left"/>
            </w:pPr>
            <w:r>
              <w:t xml:space="preserve">Northfield threshold</w:t>
            </w:r>
          </w:p>
        </w:tc>
      </w:tr>
      <w:tr>
        <w:tc>
          <w:tcPr/>
          <w:p>
            <w:pPr>
              <w:pStyle w:val="Compact"/>
              <w:jc w:val="left"/>
            </w:pPr>
            <w:r>
              <w:t xml:space="preserve">API TLS</w:t>
            </w:r>
          </w:p>
        </w:tc>
        <w:tc>
          <w:tcPr/>
          <w:p>
            <w:pPr>
              <w:pStyle w:val="Compact"/>
              <w:jc w:val="left"/>
            </w:pPr>
            <w:r>
              <w:t xml:space="preserve">P99 handshake latency</w:t>
            </w:r>
          </w:p>
        </w:tc>
        <w:tc>
          <w:tcPr/>
          <w:p>
            <w:pPr>
              <w:pStyle w:val="Compact"/>
              <w:jc w:val="left"/>
            </w:pPr>
            <w:r>
              <w:t xml:space="preserve">&lt;15 ms increase</w:t>
            </w:r>
          </w:p>
        </w:tc>
        <w:tc>
          <w:tcPr/>
          <w:p>
            <w:pPr>
              <w:pStyle w:val="Compact"/>
              <w:jc w:val="left"/>
            </w:pPr>
            <w:r>
              <w:t xml:space="preserve">N/A</w:t>
            </w:r>
          </w:p>
        </w:tc>
      </w:tr>
      <w:tr>
        <w:tc>
          <w:tcPr/>
          <w:p>
            <w:pPr>
              <w:pStyle w:val="Compact"/>
              <w:jc w:val="left"/>
            </w:pPr>
            <w:r>
              <w:t xml:space="preserve">API TLS</w:t>
            </w:r>
          </w:p>
        </w:tc>
        <w:tc>
          <w:tcPr/>
          <w:p>
            <w:pPr>
              <w:pStyle w:val="Compact"/>
              <w:jc w:val="left"/>
            </w:pPr>
            <w:r>
              <w:t xml:space="preserve">Throughput (RPS)</w:t>
            </w:r>
          </w:p>
        </w:tc>
        <w:tc>
          <w:tcPr/>
          <w:p>
            <w:pPr>
              <w:pStyle w:val="Compact"/>
              <w:jc w:val="left"/>
            </w:pPr>
            <w:r>
              <w:t xml:space="preserve">&lt;3% decrease</w:t>
            </w:r>
          </w:p>
        </w:tc>
        <w:tc>
          <w:tcPr/>
          <w:p>
            <w:pPr>
              <w:pStyle w:val="Compact"/>
              <w:jc w:val="left"/>
            </w:pPr>
            <w:r>
              <w:t xml:space="preserve">N/A</w:t>
            </w:r>
          </w:p>
        </w:tc>
      </w:tr>
      <w:tr>
        <w:tc>
          <w:tcPr/>
          <w:p>
            <w:pPr>
              <w:pStyle w:val="Compact"/>
              <w:jc w:val="left"/>
            </w:pPr>
            <w:r>
              <w:t xml:space="preserve">VPN IKE</w:t>
            </w:r>
          </w:p>
        </w:tc>
        <w:tc>
          <w:tcPr/>
          <w:p>
            <w:pPr>
              <w:pStyle w:val="Compact"/>
              <w:jc w:val="left"/>
            </w:pPr>
            <w:r>
              <w:t xml:space="preserve">Rekey time</w:t>
            </w:r>
          </w:p>
        </w:tc>
        <w:tc>
          <w:tcPr/>
          <w:p>
            <w:pPr>
              <w:pStyle w:val="Compact"/>
              <w:jc w:val="left"/>
            </w:pPr>
            <w:r>
              <w:t xml:space="preserve">N/A</w:t>
            </w:r>
          </w:p>
        </w:tc>
        <w:tc>
          <w:tcPr/>
          <w:p>
            <w:pPr>
              <w:pStyle w:val="Compact"/>
              <w:jc w:val="left"/>
            </w:pPr>
            <w:r>
              <w:t xml:space="preserve">&lt;2× baseline</w:t>
            </w:r>
          </w:p>
        </w:tc>
      </w:tr>
      <w:tr>
        <w:tc>
          <w:tcPr/>
          <w:p>
            <w:pPr>
              <w:pStyle w:val="Compact"/>
              <w:jc w:val="left"/>
            </w:pPr>
            <w:r>
              <w:t xml:space="preserve">VPN IKE</w:t>
            </w:r>
          </w:p>
        </w:tc>
        <w:tc>
          <w:tcPr/>
          <w:p>
            <w:pPr>
              <w:pStyle w:val="Compact"/>
              <w:jc w:val="left"/>
            </w:pPr>
            <w:r>
              <w:t xml:space="preserve">Historian gap during rekey</w:t>
            </w:r>
          </w:p>
        </w:tc>
        <w:tc>
          <w:tcPr/>
          <w:p>
            <w:pPr>
              <w:pStyle w:val="Compact"/>
              <w:jc w:val="left"/>
            </w:pPr>
            <w:r>
              <w:t xml:space="preserve">N/A</w:t>
            </w:r>
          </w:p>
        </w:tc>
        <w:tc>
          <w:tcPr/>
          <w:p>
            <w:pPr>
              <w:pStyle w:val="Compact"/>
              <w:jc w:val="left"/>
            </w:pPr>
            <w:r>
              <w:t xml:space="preserve">Zero data loss</w:t>
            </w:r>
          </w:p>
        </w:tc>
      </w:tr>
      <w:tr>
        <w:tc>
          <w:tcPr/>
          <w:p>
            <w:pPr>
              <w:pStyle w:val="Compact"/>
              <w:jc w:val="left"/>
            </w:pPr>
            <w:r>
              <w:t xml:space="preserve">Firmware dual-sign</w:t>
            </w:r>
          </w:p>
        </w:tc>
        <w:tc>
          <w:tcPr/>
          <w:p>
            <w:pPr>
              <w:pStyle w:val="Compact"/>
              <w:jc w:val="left"/>
            </w:pPr>
            <w:r>
              <w:t xml:space="preserve">Sign operation time</w:t>
            </w:r>
          </w:p>
        </w:tc>
        <w:tc>
          <w:tcPr/>
          <w:p>
            <w:pPr>
              <w:pStyle w:val="Compact"/>
              <w:jc w:val="left"/>
            </w:pPr>
            <w:r>
              <w:t xml:space="preserve">N/A</w:t>
            </w:r>
          </w:p>
        </w:tc>
        <w:tc>
          <w:tcPr/>
          <w:p>
            <w:pPr>
              <w:pStyle w:val="Compact"/>
              <w:jc w:val="left"/>
            </w:pPr>
            <w:r>
              <w:t xml:space="preserve">&lt;30s per image (line rate)</w:t>
            </w:r>
          </w:p>
        </w:tc>
      </w:tr>
    </w:tbl>
    <w:p>
      <w:pPr>
        <w:pStyle w:val="BodyText"/>
      </w:pPr>
      <w:r>
        <w:t xml:space="preserve">Apex NSS firmware dual-sign increased signing time</w:t>
      </w:r>
      <w:r>
        <w:t xml:space="preserve"> </w:t>
      </w:r>
      <w:r>
        <w:rPr>
          <w:bCs/>
          <w:b/>
        </w:rPr>
        <w:t xml:space="preserve">18%</w:t>
      </w:r>
      <w:r>
        <w:t xml:space="preserve"> </w:t>
      </w:r>
      <w:r>
        <w:t xml:space="preserve">on existing HSM — within budget; corporate IT on softer SLAs might have deferred without measurement.</w:t>
      </w:r>
    </w:p>
    <w:p>
      <w:r>
        <w:pict>
          <v:rect style="width:0;height:1.5pt" o:hralign="center" o:hrstd="t" o:hr="t"/>
        </w:pict>
      </w:r>
    </w:p>
    <w:bookmarkEnd w:id="69"/>
    <w:bookmarkEnd w:id="70"/>
    <w:bookmarkStart w:id="76" w:name="governance-integration"/>
    <w:p>
      <w:pPr>
        <w:pStyle w:val="Heading2"/>
      </w:pPr>
      <w:r>
        <w:t xml:space="preserve">11.16 Governance Integration</w:t>
      </w:r>
    </w:p>
    <w:p>
      <w:pPr>
        <w:pStyle w:val="FirstParagraph"/>
      </w:pPr>
      <w:r>
        <w:t xml:space="preserve">Hybrid patterns sit at the intersection of Policy, Operational, and Architecture layers (PQC Governance Stack, Chapter 3).</w:t>
      </w:r>
    </w:p>
    <w:bookmarkStart w:id="71" w:name="change-management-integration"/>
    <w:p>
      <w:pPr>
        <w:pStyle w:val="Heading3"/>
      </w:pPr>
      <w:r>
        <w:t xml:space="preserve">Change management integration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Check</w:t>
            </w:r>
          </w:p>
        </w:tc>
      </w:tr>
      <w:tr>
        <w:tc>
          <w:tcPr/>
          <w:p>
            <w:pPr>
              <w:pStyle w:val="Compact"/>
              <w:jc w:val="left"/>
            </w:pPr>
            <w:r>
              <w:t xml:space="preserve">Architecture review</w:t>
            </w:r>
          </w:p>
        </w:tc>
        <w:tc>
          <w:tcPr/>
          <w:p>
            <w:pPr>
              <w:pStyle w:val="Compact"/>
              <w:jc w:val="left"/>
            </w:pPr>
            <w:r>
              <w:t xml:space="preserve">Approved construction in Table 11.3</w:t>
            </w:r>
          </w:p>
        </w:tc>
      </w:tr>
      <w:tr>
        <w:tc>
          <w:tcPr/>
          <w:p>
            <w:pPr>
              <w:pStyle w:val="Compact"/>
              <w:jc w:val="left"/>
            </w:pPr>
            <w:r>
              <w:t xml:space="preserve">Security review</w:t>
            </w:r>
          </w:p>
        </w:tc>
        <w:tc>
          <w:tcPr/>
          <w:p>
            <w:pPr>
              <w:pStyle w:val="Compact"/>
              <w:jc w:val="left"/>
            </w:pPr>
            <w:r>
              <w:t xml:space="preserve">Combiner model correct for use case</w:t>
            </w:r>
          </w:p>
        </w:tc>
      </w:tr>
      <w:tr>
        <w:tc>
          <w:tcPr/>
          <w:p>
            <w:pPr>
              <w:pStyle w:val="Compact"/>
              <w:jc w:val="left"/>
            </w:pPr>
            <w:r>
              <w:t xml:space="preserve">Change advisory board</w:t>
            </w:r>
          </w:p>
        </w:tc>
        <w:tc>
          <w:tcPr/>
          <w:p>
            <w:pPr>
              <w:pStyle w:val="Compact"/>
              <w:jc w:val="left"/>
            </w:pPr>
            <w:r>
              <w:rPr>
                <w:rStyle w:val="VerbatimChar"/>
              </w:rPr>
              <w:t xml:space="preserve">h2_trigger_value</w:t>
            </w:r>
            <w:r>
              <w:t xml:space="preserve"> </w:t>
            </w:r>
            <w:r>
              <w:t xml:space="preserve">present</w:t>
            </w:r>
          </w:p>
        </w:tc>
      </w:tr>
      <w:tr>
        <w:tc>
          <w:tcPr/>
          <w:p>
            <w:pPr>
              <w:pStyle w:val="Compact"/>
              <w:jc w:val="left"/>
            </w:pPr>
            <w:r>
              <w:t xml:space="preserve">Operational readiness</w:t>
            </w:r>
          </w:p>
        </w:tc>
        <w:tc>
          <w:tcPr/>
          <w:p>
            <w:pPr>
              <w:pStyle w:val="Compact"/>
              <w:jc w:val="left"/>
            </w:pPr>
            <w:r>
              <w:t xml:space="preserve">Rollback tested; monitoring live</w:t>
            </w:r>
          </w:p>
        </w:tc>
      </w:tr>
      <w:tr>
        <w:tc>
          <w:tcPr/>
          <w:p>
            <w:pPr>
              <w:pStyle w:val="Compact"/>
              <w:jc w:val="left"/>
            </w:pPr>
            <w:r>
              <w:t xml:space="preserve">Procurement</w:t>
            </w:r>
          </w:p>
        </w:tc>
        <w:tc>
          <w:tcPr/>
          <w:p>
            <w:pPr>
              <w:pStyle w:val="Compact"/>
              <w:jc w:val="left"/>
            </w:pPr>
            <w:r>
              <w:t xml:space="preserve">Vendor profile matches</w:t>
            </w:r>
            <w:r>
              <w:t xml:space="preserve"> </w:t>
            </w:r>
            <w:r>
              <w:rPr>
                <w:rStyle w:val="VerbatimChar"/>
              </w:rPr>
              <w:t xml:space="preserve">hybrid_construction_ref</w:t>
            </w:r>
          </w:p>
        </w:tc>
      </w:tr>
    </w:tbl>
    <w:bookmarkEnd w:id="71"/>
    <w:bookmarkStart w:id="72" w:name="steering-committee-metrics"/>
    <w:p>
      <w:pPr>
        <w:pStyle w:val="Heading3"/>
      </w:pPr>
      <w:r>
        <w:t xml:space="preserve">Steering committee metrics</w:t>
      </w:r>
    </w:p>
    <w:p>
      <w:pPr>
        <w:pStyle w:val="FirstParagraph"/>
      </w:pPr>
      <w:r>
        <w:t xml:space="preserve">Reuse Chapter 5 Table 5.6 with deployment additions: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Deployment interpretation</w:t>
            </w:r>
          </w:p>
        </w:tc>
      </w:tr>
      <w:tr>
        <w:tc>
          <w:tcPr/>
          <w:p>
            <w:pPr>
              <w:pStyle w:val="Compact"/>
              <w:jc w:val="left"/>
            </w:pPr>
            <w:r>
              <w:rPr>
                <w:rStyle w:val="VerbatimChar"/>
              </w:rPr>
              <w:t xml:space="preserve">hybrid_negotiation_rate</w:t>
            </w:r>
          </w:p>
        </w:tc>
        <w:tc>
          <w:tcPr/>
          <w:p>
            <w:pPr>
              <w:pStyle w:val="Compact"/>
              <w:jc w:val="left"/>
            </w:pPr>
            <w:r>
              <w:t xml:space="preserve">Ecosystem gate progress</w:t>
            </w:r>
          </w:p>
        </w:tc>
      </w:tr>
      <w:tr>
        <w:tc>
          <w:tcPr/>
          <w:p>
            <w:pPr>
              <w:pStyle w:val="Compact"/>
              <w:jc w:val="left"/>
            </w:pPr>
            <w:r>
              <w:t xml:space="preserve">Tier C traffic share</w:t>
            </w:r>
          </w:p>
        </w:tc>
        <w:tc>
          <w:tcPr/>
          <w:p>
            <w:pPr>
              <w:pStyle w:val="Compact"/>
              <w:jc w:val="left"/>
            </w:pPr>
            <w:r>
              <w:t xml:space="preserve">Commercial risk concentration</w:t>
            </w:r>
          </w:p>
        </w:tc>
      </w:tr>
      <w:tr>
        <w:tc>
          <w:tcPr/>
          <w:p>
            <w:pPr>
              <w:pStyle w:val="Compact"/>
              <w:jc w:val="left"/>
            </w:pPr>
            <w:r>
              <w:t xml:space="preserve">Trigger breach count</w:t>
            </w:r>
          </w:p>
        </w:tc>
        <w:tc>
          <w:tcPr/>
          <w:p>
            <w:pPr>
              <w:pStyle w:val="Compact"/>
              <w:jc w:val="left"/>
            </w:pPr>
            <w:r>
              <w:t xml:space="preserve">H1 systems past trigger without H2</w:t>
            </w:r>
          </w:p>
        </w:tc>
      </w:tr>
      <w:tr>
        <w:tc>
          <w:tcPr/>
          <w:p>
            <w:pPr>
              <w:pStyle w:val="Compact"/>
              <w:jc w:val="left"/>
            </w:pPr>
            <w:r>
              <w:t xml:space="preserve">Blocking node resolution</w:t>
            </w:r>
          </w:p>
        </w:tc>
        <w:tc>
          <w:tcPr/>
          <w:p>
            <w:pPr>
              <w:pStyle w:val="Compact"/>
              <w:jc w:val="left"/>
            </w:pPr>
            <w:r>
              <w:t xml:space="preserve">Wave 0 progress</w:t>
            </w:r>
          </w:p>
        </w:tc>
      </w:tr>
    </w:tbl>
    <w:bookmarkEnd w:id="72"/>
    <w:bookmarkStart w:id="73" w:name="internal-audit-engagement"/>
    <w:p>
      <w:pPr>
        <w:pStyle w:val="Heading3"/>
      </w:pPr>
      <w:r>
        <w:t xml:space="preserve">Internal audit engagement</w:t>
      </w:r>
    </w:p>
    <w:p>
      <w:pPr>
        <w:pStyle w:val="FirstParagraph"/>
      </w:pPr>
      <w:r>
        <w:t xml:space="preserve">Meridian invited internal audit to hybrid pattern walkthrough</w:t>
      </w:r>
      <w:r>
        <w:t xml:space="preserve"> </w:t>
      </w:r>
      <w:r>
        <w:rPr>
          <w:bCs/>
          <w:b/>
        </w:rPr>
        <w:t xml:space="preserve">before</w:t>
      </w:r>
      <w:r>
        <w:t xml:space="preserve"> </w:t>
      </w:r>
      <w:r>
        <w:t xml:space="preserve">production H1 — identifying three missing CBOM fields (</w:t>
      </w:r>
      <w:r>
        <w:rPr>
          <w:rStyle w:val="VerbatimChar"/>
        </w:rPr>
        <w:t xml:space="preserve">hybrid_negotiation_rate</w:t>
      </w:r>
      <w:r>
        <w:t xml:space="preserve">,</w:t>
      </w:r>
      <w:r>
        <w:t xml:space="preserve"> </w:t>
      </w:r>
      <w:r>
        <w:rPr>
          <w:rStyle w:val="VerbatimChar"/>
        </w:rPr>
        <w:t xml:space="preserve">h1_approved_date</w:t>
      </w:r>
      <w:r>
        <w:t xml:space="preserve">,</w:t>
      </w:r>
      <w:r>
        <w:t xml:space="preserve"> </w:t>
      </w:r>
      <w:r>
        <w:rPr>
          <w:rStyle w:val="VerbatimChar"/>
        </w:rPr>
        <w:t xml:space="preserve">cdg_blocking_ref</w:t>
      </w:r>
      <w:r>
        <w:t xml:space="preserve">). Proactive engagement avoided findings; it did not avoid work.</w:t>
      </w:r>
    </w:p>
    <w:bookmarkEnd w:id="73"/>
    <w:bookmarkStart w:id="74" w:name="sdlc-and-architecture-review-gates"/>
    <w:p>
      <w:pPr>
        <w:pStyle w:val="Heading3"/>
      </w:pPr>
      <w:r>
        <w:t xml:space="preserve">SDLC and architecture review gates</w:t>
      </w:r>
    </w:p>
    <w:p>
      <w:pPr>
        <w:pStyle w:val="FirstParagraph"/>
      </w:pPr>
      <w:r>
        <w:t xml:space="preserve">Chapter 10 defines crypto-agility NFRs. Hybrid patterns add</w:t>
      </w:r>
      <w:r>
        <w:t xml:space="preserve"> </w:t>
      </w:r>
      <w:r>
        <w:rPr>
          <w:bCs/>
          <w:b/>
        </w:rPr>
        <w:t xml:space="preserve">phase-specific gates</w:t>
      </w:r>
      <w:r>
        <w:t xml:space="preserve">:</w:t>
      </w:r>
    </w:p>
    <w:tbl>
      <w:tblPr>
        <w:tblStyle w:val="Table"/>
        <w:tblW w:type="pct" w:w="5000"/>
        <w:tblLook w:firstRow="1" w:lastRow="0" w:firstColumn="0" w:lastColumn="0" w:noHBand="0" w:noVBand="0" w:val="0020"/>
        <w:jc w:val="start"/>
      </w:tblPr>
      <w:tblGrid>
        <w:gridCol w:w="1357"/>
        <w:gridCol w:w="2036"/>
        <w:gridCol w:w="2262"/>
        <w:gridCol w:w="2262"/>
      </w:tblGrid>
      <w:tr>
        <w:trPr>
          <w:tblHeader w:val="true"/>
        </w:trPr>
        <w:tc>
          <w:tcPr/>
          <w:p>
            <w:pPr>
              <w:pStyle w:val="Compact"/>
              <w:jc w:val="left"/>
            </w:pPr>
            <w:r>
              <w:t xml:space="preserve">Gate</w:t>
            </w:r>
          </w:p>
        </w:tc>
        <w:tc>
          <w:tcPr/>
          <w:p>
            <w:pPr>
              <w:pStyle w:val="Compact"/>
              <w:jc w:val="left"/>
            </w:pPr>
            <w:r>
              <w:t xml:space="preserve">Trigger</w:t>
            </w:r>
          </w:p>
        </w:tc>
        <w:tc>
          <w:tcPr/>
          <w:p>
            <w:pPr>
              <w:pStyle w:val="Compact"/>
              <w:jc w:val="left"/>
            </w:pPr>
            <w:r>
              <w:t xml:space="preserve">Approver</w:t>
            </w:r>
          </w:p>
        </w:tc>
        <w:tc>
          <w:tcPr/>
          <w:p>
            <w:pPr>
              <w:pStyle w:val="Compact"/>
              <w:jc w:val="left"/>
            </w:pPr>
            <w:r>
              <w:t xml:space="preserve">Evidence</w:t>
            </w:r>
          </w:p>
        </w:tc>
      </w:tr>
      <w:tr>
        <w:tc>
          <w:tcPr/>
          <w:p>
            <w:pPr>
              <w:pStyle w:val="Compact"/>
              <w:jc w:val="left"/>
            </w:pPr>
            <w:r>
              <w:t xml:space="preserve">H1 intent</w:t>
            </w:r>
          </w:p>
        </w:tc>
        <w:tc>
          <w:tcPr/>
          <w:p>
            <w:pPr>
              <w:pStyle w:val="Compact"/>
              <w:jc w:val="left"/>
            </w:pPr>
            <w:r>
              <w:t xml:space="preserve">New external endpoint or protocol change</w:t>
            </w:r>
          </w:p>
        </w:tc>
        <w:tc>
          <w:tcPr/>
          <w:p>
            <w:pPr>
              <w:pStyle w:val="Compact"/>
              <w:jc w:val="left"/>
            </w:pPr>
            <w:r>
              <w:t xml:space="preserve">Security architecture</w:t>
            </w:r>
          </w:p>
        </w:tc>
        <w:tc>
          <w:tcPr/>
          <w:p>
            <w:pPr>
              <w:pStyle w:val="Compact"/>
              <w:jc w:val="left"/>
            </w:pPr>
            <w:r>
              <w:t xml:space="preserve">Table 11.3 row selected</w:t>
            </w:r>
          </w:p>
        </w:tc>
      </w:tr>
      <w:tr>
        <w:tc>
          <w:tcPr/>
          <w:p>
            <w:pPr>
              <w:pStyle w:val="Compact"/>
              <w:jc w:val="left"/>
            </w:pPr>
            <w:r>
              <w:t xml:space="preserve">H1 production</w:t>
            </w:r>
          </w:p>
        </w:tc>
        <w:tc>
          <w:tcPr/>
          <w:p>
            <w:pPr>
              <w:pStyle w:val="Compact"/>
              <w:jc w:val="left"/>
            </w:pPr>
            <w:r>
              <w:t xml:space="preserve">Change ticket to production</w:t>
            </w:r>
          </w:p>
        </w:tc>
        <w:tc>
          <w:tcPr/>
          <w:p>
            <w:pPr>
              <w:pStyle w:val="Compact"/>
              <w:jc w:val="left"/>
            </w:pPr>
            <w:r>
              <w:t xml:space="preserve">CAB</w:t>
            </w:r>
          </w:p>
        </w:tc>
        <w:tc>
          <w:tcPr/>
          <w:p>
            <w:pPr>
              <w:pStyle w:val="Compact"/>
              <w:jc w:val="left"/>
            </w:pPr>
            <w:r>
              <w:t xml:space="preserve">Seven controls checklist</w:t>
            </w:r>
          </w:p>
        </w:tc>
      </w:tr>
      <w:tr>
        <w:tc>
          <w:tcPr/>
          <w:p>
            <w:pPr>
              <w:pStyle w:val="Compact"/>
              <w:jc w:val="left"/>
            </w:pPr>
            <w:r>
              <w:t xml:space="preserve">H2 scope declaration</w:t>
            </w:r>
          </w:p>
        </w:tc>
        <w:tc>
          <w:tcPr/>
          <w:p>
            <w:pPr>
              <w:pStyle w:val="Compact"/>
              <w:jc w:val="left"/>
            </w:pPr>
            <w:r>
              <w:t xml:space="preserve">H1 exit criteria met</w:t>
            </w:r>
          </w:p>
        </w:tc>
        <w:tc>
          <w:tcPr/>
          <w:p>
            <w:pPr>
              <w:pStyle w:val="Compact"/>
              <w:jc w:val="left"/>
            </w:pPr>
            <w:r>
              <w:t xml:space="preserve">Steering committee</w:t>
            </w:r>
          </w:p>
        </w:tc>
        <w:tc>
          <w:tcPr/>
          <w:p>
            <w:pPr>
              <w:pStyle w:val="Compact"/>
              <w:jc w:val="left"/>
            </w:pPr>
            <w:r>
              <w:t xml:space="preserve">Telemetry report</w:t>
            </w:r>
          </w:p>
        </w:tc>
      </w:tr>
      <w:tr>
        <w:tc>
          <w:tcPr/>
          <w:p>
            <w:pPr>
              <w:pStyle w:val="Compact"/>
              <w:jc w:val="left"/>
            </w:pPr>
            <w:r>
              <w:t xml:space="preserve">H3 verification</w:t>
            </w:r>
          </w:p>
        </w:tc>
        <w:tc>
          <w:tcPr/>
          <w:p>
            <w:pPr>
              <w:pStyle w:val="Compact"/>
              <w:jc w:val="left"/>
            </w:pPr>
            <w:r>
              <w:t xml:space="preserve">Classical sunset complete</w:t>
            </w:r>
          </w:p>
        </w:tc>
        <w:tc>
          <w:tcPr/>
          <w:p>
            <w:pPr>
              <w:pStyle w:val="Compact"/>
              <w:jc w:val="left"/>
            </w:pPr>
            <w:r>
              <w:t xml:space="preserve">CISO + internal audit</w:t>
            </w:r>
          </w:p>
        </w:tc>
        <w:tc>
          <w:tcPr/>
          <w:p>
            <w:pPr>
              <w:pStyle w:val="Compact"/>
              <w:jc w:val="left"/>
            </w:pPr>
            <w:r>
              <w:t xml:space="preserve">CBOM scan export</w:t>
            </w:r>
          </w:p>
        </w:tc>
      </w:tr>
    </w:tbl>
    <w:p>
      <w:pPr>
        <w:pStyle w:val="BodyText"/>
      </w:pPr>
      <w:r>
        <w:t xml:space="preserve">GlobalSync’s pull request template included checkbox:</w:t>
      </w:r>
      <w:r>
        <w:t xml:space="preserve"> </w:t>
      </w:r>
      <w:r>
        <w:rPr>
          <w:rStyle w:val="VerbatimChar"/>
          <w:iCs/>
          <w:i/>
        </w:rPr>
        <w:t xml:space="preserve">h2_trigger_value</w:t>
      </w:r>
      <w:r>
        <w:rPr>
          <w:iCs/>
          <w:i/>
        </w:rPr>
        <w:t xml:space="preserve"> </w:t>
      </w:r>
      <w:r>
        <w:rPr>
          <w:iCs/>
          <w:i/>
        </w:rPr>
        <w:t xml:space="preserve">populated in CBOM component metadata</w:t>
      </w:r>
      <w:r>
        <w:t xml:space="preserve"> </w:t>
      </w:r>
      <w:r>
        <w:t xml:space="preserve">— linking developer workflow to programme governance without separate security ticket for every microservice.</w:t>
      </w:r>
    </w:p>
    <w:bookmarkEnd w:id="74"/>
    <w:bookmarkStart w:id="75" w:name="reference-architecture-repository"/>
    <w:p>
      <w:pPr>
        <w:pStyle w:val="Heading3"/>
      </w:pPr>
      <w:r>
        <w:t xml:space="preserve">Reference architecture repository</w:t>
      </w:r>
    </w:p>
    <w:p>
      <w:pPr>
        <w:pStyle w:val="FirstParagraph"/>
      </w:pPr>
      <w:r>
        <w:t xml:space="preserve">Enterprises should maintain a</w:t>
      </w:r>
      <w:r>
        <w:t xml:space="preserve"> </w:t>
      </w:r>
      <w:r>
        <w:rPr>
          <w:bCs/>
          <w:b/>
        </w:rPr>
        <w:t xml:space="preserve">hybrid reference architecture</w:t>
      </w:r>
      <w:r>
        <w:t xml:space="preserve"> </w:t>
      </w:r>
      <w:r>
        <w:t xml:space="preserve">package — not merely policy PDFs:</w:t>
      </w:r>
    </w:p>
    <w:p>
      <w:pPr>
        <w:numPr>
          <w:ilvl w:val="0"/>
          <w:numId w:val="1015"/>
        </w:numPr>
        <w:pStyle w:val="Compact"/>
      </w:pPr>
      <w:r>
        <w:t xml:space="preserve">Diagrams: tiered endpoints, CDN routing, parallel issuers</w:t>
      </w:r>
    </w:p>
    <w:p>
      <w:pPr>
        <w:numPr>
          <w:ilvl w:val="0"/>
          <w:numId w:val="1015"/>
        </w:numPr>
        <w:pStyle w:val="Compact"/>
      </w:pPr>
      <w:r>
        <w:t xml:space="preserve">Configuration exemplars (redacted): load balancer policy snippets, mesh Gateway API resources</w:t>
      </w:r>
    </w:p>
    <w:p>
      <w:pPr>
        <w:numPr>
          <w:ilvl w:val="0"/>
          <w:numId w:val="1015"/>
        </w:numPr>
        <w:pStyle w:val="Compact"/>
      </w:pPr>
      <w:r>
        <w:t xml:space="preserve">Test client matrix: approved libraries and versions</w:t>
      </w:r>
    </w:p>
    <w:p>
      <w:pPr>
        <w:numPr>
          <w:ilvl w:val="0"/>
          <w:numId w:val="1015"/>
        </w:numPr>
        <w:pStyle w:val="Compact"/>
      </w:pPr>
      <w:r>
        <w:t xml:space="preserve">Runbook templates: Meridian operations centre pattern</w:t>
      </w:r>
    </w:p>
    <w:p>
      <w:pPr>
        <w:numPr>
          <w:ilvl w:val="0"/>
          <w:numId w:val="1015"/>
        </w:numPr>
        <w:pStyle w:val="Compact"/>
      </w:pPr>
      <w:r>
        <w:t xml:space="preserve">Decision log: why constructions were selected over alternatives</w:t>
      </w:r>
    </w:p>
    <w:p>
      <w:pPr>
        <w:pStyle w:val="FirstParagraph"/>
      </w:pPr>
      <w:r>
        <w:t xml:space="preserve">Apex classified reference architectures</w:t>
      </w:r>
      <w:r>
        <w:t xml:space="preserve"> </w:t>
      </w:r>
      <w:r>
        <w:rPr>
          <w:bCs/>
          <w:b/>
        </w:rPr>
        <w:t xml:space="preserve">unclassified</w:t>
      </w:r>
      <w:r>
        <w:t xml:space="preserve"> </w:t>
      </w:r>
      <w:r>
        <w:t xml:space="preserve">for corporate IT; NSS variants lived in controlled repository with separate construction table — same HLM logic, different parameter profiles (ML-DSA-87, ML-KEM-1024 per CNSA 2.0).</w:t>
      </w:r>
    </w:p>
    <w:p>
      <w:pPr>
        <w:pStyle w:val="BlockText"/>
      </w:pPr>
      <w:r>
        <w:rPr>
          <w:bCs/>
          <w:b/>
        </w:rPr>
        <w:t xml:space="preserve">Migration Moment</w:t>
      </w:r>
    </w:p>
    <w:p>
      <w:pPr>
        <w:pStyle w:val="BlockText"/>
      </w:pPr>
      <w:r>
        <w:rPr>
          <w:iCs/>
          <w:i/>
        </w:rPr>
        <w:t xml:space="preserve">“</w:t>
      </w:r>
      <w:r>
        <w:rPr>
          <w:iCs/>
          <w:i/>
        </w:rPr>
        <w:t xml:space="preserve">We’ll document the hybrid design after production stabilises.</w:t>
      </w:r>
      <w:r>
        <w:rPr>
          <w:iCs/>
          <w:i/>
        </w:rPr>
        <w:t xml:space="preserve">”</w:t>
      </w:r>
    </w:p>
    <w:p>
      <w:pPr>
        <w:pStyle w:val="BlockText"/>
      </w:pPr>
      <w:r>
        <w:t xml:space="preserve">Undocumented hybrid deployments become untestable during incidents and unverifiable during audit. Reference architecture and runbook are</w:t>
      </w:r>
      <w:r>
        <w:t xml:space="preserve"> </w:t>
      </w:r>
      <w:r>
        <w:rPr>
          <w:bCs/>
          <w:b/>
        </w:rPr>
        <w:t xml:space="preserve">H1 entry gates</w:t>
      </w:r>
      <w:r>
        <w:t xml:space="preserve">, not post-project documentation.</w:t>
      </w:r>
    </w:p>
    <w:p>
      <w:r>
        <w:pict>
          <v:rect style="width:0;height:1.5pt" o:hralign="center" o:hrstd="t" o:hr="t"/>
        </w:pict>
      </w:r>
    </w:p>
    <w:bookmarkEnd w:id="75"/>
    <w:bookmarkEnd w:id="76"/>
    <w:bookmarkStart w:id="77" w:name="cross-reference-map"/>
    <w:p>
      <w:pPr>
        <w:pStyle w:val="Heading2"/>
      </w:pPr>
      <w:r>
        <w:t xml:space="preserve">11.17 Cross-Reference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HLM policy and sunset governance</w:t>
            </w:r>
          </w:p>
        </w:tc>
        <w:tc>
          <w:tcPr/>
          <w:p>
            <w:pPr>
              <w:pStyle w:val="Compact"/>
              <w:jc w:val="left"/>
            </w:pPr>
            <w:r>
              <w:t xml:space="preserve">Chapter 5 §5.6–5.9</w:t>
            </w:r>
          </w:p>
        </w:tc>
      </w:tr>
      <w:tr>
        <w:tc>
          <w:tcPr/>
          <w:p>
            <w:pPr>
              <w:pStyle w:val="Compact"/>
              <w:jc w:val="left"/>
            </w:pPr>
            <w:r>
              <w:t xml:space="preserve">CBOM baseline and</w:t>
            </w:r>
            <w:r>
              <w:t xml:space="preserve"> </w:t>
            </w:r>
            <w:r>
              <w:rPr>
                <w:rStyle w:val="VerbatimChar"/>
              </w:rPr>
              <w:t xml:space="preserve">hlm_phase</w:t>
            </w:r>
            <w:r>
              <w:t xml:space="preserve"> </w:t>
            </w:r>
            <w:r>
              <w:t xml:space="preserve">introduction</w:t>
            </w:r>
          </w:p>
        </w:tc>
        <w:tc>
          <w:tcPr/>
          <w:p>
            <w:pPr>
              <w:pStyle w:val="Compact"/>
              <w:jc w:val="left"/>
            </w:pPr>
            <w:r>
              <w:t xml:space="preserve">Chapter 7 §7.4</w:t>
            </w:r>
          </w:p>
        </w:tc>
      </w:tr>
      <w:tr>
        <w:tc>
          <w:tcPr/>
          <w:p>
            <w:pPr>
              <w:pStyle w:val="Compact"/>
              <w:jc w:val="left"/>
            </w:pPr>
            <w:r>
              <w:t xml:space="preserve">CDG blocking nodes and fan-in</w:t>
            </w:r>
          </w:p>
        </w:tc>
        <w:tc>
          <w:tcPr/>
          <w:p>
            <w:pPr>
              <w:pStyle w:val="Compact"/>
              <w:jc w:val="left"/>
            </w:pPr>
            <w:r>
              <w:t xml:space="preserve">Chapter 8 §8.3–8.4</w:t>
            </w:r>
          </w:p>
        </w:tc>
      </w:tr>
      <w:tr>
        <w:tc>
          <w:tcPr/>
          <w:p>
            <w:pPr>
              <w:pStyle w:val="Compact"/>
              <w:jc w:val="left"/>
            </w:pPr>
            <w:r>
              <w:t xml:space="preserve">Wave sequencing and TRADE E gating</w:t>
            </w:r>
          </w:p>
        </w:tc>
        <w:tc>
          <w:tcPr/>
          <w:p>
            <w:pPr>
              <w:pStyle w:val="Compact"/>
              <w:jc w:val="left"/>
            </w:pPr>
            <w:r>
              <w:t xml:space="preserve">Chapter 9 §9.2, §9.7</w:t>
            </w:r>
          </w:p>
        </w:tc>
      </w:tr>
      <w:tr>
        <w:tc>
          <w:tcPr/>
          <w:p>
            <w:pPr>
              <w:pStyle w:val="Compact"/>
              <w:jc w:val="left"/>
            </w:pPr>
            <w:r>
              <w:t xml:space="preserve">Stateful firmware signatures</w:t>
            </w:r>
          </w:p>
        </w:tc>
        <w:tc>
          <w:tcPr/>
          <w:p>
            <w:pPr>
              <w:pStyle w:val="Compact"/>
              <w:jc w:val="left"/>
            </w:pPr>
            <w:r>
              <w:t xml:space="preserve">Chapter 6</w:t>
            </w:r>
          </w:p>
        </w:tc>
      </w:tr>
      <w:tr>
        <w:tc>
          <w:tcPr/>
          <w:p>
            <w:pPr>
              <w:pStyle w:val="Compact"/>
              <w:jc w:val="left"/>
            </w:pPr>
            <w:r>
              <w:t xml:space="preserve">PKI and certificate profiles for hybrid TLS</w:t>
            </w:r>
          </w:p>
        </w:tc>
        <w:tc>
          <w:tcPr/>
          <w:p>
            <w:pPr>
              <w:pStyle w:val="Compact"/>
              <w:jc w:val="left"/>
            </w:pPr>
            <w:r>
              <w:t xml:space="preserve">Chapter 13</w:t>
            </w:r>
          </w:p>
        </w:tc>
      </w:tr>
      <w:tr>
        <w:tc>
          <w:tcPr/>
          <w:p>
            <w:pPr>
              <w:pStyle w:val="Compact"/>
              <w:jc w:val="left"/>
            </w:pPr>
            <w:r>
              <w:t xml:space="preserve">HSM key ceremonies for dual signing</w:t>
            </w:r>
          </w:p>
        </w:tc>
        <w:tc>
          <w:tcPr/>
          <w:p>
            <w:pPr>
              <w:pStyle w:val="Compact"/>
              <w:jc w:val="left"/>
            </w:pPr>
            <w:r>
              <w:t xml:space="preserve">Chapter 14</w:t>
            </w:r>
          </w:p>
        </w:tc>
      </w:tr>
      <w:tr>
        <w:tc>
          <w:tcPr/>
          <w:p>
            <w:pPr>
              <w:pStyle w:val="Compact"/>
              <w:jc w:val="left"/>
            </w:pPr>
            <w:r>
              <w:t xml:space="preserve">Programme office operating rhythm</w:t>
            </w:r>
          </w:p>
        </w:tc>
        <w:tc>
          <w:tcPr/>
          <w:p>
            <w:pPr>
              <w:pStyle w:val="Compact"/>
              <w:jc w:val="left"/>
            </w:pPr>
            <w:r>
              <w:t xml:space="preserve">Chapter 15</w:t>
            </w:r>
          </w:p>
        </w:tc>
      </w:tr>
    </w:tbl>
    <w:p>
      <w:r>
        <w:pict>
          <v:rect style="width:0;height:1.5pt" o:hralign="center" o:hrstd="t" o:hr="t"/>
        </w:pict>
      </w:r>
    </w:p>
    <w:bookmarkEnd w:id="77"/>
    <w:bookmarkStart w:id="78" w:name="apply-in-your-organisation"/>
    <w:p>
      <w:pPr>
        <w:pStyle w:val="Heading2"/>
      </w:pPr>
      <w:r>
        <w:t xml:space="preserve">11.18 Apply in Your Organisation</w:t>
      </w:r>
    </w:p>
    <w:p>
      <w:pPr>
        <w:numPr>
          <w:ilvl w:val="0"/>
          <w:numId w:val="1016"/>
        </w:numPr>
        <w:pStyle w:val="Compact"/>
      </w:pPr>
      <w:r>
        <w:rPr>
          <w:bCs/>
          <w:b/>
        </w:rPr>
        <w:t xml:space="preserve">Adopt Table 11.3</w:t>
      </w:r>
      <w:r>
        <w:t xml:space="preserve"> </w:t>
      </w:r>
      <w:r>
        <w:t xml:space="preserve">as your hybrid pattern catalog — annotate with approved constructions and remove inapplicable rows.</w:t>
      </w:r>
    </w:p>
    <w:p>
      <w:pPr>
        <w:numPr>
          <w:ilvl w:val="0"/>
          <w:numId w:val="1016"/>
        </w:numPr>
        <w:pStyle w:val="Compact"/>
      </w:pPr>
      <w:r>
        <w:rPr>
          <w:bCs/>
          <w:b/>
        </w:rPr>
        <w:t xml:space="preserve">Mandate seven H1 controls</w:t>
      </w:r>
      <w:r>
        <w:t xml:space="preserve"> </w:t>
      </w:r>
      <w:r>
        <w:t xml:space="preserve">(§11.1) in change management — reject hybrid deployments without</w:t>
      </w:r>
      <w:r>
        <w:t xml:space="preserve"> </w:t>
      </w:r>
      <w:r>
        <w:rPr>
          <w:rStyle w:val="VerbatimChar"/>
        </w:rPr>
        <w:t xml:space="preserve">h2_trigger_value</w:t>
      </w:r>
      <w:r>
        <w:t xml:space="preserve">.</w:t>
      </w:r>
    </w:p>
    <w:p>
      <w:pPr>
        <w:numPr>
          <w:ilvl w:val="0"/>
          <w:numId w:val="1016"/>
        </w:numPr>
        <w:pStyle w:val="Compact"/>
      </w:pPr>
      <w:r>
        <w:rPr>
          <w:bCs/>
          <w:b/>
        </w:rPr>
        <w:t xml:space="preserve">Measure client compatibility from production traffic</w:t>
      </w:r>
      <w:r>
        <w:t xml:space="preserve"> </w:t>
      </w:r>
      <w:r>
        <w:t xml:space="preserve">— classify Tier A/B/C/D before endpoint design (Meridian pattern).</w:t>
      </w:r>
    </w:p>
    <w:p>
      <w:pPr>
        <w:numPr>
          <w:ilvl w:val="0"/>
          <w:numId w:val="1016"/>
        </w:numPr>
        <w:pStyle w:val="Compact"/>
      </w:pPr>
      <w:r>
        <w:rPr>
          <w:bCs/>
          <w:b/>
        </w:rPr>
        <w:t xml:space="preserve">Assess infrastructure buffers</w:t>
      </w:r>
      <w:r>
        <w:t xml:space="preserve"> </w:t>
      </w:r>
      <w:r>
        <w:t xml:space="preserve">before H1 approval — load balancers, proxies, IDS, CDN, VPN MTU.</w:t>
      </w:r>
    </w:p>
    <w:p>
      <w:pPr>
        <w:numPr>
          <w:ilvl w:val="0"/>
          <w:numId w:val="1016"/>
        </w:numPr>
        <w:pStyle w:val="Compact"/>
      </w:pPr>
      <w:r>
        <w:rPr>
          <w:bCs/>
          <w:b/>
        </w:rPr>
        <w:t xml:space="preserve">Separate combiner policy annexes</w:t>
      </w:r>
      <w:r>
        <w:t xml:space="preserve"> </w:t>
      </w:r>
      <w:r>
        <w:t xml:space="preserve">for TLS key exchange, dual signature, and application-layer hybrids.</w:t>
      </w:r>
    </w:p>
    <w:p>
      <w:pPr>
        <w:numPr>
          <w:ilvl w:val="0"/>
          <w:numId w:val="1016"/>
        </w:numPr>
        <w:pStyle w:val="Compact"/>
      </w:pPr>
      <w:r>
        <w:rPr>
          <w:bCs/>
          <w:b/>
        </w:rPr>
        <w:t xml:space="preserve">Map CDG blocking nodes</w:t>
      </w:r>
      <w:r>
        <w:t xml:space="preserve"> </w:t>
      </w:r>
      <w:r>
        <w:t xml:space="preserve">to Wave 0 before declaring engineering pilots complete.</w:t>
      </w:r>
    </w:p>
    <w:p>
      <w:pPr>
        <w:numPr>
          <w:ilvl w:val="0"/>
          <w:numId w:val="1016"/>
        </w:numPr>
        <w:pStyle w:val="Compact"/>
      </w:pPr>
      <w:r>
        <w:rPr>
          <w:bCs/>
          <w:b/>
        </w:rPr>
        <w:t xml:space="preserve">Implement tiered endpoints</w:t>
      </w:r>
      <w:r>
        <w:t xml:space="preserve"> </w:t>
      </w:r>
      <w:r>
        <w:t xml:space="preserve">for fixed clients — risk acceptance on exception paths, not silent fallback.</w:t>
      </w:r>
    </w:p>
    <w:p>
      <w:pPr>
        <w:numPr>
          <w:ilvl w:val="0"/>
          <w:numId w:val="1016"/>
        </w:numPr>
        <w:pStyle w:val="Compact"/>
      </w:pPr>
      <w:r>
        <w:rPr>
          <w:bCs/>
          <w:b/>
        </w:rPr>
        <w:t xml:space="preserve">Populate extended CBOM attributes</w:t>
      </w:r>
      <w:r>
        <w:t xml:space="preserve"> </w:t>
      </w:r>
      <w:r>
        <w:t xml:space="preserve">(Table 11.4) and automate breach alerts on trigger dates.</w:t>
      </w:r>
    </w:p>
    <w:p>
      <w:pPr>
        <w:numPr>
          <w:ilvl w:val="0"/>
          <w:numId w:val="1016"/>
        </w:numPr>
        <w:pStyle w:val="Compact"/>
      </w:pPr>
      <w:r>
        <w:rPr>
          <w:bCs/>
          <w:b/>
        </w:rPr>
        <w:t xml:space="preserve">Run shadow traffic</w:t>
      </w:r>
      <w:r>
        <w:t xml:space="preserve"> </w:t>
      </w:r>
      <w:r>
        <w:t xml:space="preserve">or OT pilot soak before primary hybrid cutover.</w:t>
      </w:r>
    </w:p>
    <w:p>
      <w:pPr>
        <w:numPr>
          <w:ilvl w:val="0"/>
          <w:numId w:val="1016"/>
        </w:numPr>
        <w:pStyle w:val="Compact"/>
      </w:pPr>
      <w:r>
        <w:rPr>
          <w:bCs/>
          <w:b/>
        </w:rPr>
        <w:t xml:space="preserve">Brief internal audit</w:t>
      </w:r>
      <w:r>
        <w:t xml:space="preserve"> </w:t>
      </w:r>
      <w:r>
        <w:t xml:space="preserve">with pattern catalog and sample CBOM export before production H1.</w:t>
      </w:r>
    </w:p>
    <w:p>
      <w:r>
        <w:pict>
          <v:rect style="width:0;height:1.5pt" o:hralign="center" o:hrstd="t" o:hr="t"/>
        </w:pict>
      </w:r>
    </w:p>
    <w:bookmarkEnd w:id="78"/>
    <w:bookmarkStart w:id="79" w:name="chapter-summary"/>
    <w:p>
      <w:pPr>
        <w:pStyle w:val="Heading2"/>
      </w:pPr>
      <w:r>
        <w:t xml:space="preserve">11.19 Chapter Summary</w:t>
      </w:r>
    </w:p>
    <w:p>
      <w:pPr>
        <w:numPr>
          <w:ilvl w:val="0"/>
          <w:numId w:val="1017"/>
        </w:numPr>
        <w:pStyle w:val="Compact"/>
      </w:pPr>
      <w:r>
        <w:t xml:space="preserve">The Hybrid Lifecycle Model requires</w:t>
      </w:r>
      <w:r>
        <w:t xml:space="preserve"> </w:t>
      </w:r>
      <w:r>
        <w:rPr>
          <w:bCs/>
          <w:b/>
        </w:rPr>
        <w:t xml:space="preserve">deployment specification</w:t>
      </w:r>
      <w:r>
        <w:t xml:space="preserve">: H1 protective hybrid with seven mandatory controls; H2 transitional reduction of classical dependency; H3 PQC-native verified by CBOM scan.</w:t>
      </w:r>
    </w:p>
    <w:p>
      <w:pPr>
        <w:numPr>
          <w:ilvl w:val="0"/>
          <w:numId w:val="1017"/>
        </w:numPr>
        <w:pStyle w:val="Compact"/>
      </w:pPr>
      <w:r>
        <w:rPr>
          <w:bCs/>
          <w:b/>
        </w:rPr>
        <w:t xml:space="preserve">Hybrid TLS (X25519 + ML-KEM-768)</w:t>
      </w:r>
      <w:r>
        <w:t xml:space="preserve"> </w:t>
      </w:r>
      <w:r>
        <w:t xml:space="preserve">is the reference external H1 pattern — governed by named groups, infrastructure buffer assessment, and production client telemetry.</w:t>
      </w:r>
    </w:p>
    <w:p>
      <w:pPr>
        <w:numPr>
          <w:ilvl w:val="0"/>
          <w:numId w:val="1017"/>
        </w:numPr>
        <w:pStyle w:val="Compact"/>
      </w:pPr>
      <w:r>
        <w:rPr>
          <w:bCs/>
          <w:b/>
        </w:rPr>
        <w:t xml:space="preserve">Combiner security</w:t>
      </w:r>
      <w:r>
        <w:t xml:space="preserve"> </w:t>
      </w:r>
      <w:r>
        <w:t xml:space="preserve">differs by use case: concatenation OR for key exchange; dual-signature AND-verification for code signing; application-layer patterns require separate policy annexes.</w:t>
      </w:r>
    </w:p>
    <w:p>
      <w:pPr>
        <w:numPr>
          <w:ilvl w:val="0"/>
          <w:numId w:val="1017"/>
        </w:numPr>
        <w:pStyle w:val="Compact"/>
      </w:pPr>
      <w:r>
        <w:rPr>
          <w:bCs/>
          <w:b/>
        </w:rPr>
        <w:t xml:space="preserve">Performance and handshake size</w:t>
      </w:r>
      <w:r>
        <w:t xml:space="preserve"> </w:t>
      </w:r>
      <w:r>
        <w:t xml:space="preserve">impacts are manageable at API scale but dominate in OT WAN and inspection paths — measure before approval.</w:t>
      </w:r>
    </w:p>
    <w:p>
      <w:pPr>
        <w:numPr>
          <w:ilvl w:val="0"/>
          <w:numId w:val="1017"/>
        </w:numPr>
        <w:pStyle w:val="Compact"/>
      </w:pPr>
      <w:r>
        <w:rPr>
          <w:bCs/>
          <w:b/>
        </w:rPr>
        <w:t xml:space="preserve">IKE hybrid VPN</w:t>
      </w:r>
      <w:r>
        <w:t xml:space="preserve"> </w:t>
      </w:r>
      <w:r>
        <w:t xml:space="preserve">requires distinct assessment from TLS — fragmentation, CPE firmware, and concentrator hardware gate Northfield-style rollouts.</w:t>
      </w:r>
    </w:p>
    <w:p>
      <w:pPr>
        <w:numPr>
          <w:ilvl w:val="0"/>
          <w:numId w:val="1017"/>
        </w:numPr>
        <w:pStyle w:val="Compact"/>
      </w:pPr>
      <w:r>
        <w:rPr>
          <w:bCs/>
          <w:b/>
        </w:rPr>
        <w:t xml:space="preserve">Dual code signing</w:t>
      </w:r>
      <w:r>
        <w:t xml:space="preserve"> </w:t>
      </w:r>
      <w:r>
        <w:t xml:space="preserve">governs Apex NSS and Northfield OT firmware H1 with CNSA- or vendor-driven H2 triggers.</w:t>
      </w:r>
    </w:p>
    <w:p>
      <w:pPr>
        <w:numPr>
          <w:ilvl w:val="0"/>
          <w:numId w:val="1017"/>
        </w:numPr>
        <w:pStyle w:val="Compact"/>
      </w:pPr>
      <w:r>
        <w:rPr>
          <w:bCs/>
          <w:b/>
        </w:rPr>
        <w:t xml:space="preserve">Table 11.3 pattern catalog</w:t>
      </w:r>
      <w:r>
        <w:t xml:space="preserve"> </w:t>
      </w:r>
      <w:r>
        <w:t xml:space="preserve">links protocol, phase, and sunset trigger — the architecture artefact Part IV promises.</w:t>
      </w:r>
    </w:p>
    <w:p>
      <w:pPr>
        <w:numPr>
          <w:ilvl w:val="0"/>
          <w:numId w:val="1017"/>
        </w:numPr>
        <w:pStyle w:val="Compact"/>
      </w:pPr>
      <w:r>
        <w:rPr>
          <w:bCs/>
          <w:b/>
        </w:rPr>
        <w:t xml:space="preserve">CBOM</w:t>
      </w:r>
      <w:r>
        <w:rPr>
          <w:bCs/>
          <w:b/>
        </w:rPr>
        <w:t xml:space="preserve"> </w:t>
      </w:r>
      <w:r>
        <w:rPr>
          <w:rStyle w:val="VerbatimChar"/>
          <w:bCs/>
          <w:b/>
        </w:rPr>
        <w:t xml:space="preserve">hlm_phase</w:t>
      </w:r>
      <w:r>
        <w:rPr>
          <w:bCs/>
          <w:b/>
        </w:rPr>
        <w:t xml:space="preserve"> </w:t>
      </w:r>
      <w:r>
        <w:rPr>
          <w:bCs/>
          <w:b/>
        </w:rPr>
        <w:t xml:space="preserve">attributes</w:t>
      </w:r>
      <w:r>
        <w:t xml:space="preserve"> </w:t>
      </w:r>
      <w:r>
        <w:t xml:space="preserve">connect deployment to dashboards, audit, and steering committee metrics.</w:t>
      </w:r>
    </w:p>
    <w:p>
      <w:pPr>
        <w:numPr>
          <w:ilvl w:val="0"/>
          <w:numId w:val="1017"/>
        </w:numPr>
        <w:pStyle w:val="Compact"/>
      </w:pPr>
      <w:r>
        <w:rPr>
          <w:bCs/>
          <w:b/>
        </w:rPr>
        <w:t xml:space="preserve">CDG blocking nodes</w:t>
      </w:r>
      <w:r>
        <w:t xml:space="preserve"> </w:t>
      </w:r>
      <w:r>
        <w:t xml:space="preserve">sequence hybrid rollout through waves — local pilot success does not imply production readiness.</w:t>
      </w:r>
    </w:p>
    <w:p>
      <w:pPr>
        <w:numPr>
          <w:ilvl w:val="0"/>
          <w:numId w:val="1017"/>
        </w:numPr>
        <w:pStyle w:val="Compact"/>
      </w:pPr>
      <w:r>
        <w:rPr>
          <w:bCs/>
          <w:b/>
        </w:rPr>
        <w:t xml:space="preserve">Meridian, GlobalSync, Northfield, and Apex</w:t>
      </w:r>
      <w:r>
        <w:t xml:space="preserve"> </w:t>
      </w:r>
      <w:r>
        <w:t xml:space="preserve">demonstrate tiered endpoints, tenant cohorts, IKE qualification, and dual-track HLM — patterns reusable across sectors.</w:t>
      </w:r>
    </w:p>
    <w:p>
      <w:pPr>
        <w:pStyle w:val="FirstParagraph"/>
      </w:pPr>
      <w:r>
        <w:rPr>
          <w:bCs/>
          <w:b/>
        </w:rPr>
        <w:t xml:space="preserve">Closing note:</w:t>
      </w:r>
      <w:r>
        <w:t xml:space="preserve"> </w:t>
      </w:r>
      <w:r>
        <w:t xml:space="preserve">Hybrid cryptography is how enterprises survive the decade of transition. Without HLM phase discipline, hybrids become permanent dual-algorithm debt — the SHA-1 equivalent failure mode for post-quantum migration. Deploy hybrids as governed interim states; measure exits; sequence through the dependency graph.</w:t>
      </w:r>
    </w:p>
    <w:p>
      <w:pPr>
        <w:pStyle w:val="BodyText"/>
      </w:pPr>
      <w:r>
        <w:rPr>
          <w:bCs/>
          <w:b/>
        </w:rPr>
        <w:t xml:space="preserve">Next:</w:t>
      </w:r>
      <w:r>
        <w:t xml:space="preserve"> </w:t>
      </w:r>
      <w:r>
        <w:t xml:space="preserve">Chapter 12 maps protocol-by-protocol migration paths for TLS, IPsec, SSH, and messaging — recognising distinct ecosystem readiness curves and partner constraints beyond hybrid H1 entry.</w:t>
      </w:r>
    </w:p>
    <w:p>
      <w:r>
        <w:pict>
          <v:rect style="width:0;height:1.5pt" o:hralign="center" o:hrstd="t" o:hr="t"/>
        </w:pict>
      </w:r>
    </w:p>
    <w:p>
      <w:pPr>
        <w:pStyle w:val="FirstParagraph"/>
      </w:pPr>
      <w:r>
        <w:rPr>
          <w:iCs/>
          <w:i/>
        </w:rPr>
        <w:t xml:space="preserve">Chapter 11 — References</w:t>
      </w:r>
    </w:p>
    <w:p>
      <w:pPr>
        <w:numPr>
          <w:ilvl w:val="0"/>
          <w:numId w:val="1018"/>
        </w:numPr>
        <w:pStyle w:val="Compact"/>
      </w:pPr>
      <w:r>
        <w:t xml:space="preserve">Basescu, C., et al. (2024). Deployment considerations for post-quantum cryptography.</w:t>
      </w:r>
      <w:r>
        <w:t xml:space="preserve"> </w:t>
      </w:r>
      <w:r>
        <w:rPr>
          <w:iCs/>
          <w:i/>
        </w:rPr>
        <w:t xml:space="preserve">USENIX Security Symposium</w:t>
      </w:r>
      <w:r>
        <w:t xml:space="preserve">. https://www.usenix.org/conference/usenixsecurity24</w:t>
      </w:r>
    </w:p>
    <w:p>
      <w:pPr>
        <w:numPr>
          <w:ilvl w:val="0"/>
          <w:numId w:val="1018"/>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018"/>
        </w:numPr>
        <w:pStyle w:val="Compact"/>
      </w:pPr>
      <w:r>
        <w:t xml:space="preserve">Internet Engineering Task Force. (2024–2026). Post-quantum hybrid key exchange for TLS 1.3 (standards track).</w:t>
      </w:r>
      <w:r>
        <w:t xml:space="preserve"> </w:t>
      </w:r>
      <w:r>
        <w:rPr>
          <w:iCs/>
          <w:i/>
        </w:rPr>
        <w:t xml:space="preserve">IETF TLS Working Group</w:t>
      </w:r>
      <w:r>
        <w:t xml:space="preserve">.</w:t>
      </w:r>
    </w:p>
    <w:p>
      <w:pPr>
        <w:numPr>
          <w:ilvl w:val="0"/>
          <w:numId w:val="1018"/>
        </w:numPr>
        <w:pStyle w:val="Compact"/>
      </w:pPr>
      <w:r>
        <w:t xml:space="preserve">National Institute of Standards and Technology. (2024). FIPS 203: Module-Lattice-Based Key-Encapsulation Mechanism Standard. https://doi.org/10.6028/NIST.FIPS.203</w:t>
      </w:r>
    </w:p>
    <w:p>
      <w:pPr>
        <w:numPr>
          <w:ilvl w:val="0"/>
          <w:numId w:val="1018"/>
        </w:numPr>
        <w:pStyle w:val="Compact"/>
      </w:pPr>
      <w:r>
        <w:t xml:space="preserve">National Institute of Standards and Technology. (2024). FIPS 204: Module-Lattice-Based Digital Signature Standard. https://doi.org/10.6028/NIST.FIPS.204</w:t>
      </w:r>
    </w:p>
    <w:p>
      <w:pPr>
        <w:numPr>
          <w:ilvl w:val="0"/>
          <w:numId w:val="1018"/>
        </w:numPr>
        <w:pStyle w:val="Compact"/>
      </w:pPr>
      <w:r>
        <w:t xml:space="preserve">National Institute of Standards and Technology. (2024). NIST IR 8547 (Initial Public Draft): Transition to post-quantum cryptography standards. https://doi.org/10.6028/NIST.IR.8547.ipd</w:t>
      </w:r>
    </w:p>
    <w:p>
      <w:pPr>
        <w:numPr>
          <w:ilvl w:val="0"/>
          <w:numId w:val="1018"/>
        </w:numPr>
        <w:pStyle w:val="Compact"/>
      </w:pPr>
      <w:r>
        <w:t xml:space="preserve">National Institute of Standards and Technology. (2020). NIST SP 800-208: Recommendation for Stateful Hash-Based Signature Schemes. https://doi.org/10.6028/NIST.SP.800-208</w:t>
      </w:r>
    </w:p>
    <w:p>
      <w:pPr>
        <w:numPr>
          <w:ilvl w:val="0"/>
          <w:numId w:val="1018"/>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8"/>
        </w:numPr>
        <w:pStyle w:val="Compact"/>
      </w:pPr>
      <w:r>
        <w:t xml:space="preserve">OWASP Foundation. (2024).</w:t>
      </w:r>
      <w:r>
        <w:t xml:space="preserve"> </w:t>
      </w:r>
      <w:r>
        <w:rPr>
          <w:iCs/>
          <w:i/>
        </w:rPr>
        <w:t xml:space="preserve">Cryptographic Storage Cheat Sheet</w:t>
      </w:r>
      <w:r>
        <w:t xml:space="preserve"> </w:t>
      </w:r>
      <w:r>
        <w:t xml:space="preserve">(application-layer guidance). https://cheatsheetseries.owasp.org/</w:t>
      </w:r>
    </w:p>
    <w:p>
      <w:pPr>
        <w:numPr>
          <w:ilvl w:val="0"/>
          <w:numId w:val="1018"/>
        </w:numPr>
        <w:pStyle w:val="Compact"/>
      </w:pPr>
      <w:r>
        <w:t xml:space="preserve">CycloneDX. (2024).</w:t>
      </w:r>
      <w:r>
        <w:t xml:space="preserve"> </w:t>
      </w:r>
      <w:r>
        <w:rPr>
          <w:iCs/>
          <w:i/>
        </w:rPr>
        <w:t xml:space="preserve">Authoritative Guide to CBOM</w:t>
      </w:r>
      <w:r>
        <w:t xml:space="preserve">. OWASP Foundation.</w:t>
      </w:r>
    </w:p>
    <w:p>
      <w:r>
        <w:pict>
          <v:rect style="width:0;height:1.5pt" o:hralign="center" o:hrstd="t" o:hr="t"/>
        </w:pict>
      </w:r>
    </w:p>
    <w:p>
      <w:pPr>
        <w:pStyle w:val="FirstParagraph"/>
      </w:pPr>
      <w:r>
        <w:rPr>
          <w:iCs/>
          <w:i/>
        </w:rPr>
        <w:t xml:space="preserve">Proceed to Chapter 12: Protocol Transition — TLS, IPsec, SSH, and Messaging.</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2026-06-12T10:03:14Z</dcterms:created>
  <dcterms:modified xsi:type="dcterms:W3CDTF">2026-06-12T10:03:14Z</dcterms:modified>
</cp:coreProperties>
</file>

<file path=docProps/custom.xml><?xml version="1.0" encoding="utf-8"?>
<Properties xmlns="http://schemas.openxmlformats.org/officeDocument/2006/custom-properties" xmlns:vt="http://schemas.openxmlformats.org/officeDocument/2006/docPropsVTypes"/>
</file>