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2"/>
    <w:p>
      <w:pPr>
        <w:pStyle w:val="Heading1"/>
      </w:pPr>
      <w:r>
        <w:t xml:space="preserve">Chapter 12</w:t>
      </w:r>
    </w:p>
    <w:bookmarkEnd w:id="20"/>
    <w:bookmarkStart w:id="94" w:name="Xaeea479173da2f9a5917490080af242c1af397e"/>
    <w:p>
      <w:pPr>
        <w:pStyle w:val="Heading1"/>
      </w:pPr>
      <w:r>
        <w:t xml:space="preserve">Protocol Transition — TLS, IPsec, SSH, and Messaging</w:t>
      </w:r>
    </w:p>
    <w:p>
      <w:r>
        <w:pict>
          <v:rect style="width:0;height:1.5pt" o:hralign="center" o:hrstd="t" o:hr="t"/>
        </w:pict>
      </w:r>
    </w:p>
    <w:p>
      <w:pPr>
        <w:pStyle w:val="FirstParagraph"/>
      </w:pPr>
      <w:r>
        <w:t xml:space="preserve">James Whitfield’s Northfield Energy team qualified hybrid IKE on two WAN concentrator models by August 2026. Vendor documentation promised ML-KEM hybrid support. Laboratory rekey tests completed without historian gaps. The programme office scheduled regional rollout for the Gulf Coast compressor corridor.</w:t>
      </w:r>
    </w:p>
    <w:p>
      <w:pPr>
        <w:pStyle w:val="BodyText"/>
      </w:pPr>
      <w:r>
        <w:t xml:space="preserve">Then field operations opened the CPE inventory. Of</w:t>
      </w:r>
      <w:r>
        <w:t xml:space="preserve"> </w:t>
      </w:r>
      <w:r>
        <w:rPr>
          <w:bCs/>
          <w:b/>
        </w:rPr>
        <w:t xml:space="preserve">312</w:t>
      </w:r>
      <w:r>
        <w:t xml:space="preserve"> </w:t>
      </w:r>
      <w:r>
        <w:t xml:space="preserve">customer-premises routers terminating remote-site VPNs toward those concentrators,</w:t>
      </w:r>
      <w:r>
        <w:t xml:space="preserve"> </w:t>
      </w:r>
      <w:r>
        <w:rPr>
          <w:bCs/>
          <w:b/>
        </w:rPr>
        <w:t xml:space="preserve">241</w:t>
      </w:r>
      <w:r>
        <w:t xml:space="preserve"> </w:t>
      </w:r>
      <w:r>
        <w:t xml:space="preserve">ran firmware builds that rejected the hybrid IKE proposal before the first Child SA could form. The concentrators were ready. The path between concentrator and field device was not. James did not have a TLS problem — he had a</w:t>
      </w:r>
      <w:r>
        <w:t xml:space="preserve"> </w:t>
      </w:r>
      <w:r>
        <w:rPr>
          <w:bCs/>
          <w:b/>
        </w:rPr>
        <w:t xml:space="preserve">protocol ecosystem</w:t>
      </w:r>
      <w:r>
        <w:t xml:space="preserve"> </w:t>
      </w:r>
      <w:r>
        <w:t xml:space="preserve">problem identical in structure to Marcus Chen’s partner mTLS blockage at GlobalSync, Meridian’s middlebox truncation, and Priya Nair’s NSS accreditation gates at Apex. Different protocols; same synchronisation logic.</w:t>
      </w:r>
    </w:p>
    <w:p>
      <w:pPr>
        <w:pStyle w:val="BodyText"/>
      </w:pPr>
      <w:r>
        <w:t xml:space="preserve">Chapter 11 taught hybrid deployment patterns and HLM phase discipline. This chapter maps</w:t>
      </w:r>
      <w:r>
        <w:t xml:space="preserve"> </w:t>
      </w:r>
      <w:r>
        <w:rPr>
          <w:bCs/>
          <w:b/>
        </w:rPr>
        <w:t xml:space="preserve">protocol-by-protocol migration paths</w:t>
      </w:r>
      <w:r>
        <w:t xml:space="preserve"> </w:t>
      </w:r>
      <w:r>
        <w:t xml:space="preserve">— the engineering playbooks network, platform, and messaging teams execute when wave plans assign their workloads. Each protocol carries distinct readiness curves, client populations, inspection paths, and partner constraints. Enterprises that treat protocol transition as a single</w:t>
      </w:r>
      <w:r>
        <w:t xml:space="preserve"> </w:t>
      </w:r>
      <w:r>
        <w:t xml:space="preserve">“</w:t>
      </w:r>
      <w:r>
        <w:t xml:space="preserve">enable PQC in TLS</w:t>
      </w:r>
      <w:r>
        <w:t xml:space="preserve">”</w:t>
      </w:r>
      <w:r>
        <w:t xml:space="preserve"> </w:t>
      </w:r>
      <w:r>
        <w:t xml:space="preserve">programme discover, as Northfield did, that the slowest critical partner — or the slowest critical CPE firmware line — sets the pace for everyone downstream.</w:t>
      </w:r>
    </w:p>
    <w:p>
      <w:r>
        <w:pict>
          <v:rect style="width:0;height:1.5pt" o:hralign="center" o:hrstd="t" o:hr="t"/>
        </w:pict>
      </w:r>
    </w:p>
    <w:bookmarkStart w:id="24" w:name="Xaaa1fd6940ddeb9cac854e6cebe3236a20feeb0"/>
    <w:p>
      <w:pPr>
        <w:pStyle w:val="Heading2"/>
      </w:pPr>
      <w:r>
        <w:t xml:space="preserve">12.1 Protocol Transition as Ecosystem Synchronisation</w:t>
      </w:r>
    </w:p>
    <w:p>
      <w:pPr>
        <w:pStyle w:val="FirstParagraph"/>
      </w:pPr>
      <w:r>
        <w:t xml:space="preserve">Post-quantum protocol migration is not cipher-suite selection. It is</w:t>
      </w:r>
      <w:r>
        <w:t xml:space="preserve"> </w:t>
      </w:r>
      <w:r>
        <w:rPr>
          <w:bCs/>
          <w:b/>
        </w:rPr>
        <w:t xml:space="preserve">coordination across every node that negotiates, terminates, inspects, or trusts a cryptographic channel</w:t>
      </w:r>
      <w:r>
        <w:t xml:space="preserve"> </w:t>
      </w:r>
      <w:r>
        <w:t xml:space="preserve">— mapped in the Cryptographic Dependency Graph (Chapter 8) and sequenced in migration waves (Chapter 9).</w:t>
      </w:r>
    </w:p>
    <w:bookmarkStart w:id="21" w:name="the-protocol-transition-stack"/>
    <w:p>
      <w:pPr>
        <w:pStyle w:val="Heading3"/>
      </w:pPr>
      <w:r>
        <w:t xml:space="preserve">The protocol transition stack</w:t>
      </w:r>
    </w:p>
    <w:tbl>
      <w:tblPr>
        <w:tblStyle w:val="Table"/>
        <w:tblW w:type="pct" w:w="5000"/>
        <w:tblLook w:firstRow="1" w:lastRow="0" w:firstColumn="0" w:lastColumn="0" w:noHBand="0" w:noVBand="0" w:val="0020"/>
        <w:jc w:val="start"/>
      </w:tblPr>
      <w:tblGrid>
        <w:gridCol w:w="1087"/>
        <w:gridCol w:w="2018"/>
        <w:gridCol w:w="2329"/>
        <w:gridCol w:w="2484"/>
      </w:tblGrid>
      <w:tr>
        <w:trPr>
          <w:tblHeader w:val="true"/>
        </w:trPr>
        <w:tc>
          <w:tcPr/>
          <w:p>
            <w:pPr>
              <w:pStyle w:val="Compact"/>
              <w:jc w:val="left"/>
            </w:pPr>
            <w:r>
              <w:t xml:space="preserve">Layer</w:t>
            </w:r>
          </w:p>
        </w:tc>
        <w:tc>
          <w:tcPr/>
          <w:p>
            <w:pPr>
              <w:pStyle w:val="Compact"/>
              <w:jc w:val="left"/>
            </w:pPr>
            <w:r>
              <w:t xml:space="preserve">What changes</w:t>
            </w:r>
          </w:p>
        </w:tc>
        <w:tc>
          <w:tcPr/>
          <w:p>
            <w:pPr>
              <w:pStyle w:val="Compact"/>
              <w:jc w:val="left"/>
            </w:pPr>
            <w:r>
              <w:t xml:space="preserve">Typical owner</w:t>
            </w:r>
          </w:p>
        </w:tc>
        <w:tc>
          <w:tcPr/>
          <w:p>
            <w:pPr>
              <w:pStyle w:val="Compact"/>
              <w:jc w:val="left"/>
            </w:pPr>
            <w:r>
              <w:t xml:space="preserve">CDG edge types</w:t>
            </w:r>
          </w:p>
        </w:tc>
      </w:tr>
      <w:tr>
        <w:tc>
          <w:tcPr/>
          <w:p>
            <w:pPr>
              <w:pStyle w:val="Compact"/>
              <w:jc w:val="left"/>
            </w:pPr>
            <w:r>
              <w:rPr>
                <w:bCs/>
                <w:b/>
              </w:rPr>
              <w:t xml:space="preserve">Algorithm</w:t>
            </w:r>
          </w:p>
        </w:tc>
        <w:tc>
          <w:tcPr/>
          <w:p>
            <w:pPr>
              <w:pStyle w:val="Compact"/>
              <w:jc w:val="left"/>
            </w:pPr>
            <w:r>
              <w:t xml:space="preserve">ML-KEM, ML-DSA, hybrid constructions</w:t>
            </w:r>
          </w:p>
        </w:tc>
        <w:tc>
          <w:tcPr/>
          <w:p>
            <w:pPr>
              <w:pStyle w:val="Compact"/>
              <w:jc w:val="left"/>
            </w:pPr>
            <w:r>
              <w:t xml:space="preserve">Crypto governance</w:t>
            </w:r>
          </w:p>
        </w:tc>
        <w:tc>
          <w:tcPr/>
          <w:p>
            <w:pPr>
              <w:pStyle w:val="Compact"/>
              <w:jc w:val="left"/>
            </w:pPr>
            <w:r>
              <w:rPr>
                <w:rStyle w:val="VerbatimChar"/>
              </w:rPr>
              <w:t xml:space="preserve">implements</w:t>
            </w:r>
          </w:p>
        </w:tc>
      </w:tr>
      <w:tr>
        <w:tc>
          <w:tcPr/>
          <w:p>
            <w:pPr>
              <w:pStyle w:val="Compact"/>
              <w:jc w:val="left"/>
            </w:pPr>
            <w:r>
              <w:rPr>
                <w:bCs/>
                <w:b/>
              </w:rPr>
              <w:t xml:space="preserve">Library / firmware</w:t>
            </w:r>
          </w:p>
        </w:tc>
        <w:tc>
          <w:tcPr/>
          <w:p>
            <w:pPr>
              <w:pStyle w:val="Compact"/>
              <w:jc w:val="left"/>
            </w:pPr>
            <w:r>
              <w:t xml:space="preserve">OpenSSL, strongSwan, CPE builds, mesh proxies</w:t>
            </w:r>
          </w:p>
        </w:tc>
        <w:tc>
          <w:tcPr/>
          <w:p>
            <w:pPr>
              <w:pStyle w:val="Compact"/>
              <w:jc w:val="left"/>
            </w:pPr>
            <w:r>
              <w:t xml:space="preserve">Platform / vendor management</w:t>
            </w:r>
          </w:p>
        </w:tc>
        <w:tc>
          <w:tcPr/>
          <w:p>
            <w:pPr>
              <w:pStyle w:val="Compact"/>
              <w:jc w:val="left"/>
            </w:pPr>
            <w:r>
              <w:rPr>
                <w:rStyle w:val="VerbatimChar"/>
              </w:rPr>
              <w:t xml:space="preserve">implements</w:t>
            </w:r>
          </w:p>
        </w:tc>
      </w:tr>
      <w:tr>
        <w:tc>
          <w:tcPr/>
          <w:p>
            <w:pPr>
              <w:pStyle w:val="Compact"/>
              <w:jc w:val="left"/>
            </w:pPr>
            <w:r>
              <w:rPr>
                <w:bCs/>
                <w:b/>
              </w:rPr>
              <w:t xml:space="preserve">Protocol policy</w:t>
            </w:r>
          </w:p>
        </w:tc>
        <w:tc>
          <w:tcPr/>
          <w:p>
            <w:pPr>
              <w:pStyle w:val="Compact"/>
              <w:jc w:val="left"/>
            </w:pPr>
            <w:r>
              <w:t xml:space="preserve">Named TLS groups, IKE transforms, SSH host key types</w:t>
            </w:r>
          </w:p>
        </w:tc>
        <w:tc>
          <w:tcPr/>
          <w:p>
            <w:pPr>
              <w:pStyle w:val="Compact"/>
              <w:jc w:val="left"/>
            </w:pPr>
            <w:r>
              <w:t xml:space="preserve">Network / security architecture</w:t>
            </w:r>
          </w:p>
        </w:tc>
        <w:tc>
          <w:tcPr/>
          <w:p>
            <w:pPr>
              <w:pStyle w:val="Compact"/>
              <w:jc w:val="left"/>
            </w:pPr>
            <w:r>
              <w:rPr>
                <w:rStyle w:val="VerbatimChar"/>
              </w:rPr>
              <w:t xml:space="preserve">terminates</w:t>
            </w:r>
          </w:p>
        </w:tc>
      </w:tr>
      <w:tr>
        <w:tc>
          <w:tcPr/>
          <w:p>
            <w:pPr>
              <w:pStyle w:val="Compact"/>
              <w:jc w:val="left"/>
            </w:pPr>
            <w:r>
              <w:rPr>
                <w:bCs/>
                <w:b/>
              </w:rPr>
              <w:t xml:space="preserve">Certificate / identity</w:t>
            </w:r>
          </w:p>
        </w:tc>
        <w:tc>
          <w:tcPr/>
          <w:p>
            <w:pPr>
              <w:pStyle w:val="Compact"/>
              <w:jc w:val="left"/>
            </w:pPr>
            <w:r>
              <w:t xml:space="preserve">Server certs, client certs, SSH host keys, S/MIME profiles</w:t>
            </w:r>
          </w:p>
        </w:tc>
        <w:tc>
          <w:tcPr/>
          <w:p>
            <w:pPr>
              <w:pStyle w:val="Compact"/>
              <w:jc w:val="left"/>
            </w:pPr>
            <w:r>
              <w:t xml:space="preserve">PKI team</w:t>
            </w:r>
          </w:p>
        </w:tc>
        <w:tc>
          <w:tcPr/>
          <w:p>
            <w:pPr>
              <w:pStyle w:val="Compact"/>
              <w:jc w:val="left"/>
            </w:pPr>
            <w:r>
              <w:rPr>
                <w:rStyle w:val="VerbatimChar"/>
              </w:rPr>
              <w:t xml:space="preserve">trusts</w:t>
            </w:r>
            <w:r>
              <w:t xml:space="preserve">,</w:t>
            </w:r>
            <w:r>
              <w:t xml:space="preserve"> </w:t>
            </w:r>
            <w:r>
              <w:rPr>
                <w:rStyle w:val="VerbatimChar"/>
              </w:rPr>
              <w:t xml:space="preserve">signs</w:t>
            </w:r>
          </w:p>
        </w:tc>
      </w:tr>
      <w:tr>
        <w:tc>
          <w:tcPr/>
          <w:p>
            <w:pPr>
              <w:pStyle w:val="Compact"/>
              <w:jc w:val="left"/>
            </w:pPr>
            <w:r>
              <w:rPr>
                <w:bCs/>
                <w:b/>
              </w:rPr>
              <w:t xml:space="preserve">Partner / tenant policy</w:t>
            </w:r>
          </w:p>
        </w:tc>
        <w:tc>
          <w:tcPr/>
          <w:p>
            <w:pPr>
              <w:pStyle w:val="Compact"/>
              <w:jc w:val="left"/>
            </w:pPr>
            <w:r>
              <w:t xml:space="preserve">External acceptance of new algorithms and cert profiles</w:t>
            </w:r>
          </w:p>
        </w:tc>
        <w:tc>
          <w:tcPr/>
          <w:p>
            <w:pPr>
              <w:pStyle w:val="Compact"/>
              <w:jc w:val="left"/>
            </w:pPr>
            <w:r>
              <w:t xml:space="preserve">Commercial / integration</w:t>
            </w:r>
          </w:p>
        </w:tc>
        <w:tc>
          <w:tcPr/>
          <w:p>
            <w:pPr>
              <w:pStyle w:val="Compact"/>
              <w:jc w:val="left"/>
            </w:pPr>
            <w:r>
              <w:rPr>
                <w:rStyle w:val="VerbatimChar"/>
              </w:rPr>
              <w:t xml:space="preserve">trusts</w:t>
            </w:r>
          </w:p>
        </w:tc>
      </w:tr>
      <w:tr>
        <w:tc>
          <w:tcPr/>
          <w:p>
            <w:pPr>
              <w:pStyle w:val="Compact"/>
              <w:jc w:val="left"/>
            </w:pPr>
            <w:r>
              <w:rPr>
                <w:bCs/>
                <w:b/>
              </w:rPr>
              <w:t xml:space="preserve">Inspection / middlebox</w:t>
            </w:r>
          </w:p>
        </w:tc>
        <w:tc>
          <w:tcPr/>
          <w:p>
            <w:pPr>
              <w:pStyle w:val="Compact"/>
              <w:jc w:val="left"/>
            </w:pPr>
            <w:r>
              <w:t xml:space="preserve">Buffer limits, extension parsing, passive monitoring</w:t>
            </w:r>
          </w:p>
        </w:tc>
        <w:tc>
          <w:tcPr/>
          <w:p>
            <w:pPr>
              <w:pStyle w:val="Compact"/>
              <w:jc w:val="left"/>
            </w:pPr>
            <w:r>
              <w:t xml:space="preserve">Network operations</w:t>
            </w:r>
          </w:p>
        </w:tc>
        <w:tc>
          <w:tcPr/>
          <w:p>
            <w:pPr>
              <w:pStyle w:val="Compact"/>
              <w:jc w:val="left"/>
            </w:pPr>
            <w:r>
              <w:rPr>
                <w:rStyle w:val="VerbatimChar"/>
              </w:rPr>
              <w:t xml:space="preserve">terminates</w:t>
            </w:r>
            <w:r>
              <w:t xml:space="preserve"> </w:t>
            </w:r>
            <w:r>
              <w:t xml:space="preserve">(proxy)</w:t>
            </w:r>
          </w:p>
        </w:tc>
      </w:tr>
    </w:tbl>
    <w:p>
      <w:pPr>
        <w:pStyle w:val="BodyText"/>
      </w:pPr>
      <w:r>
        <w:t xml:space="preserve">Hybrid patterns (Chapter 11) operate at the algorithm and protocol policy layers. Protocol transition programmes must address</w:t>
      </w:r>
      <w:r>
        <w:t xml:space="preserve"> </w:t>
      </w:r>
      <w:r>
        <w:rPr>
          <w:bCs/>
          <w:b/>
        </w:rPr>
        <w:t xml:space="preserve">all six layers</w:t>
      </w:r>
      <w:r>
        <w:t xml:space="preserve"> </w:t>
      </w:r>
      <w:r>
        <w:t xml:space="preserve">before production cutover — or document Tier C exception paths with compensating controls.</w:t>
      </w:r>
    </w:p>
    <w:bookmarkEnd w:id="21"/>
    <w:bookmarkStart w:id="22" w:name="relationship-to-hlm-phases"/>
    <w:p>
      <w:pPr>
        <w:pStyle w:val="Heading3"/>
      </w:pPr>
      <w:r>
        <w:t xml:space="preserve">Relationship to HLM phases</w:t>
      </w:r>
    </w:p>
    <w:p>
      <w:pPr>
        <w:pStyle w:val="FirstParagraph"/>
      </w:pPr>
      <w:r>
        <w:t xml:space="preserve">Protocol transition does not replace HLM; it</w:t>
      </w:r>
      <w:r>
        <w:t xml:space="preserve"> </w:t>
      </w:r>
      <w:r>
        <w:rPr>
          <w:bCs/>
          <w:b/>
        </w:rPr>
        <w:t xml:space="preserve">instantiates</w:t>
      </w:r>
      <w:r>
        <w:t xml:space="preserve"> </w:t>
      </w:r>
      <w:r>
        <w:t xml:space="preserve">HLM per protocol class:</w:t>
      </w:r>
    </w:p>
    <w:tbl>
      <w:tblPr>
        <w:tblStyle w:val="Table"/>
        <w:tblW w:type="pct" w:w="5000"/>
        <w:tblLook w:firstRow="1" w:lastRow="0" w:firstColumn="0" w:lastColumn="0" w:noHBand="0" w:noVBand="0" w:val="0020"/>
        <w:jc w:val="start"/>
      </w:tblPr>
      <w:tblGrid>
        <w:gridCol w:w="2292"/>
        <w:gridCol w:w="5627"/>
      </w:tblGrid>
      <w:tr>
        <w:trPr>
          <w:tblHeader w:val="true"/>
        </w:trPr>
        <w:tc>
          <w:tcPr/>
          <w:p>
            <w:pPr>
              <w:pStyle w:val="Compact"/>
              <w:jc w:val="left"/>
            </w:pPr>
            <w:r>
              <w:t xml:space="preserve">HLM phase</w:t>
            </w:r>
          </w:p>
        </w:tc>
        <w:tc>
          <w:tcPr/>
          <w:p>
            <w:pPr>
              <w:pStyle w:val="Compact"/>
              <w:jc w:val="left"/>
            </w:pPr>
            <w:r>
              <w:t xml:space="preserve">Protocol transition meaning</w:t>
            </w:r>
          </w:p>
        </w:tc>
      </w:tr>
      <w:tr>
        <w:tc>
          <w:tcPr/>
          <w:p>
            <w:pPr>
              <w:pStyle w:val="Compact"/>
              <w:jc w:val="left"/>
            </w:pPr>
            <w:r>
              <w:rPr>
                <w:bCs/>
                <w:b/>
              </w:rPr>
              <w:t xml:space="preserve">H1</w:t>
            </w:r>
          </w:p>
        </w:tc>
        <w:tc>
          <w:tcPr/>
          <w:p>
            <w:pPr>
              <w:pStyle w:val="Compact"/>
              <w:jc w:val="left"/>
            </w:pPr>
            <w:r>
              <w:t xml:space="preserve">Hybrid or dual-mode negotiation enabled; classical fallback or parallel endpoint for exceptions</w:t>
            </w:r>
          </w:p>
        </w:tc>
      </w:tr>
      <w:tr>
        <w:tc>
          <w:tcPr/>
          <w:p>
            <w:pPr>
              <w:pStyle w:val="Compact"/>
              <w:jc w:val="left"/>
            </w:pPr>
            <w:r>
              <w:rPr>
                <w:bCs/>
                <w:b/>
              </w:rPr>
              <w:t xml:space="preserve">H2</w:t>
            </w:r>
          </w:p>
        </w:tc>
        <w:tc>
          <w:tcPr/>
          <w:p>
            <w:pPr>
              <w:pStyle w:val="Compact"/>
              <w:jc w:val="left"/>
            </w:pPr>
            <w:r>
              <w:t xml:space="preserve">PQC-preferred; classical permitted only on documented exception paths</w:t>
            </w:r>
          </w:p>
        </w:tc>
      </w:tr>
      <w:tr>
        <w:tc>
          <w:tcPr/>
          <w:p>
            <w:pPr>
              <w:pStyle w:val="Compact"/>
              <w:jc w:val="left"/>
            </w:pPr>
            <w:r>
              <w:rPr>
                <w:bCs/>
                <w:b/>
              </w:rPr>
              <w:t xml:space="preserve">H3</w:t>
            </w:r>
          </w:p>
        </w:tc>
        <w:tc>
          <w:tcPr/>
          <w:p>
            <w:pPr>
              <w:pStyle w:val="Compact"/>
              <w:jc w:val="left"/>
            </w:pPr>
            <w:r>
              <w:t xml:space="preserve">Quantum-vulnerable PKC removed from negotiation policy for in-scope endpoints</w:t>
            </w:r>
          </w:p>
        </w:tc>
      </w:tr>
    </w:tbl>
    <w:p>
      <w:pPr>
        <w:pStyle w:val="BodyText"/>
      </w:pPr>
      <w:r>
        <w:t xml:space="preserve">A single enterprise may run H2 on internal service mesh TLS while remaining H1 on WAN IPsec —</w:t>
      </w:r>
      <w:r>
        <w:t xml:space="preserve"> </w:t>
      </w:r>
      <w:r>
        <w:rPr>
          <w:bCs/>
          <w:b/>
        </w:rPr>
        <w:t xml:space="preserve">scope HLM per protocol class</w:t>
      </w:r>
      <w:r>
        <w:t xml:space="preserve">, not per enterprise banner (Chapter 11 §11.1).</w:t>
      </w:r>
    </w:p>
    <w:p>
      <w:pPr>
        <w:pStyle w:val="BlockText"/>
      </w:pPr>
      <w:r>
        <w:rPr>
          <w:bCs/>
          <w:b/>
        </w:rPr>
        <w:t xml:space="preserve">Migration Moment</w:t>
      </w:r>
    </w:p>
    <w:p>
      <w:pPr>
        <w:pStyle w:val="BlockText"/>
      </w:pPr>
      <w:r>
        <w:rPr>
          <w:iCs/>
          <w:i/>
        </w:rPr>
        <w:t xml:space="preserve">“</w:t>
      </w:r>
      <w:r>
        <w:rPr>
          <w:iCs/>
          <w:i/>
        </w:rPr>
        <w:t xml:space="preserve">Our TLS is hybrid. Protocol migration is done.</w:t>
      </w:r>
      <w:r>
        <w:rPr>
          <w:iCs/>
          <w:i/>
        </w:rPr>
        <w:t xml:space="preserve">”</w:t>
      </w:r>
    </w:p>
    <w:p>
      <w:pPr>
        <w:pStyle w:val="BlockText"/>
      </w:pPr>
      <w:r>
        <w:t xml:space="preserve">TLS is one protocol among dozens in a typical CBOM. SSH administrative access, Kafka broker channels, AMQP messaging, site-to-site IPsec, partner mTLS, and S/MIME email each carry independent readiness curves. Programme dashboards that report</w:t>
      </w:r>
      <w:r>
        <w:t xml:space="preserve"> </w:t>
      </w:r>
      <w:r>
        <w:t xml:space="preserve">“</w:t>
      </w:r>
      <w:r>
        <w:t xml:space="preserve">TLS PQC enabled</w:t>
      </w:r>
      <w:r>
        <w:t xml:space="preserve">”</w:t>
      </w:r>
      <w:r>
        <w:t xml:space="preserve"> </w:t>
      </w:r>
      <w:r>
        <w:t xml:space="preserve">without protocol-class breakdown recreate the SHA-1 retirement failure mode — green on the load balancer, red in the dependency graph.</w:t>
      </w:r>
    </w:p>
    <w:bookmarkEnd w:id="22"/>
    <w:bookmarkStart w:id="23" w:name="prerequisites-from-part-iii"/>
    <w:p>
      <w:pPr>
        <w:pStyle w:val="Heading3"/>
      </w:pPr>
      <w:r>
        <w:t xml:space="preserve">Prerequisites from Part III</w:t>
      </w:r>
    </w:p>
    <w:p>
      <w:pPr>
        <w:pStyle w:val="FirstParagraph"/>
      </w:pPr>
      <w:r>
        <w:t xml:space="preserve">Protocol playbooks assume:</w:t>
      </w:r>
    </w:p>
    <w:p>
      <w:pPr>
        <w:numPr>
          <w:ilvl w:val="0"/>
          <w:numId w:val="1001"/>
        </w:numPr>
        <w:pStyle w:val="Compact"/>
      </w:pPr>
      <w:r>
        <w:t xml:space="preserve">CBOM baseline with protocol attributes populated (Chapter 7)</w:t>
      </w:r>
    </w:p>
    <w:p>
      <w:pPr>
        <w:numPr>
          <w:ilvl w:val="0"/>
          <w:numId w:val="1001"/>
        </w:numPr>
        <w:pStyle w:val="Compact"/>
      </w:pPr>
      <w:r>
        <w:t xml:space="preserve">CDG with</w:t>
      </w:r>
      <w:r>
        <w:t xml:space="preserve"> </w:t>
      </w:r>
      <w:r>
        <w:rPr>
          <w:rStyle w:val="VerbatimChar"/>
        </w:rPr>
        <w:t xml:space="preserve">terminates</w:t>
      </w:r>
      <w:r>
        <w:t xml:space="preserve">,</w:t>
      </w:r>
      <w:r>
        <w:t xml:space="preserve"> </w:t>
      </w:r>
      <w:r>
        <w:rPr>
          <w:rStyle w:val="VerbatimChar"/>
        </w:rPr>
        <w:t xml:space="preserve">trusts</w:t>
      </w:r>
      <w:r>
        <w:t xml:space="preserve">, and blocking nodes identified (Chapter 8)</w:t>
      </w:r>
    </w:p>
    <w:p>
      <w:pPr>
        <w:numPr>
          <w:ilvl w:val="0"/>
          <w:numId w:val="1001"/>
        </w:numPr>
        <w:pStyle w:val="Compact"/>
      </w:pPr>
      <w:r>
        <w:t xml:space="preserve">Wave membership and TRADE Ecosystem (E) scores assigned (Chapter 9)</w:t>
      </w:r>
    </w:p>
    <w:p>
      <w:pPr>
        <w:numPr>
          <w:ilvl w:val="0"/>
          <w:numId w:val="1001"/>
        </w:numPr>
        <w:pStyle w:val="Compact"/>
      </w:pPr>
      <w:r>
        <w:t xml:space="preserve">Crypto-agility standards for configuration-driven policy (Chapter 10)</w:t>
      </w:r>
    </w:p>
    <w:p>
      <w:pPr>
        <w:numPr>
          <w:ilvl w:val="0"/>
          <w:numId w:val="1001"/>
        </w:numPr>
        <w:pStyle w:val="Compact"/>
      </w:pPr>
      <w:r>
        <w:t xml:space="preserve">Hybrid pattern catalog adopted (Chapter 11, Table 11.3)</w:t>
      </w:r>
    </w:p>
    <w:p>
      <w:pPr>
        <w:pStyle w:val="FirstParagraph"/>
      </w:pPr>
      <w:r>
        <w:t xml:space="preserve">Without CDG topology, protocol teams optimise locally and collide globally — Marcus Chen’s nine-month production block on 200 microservices is the reference anti-pattern.</w:t>
      </w:r>
    </w:p>
    <w:p>
      <w:r>
        <w:pict>
          <v:rect style="width:0;height:1.5pt" o:hralign="center" o:hrstd="t" o:hr="t"/>
        </w:pict>
      </w:r>
    </w:p>
    <w:bookmarkEnd w:id="23"/>
    <w:bookmarkEnd w:id="24"/>
    <w:bookmarkStart w:id="26" w:name="Xc2fb8eb0fbec8cdb3748dc2d980c89c4d419d38"/>
    <w:p>
      <w:pPr>
        <w:pStyle w:val="Heading2"/>
      </w:pPr>
      <w:r>
        <w:t xml:space="preserve">12.2 A Unified Protocol Transition Methodology</w:t>
      </w:r>
    </w:p>
    <w:p>
      <w:pPr>
        <w:pStyle w:val="FirstParagraph"/>
      </w:pPr>
      <w:r>
        <w:t xml:space="preserve">Regardless of protocol, governed transitions follow the same</w:t>
      </w:r>
      <w:r>
        <w:t xml:space="preserve"> </w:t>
      </w:r>
      <w:r>
        <w:rPr>
          <w:bCs/>
          <w:b/>
        </w:rPr>
        <w:t xml:space="preserve">five-phase methodology</w:t>
      </w:r>
      <w:r>
        <w:t xml:space="preserve">. Programme offices embed this sequence in change management templates; individual protocol sections below specialise each phase.</w:t>
      </w:r>
    </w:p>
    <w:p>
      <w:pPr>
        <w:pStyle w:val="BodyText"/>
      </w:pPr>
      <w:r>
        <w:rPr>
          <w:bCs/>
          <w:b/>
        </w:rPr>
        <w:t xml:space="preserve">Figure 12.1 — Protocol Transition Methodology (All Protocols)</w:t>
      </w:r>
    </w:p>
    <w:p>
      <w:pPr>
        <w:pStyle w:val="SourceCode"/>
      </w:pPr>
      <w:r>
        <w:rPr>
          <w:rStyle w:val="VerbatimChar"/>
        </w:rPr>
        <w:t xml:space="preserve">Phase 1          Phase 2           Phase 3            Phase 4           Phase 5</w:t>
      </w:r>
      <w:r>
        <w:br/>
      </w:r>
      <w:r>
        <w:rPr>
          <w:rStyle w:val="VerbatimChar"/>
        </w:rPr>
        <w:t xml:space="preserve">DISCOVER    --&gt;  MEASURE      --&gt;  DESIGN        --&gt;  PILOT        --&gt;  PRODUCTION</w:t>
      </w:r>
      <w:r>
        <w:br/>
      </w:r>
      <w:r>
        <w:rPr>
          <w:rStyle w:val="VerbatimChar"/>
        </w:rPr>
        <w:t xml:space="preserve">CBOM + CDG       Production         Tiered policy      Soak +          Rollout by</w:t>
      </w:r>
      <w:r>
        <w:br/>
      </w:r>
      <w:r>
        <w:rPr>
          <w:rStyle w:val="VerbatimChar"/>
        </w:rPr>
        <w:t xml:space="preserve">inventory        telemetry          + library          partner         wave +</w:t>
      </w:r>
      <w:r>
        <w:br/>
      </w:r>
      <w:r>
        <w:rPr>
          <w:rStyle w:val="VerbatimChar"/>
        </w:rPr>
        <w:t xml:space="preserve">                 + partner          baseline           sync            telemetry</w:t>
      </w:r>
      <w:r>
        <w:br/>
      </w:r>
      <w:r>
        <w:rPr>
          <w:rStyle w:val="VerbatimChar"/>
        </w:rPr>
        <w:t xml:space="preserve">                 inventory</w:t>
      </w:r>
    </w:p>
    <w:p>
      <w:pPr>
        <w:pStyle w:val="FirstParagraph"/>
      </w:pPr>
      <w:r>
        <w:rPr>
          <w:bCs/>
          <w:b/>
        </w:rPr>
        <w:t xml:space="preserve">Production brief — Figure 12.1:</w:t>
      </w:r>
      <w:r>
        <w:t xml:space="preserve"> </w:t>
      </w:r>
      <w:r>
        <w:t xml:space="preserve">Horizontal process flow with feedback arrows from Phase 4/5 to Phase 2 (telemetry refinement). Annotate entry gates: Phase 3 requires infrastructure buffer assessment; Phase 5 requires rollback test evidence.</w:t>
      </w:r>
    </w:p>
    <w:tbl>
      <w:tblPr>
        <w:tblStyle w:val="Table"/>
        <w:tblW w:type="pct" w:w="5000"/>
        <w:tblLook w:firstRow="1" w:lastRow="0" w:firstColumn="0" w:lastColumn="0" w:noHBand="0" w:noVBand="0" w:val="0020"/>
        <w:jc w:val="start"/>
      </w:tblPr>
      <w:tblGrid>
        <w:gridCol w:w="1680"/>
        <w:gridCol w:w="2640"/>
        <w:gridCol w:w="3600"/>
      </w:tblGrid>
      <w:tr>
        <w:trPr>
          <w:tblHeader w:val="true"/>
        </w:trPr>
        <w:tc>
          <w:tcPr/>
          <w:p>
            <w:pPr>
              <w:pStyle w:val="Compact"/>
              <w:jc w:val="left"/>
            </w:pPr>
            <w:r>
              <w:t xml:space="preserve">Phase</w:t>
            </w:r>
          </w:p>
        </w:tc>
        <w:tc>
          <w:tcPr/>
          <w:p>
            <w:pPr>
              <w:pStyle w:val="Compact"/>
              <w:jc w:val="left"/>
            </w:pPr>
            <w:r>
              <w:t xml:space="preserve">Activities</w:t>
            </w:r>
          </w:p>
        </w:tc>
        <w:tc>
          <w:tcPr/>
          <w:p>
            <w:pPr>
              <w:pStyle w:val="Compact"/>
              <w:jc w:val="left"/>
            </w:pPr>
            <w:r>
              <w:t xml:space="preserve">Exit criteria</w:t>
            </w:r>
          </w:p>
        </w:tc>
      </w:tr>
      <w:tr>
        <w:tc>
          <w:tcPr/>
          <w:p>
            <w:pPr>
              <w:pStyle w:val="Compact"/>
              <w:jc w:val="left"/>
            </w:pPr>
            <w:r>
              <w:rPr>
                <w:bCs/>
                <w:b/>
              </w:rPr>
              <w:t xml:space="preserve">1 — Discover</w:t>
            </w:r>
          </w:p>
        </w:tc>
        <w:tc>
          <w:tcPr/>
          <w:p>
            <w:pPr>
              <w:pStyle w:val="Compact"/>
              <w:jc w:val="left"/>
            </w:pPr>
            <w:r>
              <w:t xml:space="preserve">Map protocol instances in CBOM; model CDG edges; identify blocking nodes</w:t>
            </w:r>
          </w:p>
        </w:tc>
        <w:tc>
          <w:tcPr/>
          <w:p>
            <w:pPr>
              <w:pStyle w:val="Compact"/>
              <w:jc w:val="left"/>
            </w:pPr>
            <w:r>
              <w:t xml:space="preserve">Protocol-class inventory complete; blocking nodes tagged</w:t>
            </w:r>
          </w:p>
        </w:tc>
      </w:tr>
      <w:tr>
        <w:tc>
          <w:tcPr/>
          <w:p>
            <w:pPr>
              <w:pStyle w:val="Compact"/>
              <w:jc w:val="left"/>
            </w:pPr>
            <w:r>
              <w:rPr>
                <w:bCs/>
                <w:b/>
              </w:rPr>
              <w:t xml:space="preserve">2 — Measure</w:t>
            </w:r>
          </w:p>
        </w:tc>
        <w:tc>
          <w:tcPr/>
          <w:p>
            <w:pPr>
              <w:pStyle w:val="Compact"/>
              <w:jc w:val="left"/>
            </w:pPr>
            <w:r>
              <w:t xml:space="preserve">Production or mirror telemetry; client/partner fingerprinting; middlebox path analysis</w:t>
            </w:r>
          </w:p>
        </w:tc>
        <w:tc>
          <w:tcPr/>
          <w:p>
            <w:pPr>
              <w:pStyle w:val="Compact"/>
              <w:jc w:val="left"/>
            </w:pPr>
            <w:r>
              <w:t xml:space="preserve">Compatibility cohorts defined (Tier A/B/C/D); handshake or negotiation failure modes classified</w:t>
            </w:r>
          </w:p>
        </w:tc>
      </w:tr>
      <w:tr>
        <w:tc>
          <w:tcPr/>
          <w:p>
            <w:pPr>
              <w:pStyle w:val="Compact"/>
              <w:jc w:val="left"/>
            </w:pPr>
            <w:r>
              <w:rPr>
                <w:bCs/>
                <w:b/>
              </w:rPr>
              <w:t xml:space="preserve">3 — Design</w:t>
            </w:r>
          </w:p>
        </w:tc>
        <w:tc>
          <w:tcPr/>
          <w:p>
            <w:pPr>
              <w:pStyle w:val="Compact"/>
              <w:jc w:val="left"/>
            </w:pPr>
            <w:r>
              <w:t xml:space="preserve">Select HLM phase; tiered endpoints; library minimum versions; certificate profile dependencies</w:t>
            </w:r>
          </w:p>
        </w:tc>
        <w:tc>
          <w:tcPr/>
          <w:p>
            <w:pPr>
              <w:pStyle w:val="Compact"/>
              <w:jc w:val="left"/>
            </w:pPr>
            <w:r>
              <w:t xml:space="preserve">Architecture review approved;</w:t>
            </w:r>
            <w:r>
              <w:t xml:space="preserve"> </w:t>
            </w:r>
            <w:r>
              <w:rPr>
                <w:rStyle w:val="VerbatimChar"/>
              </w:rPr>
              <w:t xml:space="preserve">h2_trigger_value</w:t>
            </w:r>
            <w:r>
              <w:t xml:space="preserve"> </w:t>
            </w:r>
            <w:r>
              <w:t xml:space="preserve">populated; PKI dependencies scheduled (Chapter 13)</w:t>
            </w:r>
          </w:p>
        </w:tc>
      </w:tr>
      <w:tr>
        <w:tc>
          <w:tcPr/>
          <w:p>
            <w:pPr>
              <w:pStyle w:val="Compact"/>
              <w:jc w:val="left"/>
            </w:pPr>
            <w:r>
              <w:rPr>
                <w:bCs/>
                <w:b/>
              </w:rPr>
              <w:t xml:space="preserve">4 — Pilot</w:t>
            </w:r>
          </w:p>
        </w:tc>
        <w:tc>
          <w:tcPr/>
          <w:p>
            <w:pPr>
              <w:pStyle w:val="Compact"/>
              <w:jc w:val="left"/>
            </w:pPr>
            <w:r>
              <w:t xml:space="preserve">Staged cohort or region; partner notification; soak period</w:t>
            </w:r>
          </w:p>
        </w:tc>
        <w:tc>
          <w:tcPr/>
          <w:p>
            <w:pPr>
              <w:pStyle w:val="Compact"/>
              <w:jc w:val="left"/>
            </w:pPr>
            <w:r>
              <w:t xml:space="preserve">Zero Sev 1 in soak window; rollback tested</w:t>
            </w:r>
          </w:p>
        </w:tc>
      </w:tr>
      <w:tr>
        <w:tc>
          <w:tcPr/>
          <w:p>
            <w:pPr>
              <w:pStyle w:val="Compact"/>
              <w:jc w:val="left"/>
            </w:pPr>
            <w:r>
              <w:rPr>
                <w:bCs/>
                <w:b/>
              </w:rPr>
              <w:t xml:space="preserve">5 — Production</w:t>
            </w:r>
          </w:p>
        </w:tc>
        <w:tc>
          <w:tcPr/>
          <w:p>
            <w:pPr>
              <w:pStyle w:val="Compact"/>
              <w:jc w:val="left"/>
            </w:pPr>
            <w:r>
              <w:t xml:space="preserve">Wave-aligned rollout; continuous telemetry; exception governance</w:t>
            </w:r>
          </w:p>
        </w:tc>
        <w:tc>
          <w:tcPr/>
          <w:p>
            <w:pPr>
              <w:pStyle w:val="Compact"/>
              <w:jc w:val="left"/>
            </w:pPr>
            <w:r>
              <w:rPr>
                <w:rStyle w:val="VerbatimChar"/>
              </w:rPr>
              <w:t xml:space="preserve">hybrid_negotiation_rate</w:t>
            </w:r>
            <w:r>
              <w:t xml:space="preserve"> </w:t>
            </w:r>
            <w:r>
              <w:t xml:space="preserve">or protocol-equivalent metric meets H1 exit threshold</w:t>
            </w:r>
          </w:p>
        </w:tc>
      </w:tr>
    </w:tbl>
    <w:bookmarkStart w:id="25" w:name="protocol-class-ownership"/>
    <w:p>
      <w:pPr>
        <w:pStyle w:val="Heading3"/>
      </w:pPr>
      <w:r>
        <w:t xml:space="preserve">Protocol-class ownership</w:t>
      </w:r>
    </w:p>
    <w:tbl>
      <w:tblPr>
        <w:tblStyle w:val="Table"/>
        <w:tblW w:type="pct" w:w="5000"/>
        <w:tblLook w:firstRow="1" w:lastRow="0" w:firstColumn="0" w:lastColumn="0" w:noHBand="0" w:noVBand="0" w:val="0020"/>
        <w:jc w:val="start"/>
      </w:tblPr>
      <w:tblGrid>
        <w:gridCol w:w="2304"/>
        <w:gridCol w:w="2160"/>
        <w:gridCol w:w="3456"/>
      </w:tblGrid>
      <w:tr>
        <w:trPr>
          <w:tblHeader w:val="true"/>
        </w:trPr>
        <w:tc>
          <w:tcPr/>
          <w:p>
            <w:pPr>
              <w:pStyle w:val="Compact"/>
              <w:jc w:val="left"/>
            </w:pPr>
            <w:r>
              <w:t xml:space="preserve">Protocol class</w:t>
            </w:r>
          </w:p>
        </w:tc>
        <w:tc>
          <w:tcPr/>
          <w:p>
            <w:pPr>
              <w:pStyle w:val="Compact"/>
              <w:jc w:val="left"/>
            </w:pPr>
            <w:r>
              <w:t xml:space="preserve">Primary owner</w:t>
            </w:r>
          </w:p>
        </w:tc>
        <w:tc>
          <w:tcPr/>
          <w:p>
            <w:pPr>
              <w:pStyle w:val="Compact"/>
              <w:jc w:val="left"/>
            </w:pPr>
            <w:r>
              <w:t xml:space="preserve">Secondary stakeholders</w:t>
            </w:r>
          </w:p>
        </w:tc>
      </w:tr>
      <w:tr>
        <w:tc>
          <w:tcPr/>
          <w:p>
            <w:pPr>
              <w:pStyle w:val="Compact"/>
              <w:jc w:val="left"/>
            </w:pPr>
            <w:r>
              <w:t xml:space="preserve">External TLS</w:t>
            </w:r>
          </w:p>
        </w:tc>
        <w:tc>
          <w:tcPr/>
          <w:p>
            <w:pPr>
              <w:pStyle w:val="Compact"/>
              <w:jc w:val="left"/>
            </w:pPr>
            <w:r>
              <w:t xml:space="preserve">Platform / API engineering</w:t>
            </w:r>
          </w:p>
        </w:tc>
        <w:tc>
          <w:tcPr/>
          <w:p>
            <w:pPr>
              <w:pStyle w:val="Compact"/>
              <w:jc w:val="left"/>
            </w:pPr>
            <w:r>
              <w:t xml:space="preserve">PKI, CDN, WAF, commercial (tenant comms)</w:t>
            </w:r>
          </w:p>
        </w:tc>
      </w:tr>
      <w:tr>
        <w:tc>
          <w:tcPr/>
          <w:p>
            <w:pPr>
              <w:pStyle w:val="Compact"/>
              <w:jc w:val="left"/>
            </w:pPr>
            <w:r>
              <w:t xml:space="preserve">Internal TLS / mesh</w:t>
            </w:r>
          </w:p>
        </w:tc>
        <w:tc>
          <w:tcPr/>
          <w:p>
            <w:pPr>
              <w:pStyle w:val="Compact"/>
              <w:jc w:val="left"/>
            </w:pPr>
            <w:r>
              <w:t xml:space="preserve">Service mesh / platform</w:t>
            </w:r>
          </w:p>
        </w:tc>
        <w:tc>
          <w:tcPr/>
          <w:p>
            <w:pPr>
              <w:pStyle w:val="Compact"/>
              <w:jc w:val="left"/>
            </w:pPr>
            <w:r>
              <w:t xml:space="preserve">PKI, application teams</w:t>
            </w:r>
          </w:p>
        </w:tc>
      </w:tr>
      <w:tr>
        <w:tc>
          <w:tcPr/>
          <w:p>
            <w:pPr>
              <w:pStyle w:val="Compact"/>
              <w:jc w:val="left"/>
            </w:pPr>
            <w:r>
              <w:t xml:space="preserve">IPsec / IKE</w:t>
            </w:r>
          </w:p>
        </w:tc>
        <w:tc>
          <w:tcPr/>
          <w:p>
            <w:pPr>
              <w:pStyle w:val="Compact"/>
              <w:jc w:val="left"/>
            </w:pPr>
            <w:r>
              <w:t xml:space="preserve">Network engineering</w:t>
            </w:r>
          </w:p>
        </w:tc>
        <w:tc>
          <w:tcPr/>
          <w:p>
            <w:pPr>
              <w:pStyle w:val="Compact"/>
              <w:jc w:val="left"/>
            </w:pPr>
            <w:r>
              <w:t xml:space="preserve">OT operations, vendor management</w:t>
            </w:r>
          </w:p>
        </w:tc>
      </w:tr>
      <w:tr>
        <w:tc>
          <w:tcPr/>
          <w:p>
            <w:pPr>
              <w:pStyle w:val="Compact"/>
              <w:jc w:val="left"/>
            </w:pPr>
            <w:r>
              <w:t xml:space="preserve">SSH</w:t>
            </w:r>
          </w:p>
        </w:tc>
        <w:tc>
          <w:tcPr/>
          <w:p>
            <w:pPr>
              <w:pStyle w:val="Compact"/>
              <w:jc w:val="left"/>
            </w:pPr>
            <w:r>
              <w:t xml:space="preserve">Systems administration / SecOps</w:t>
            </w:r>
          </w:p>
        </w:tc>
        <w:tc>
          <w:tcPr/>
          <w:p>
            <w:pPr>
              <w:pStyle w:val="Compact"/>
              <w:jc w:val="left"/>
            </w:pPr>
            <w:r>
              <w:t xml:space="preserve">PKI (if SSH certificates), bastion vendors</w:t>
            </w:r>
          </w:p>
        </w:tc>
      </w:tr>
      <w:tr>
        <w:tc>
          <w:tcPr/>
          <w:p>
            <w:pPr>
              <w:pStyle w:val="Compact"/>
              <w:jc w:val="left"/>
            </w:pPr>
            <w:r>
              <w:t xml:space="preserve">Messaging (Kafka, AMQP)</w:t>
            </w:r>
          </w:p>
        </w:tc>
        <w:tc>
          <w:tcPr/>
          <w:p>
            <w:pPr>
              <w:pStyle w:val="Compact"/>
              <w:jc w:val="left"/>
            </w:pPr>
            <w:r>
              <w:t xml:space="preserve">Data platform / integration</w:t>
            </w:r>
          </w:p>
        </w:tc>
        <w:tc>
          <w:tcPr/>
          <w:p>
            <w:pPr>
              <w:pStyle w:val="Compact"/>
              <w:jc w:val="left"/>
            </w:pPr>
            <w:r>
              <w:t xml:space="preserve">Security architecture, PKI</w:t>
            </w:r>
          </w:p>
        </w:tc>
      </w:tr>
      <w:tr>
        <w:tc>
          <w:tcPr/>
          <w:p>
            <w:pPr>
              <w:pStyle w:val="Compact"/>
              <w:jc w:val="left"/>
            </w:pPr>
            <w:r>
              <w:t xml:space="preserve">mTLS (API)</w:t>
            </w:r>
          </w:p>
        </w:tc>
        <w:tc>
          <w:tcPr/>
          <w:p>
            <w:pPr>
              <w:pStyle w:val="Compact"/>
              <w:jc w:val="left"/>
            </w:pPr>
            <w:r>
              <w:t xml:space="preserve">Integration / API platform</w:t>
            </w:r>
          </w:p>
        </w:tc>
        <w:tc>
          <w:tcPr/>
          <w:p>
            <w:pPr>
              <w:pStyle w:val="Compact"/>
              <w:jc w:val="left"/>
            </w:pPr>
            <w:r>
              <w:t xml:space="preserve">Partner programme, PKI</w:t>
            </w:r>
          </w:p>
        </w:tc>
      </w:tr>
      <w:tr>
        <w:tc>
          <w:tcPr/>
          <w:p>
            <w:pPr>
              <w:pStyle w:val="Compact"/>
              <w:jc w:val="left"/>
            </w:pPr>
            <w:r>
              <w:t xml:space="preserve">S/MIME</w:t>
            </w:r>
          </w:p>
        </w:tc>
        <w:tc>
          <w:tcPr/>
          <w:p>
            <w:pPr>
              <w:pStyle w:val="Compact"/>
              <w:jc w:val="left"/>
            </w:pPr>
            <w:r>
              <w:t xml:space="preserve">Collaboration / messaging</w:t>
            </w:r>
          </w:p>
        </w:tc>
        <w:tc>
          <w:tcPr/>
          <w:p>
            <w:pPr>
              <w:pStyle w:val="Compact"/>
              <w:jc w:val="left"/>
            </w:pPr>
            <w:r>
              <w:t xml:space="preserve">PKI, legal (archival)</w:t>
            </w:r>
          </w:p>
        </w:tc>
      </w:tr>
    </w:tbl>
    <w:p>
      <w:r>
        <w:pict>
          <v:rect style="width:0;height:1.5pt" o:hralign="center" o:hrstd="t" o:hr="t"/>
        </w:pict>
      </w:r>
    </w:p>
    <w:bookmarkEnd w:id="25"/>
    <w:bookmarkEnd w:id="26"/>
    <w:bookmarkStart w:id="32" w:name="tls-1.3-migration"/>
    <w:p>
      <w:pPr>
        <w:pStyle w:val="Heading2"/>
      </w:pPr>
      <w:r>
        <w:t xml:space="preserve">12.3 TLS 1.3 Migration</w:t>
      </w:r>
    </w:p>
    <w:p>
      <w:pPr>
        <w:pStyle w:val="FirstParagraph"/>
      </w:pPr>
      <w:r>
        <w:t xml:space="preserve">TLS 1.3 is the</w:t>
      </w:r>
      <w:r>
        <w:t xml:space="preserve"> </w:t>
      </w:r>
      <w:r>
        <w:rPr>
          <w:bCs/>
          <w:b/>
        </w:rPr>
        <w:t xml:space="preserve">reference protocol</w:t>
      </w:r>
      <w:r>
        <w:t xml:space="preserve"> </w:t>
      </w:r>
      <w:r>
        <w:t xml:space="preserve">for enterprise PQC transition — the most mature standards track, the broadest library support, and the highest volume of external exposure. Chapter 11 developed hybrid TLS patterns in depth; this section focuses on</w:t>
      </w:r>
      <w:r>
        <w:t xml:space="preserve"> </w:t>
      </w:r>
      <w:r>
        <w:rPr>
          <w:bCs/>
          <w:b/>
        </w:rPr>
        <w:t xml:space="preserve">protocol transition mechanics</w:t>
      </w:r>
      <w:r>
        <w:t xml:space="preserve"> </w:t>
      </w:r>
      <w:r>
        <w:t xml:space="preserve">that engineering teams execute after pattern selection.</w:t>
      </w:r>
    </w:p>
    <w:bookmarkStart w:id="27" w:name="tls-1.3-as-the-mandatory-baseline"/>
    <w:p>
      <w:pPr>
        <w:pStyle w:val="Heading3"/>
      </w:pPr>
      <w:r>
        <w:t xml:space="preserve">TLS 1.3 as the mandatory baseline</w:t>
      </w:r>
    </w:p>
    <w:p>
      <w:pPr>
        <w:pStyle w:val="FirstParagraph"/>
      </w:pPr>
      <w:r>
        <w:t xml:space="preserve">Enterprise policy should treat</w:t>
      </w:r>
      <w:r>
        <w:t xml:space="preserve"> </w:t>
      </w:r>
      <w:r>
        <w:rPr>
          <w:bCs/>
          <w:b/>
        </w:rPr>
        <w:t xml:space="preserve">TLS 1.3 as the minimum protocol version</w:t>
      </w:r>
      <w:r>
        <w:t xml:space="preserve"> </w:t>
      </w:r>
      <w:r>
        <w:t xml:space="preserve">for all new external and internal HTTPS endpoints before PQC group enablement. TLS 1.2 endpoints complicate hybrid deployment:</w:t>
      </w:r>
    </w:p>
    <w:p>
      <w:pPr>
        <w:numPr>
          <w:ilvl w:val="0"/>
          <w:numId w:val="1002"/>
        </w:numPr>
        <w:pStyle w:val="Compact"/>
      </w:pPr>
      <w:r>
        <w:t xml:space="preserve">TLS 1.2 lacks the 1.3 key schedule that hybrid specifications assume for combined shared secrets</w:t>
      </w:r>
    </w:p>
    <w:p>
      <w:pPr>
        <w:numPr>
          <w:ilvl w:val="0"/>
          <w:numId w:val="1002"/>
        </w:numPr>
        <w:pStyle w:val="Compact"/>
      </w:pPr>
      <w:r>
        <w:t xml:space="preserve">Legacy cipher suite negotiation reintroduces weak classical options</w:t>
      </w:r>
    </w:p>
    <w:p>
      <w:pPr>
        <w:numPr>
          <w:ilvl w:val="0"/>
          <w:numId w:val="1002"/>
        </w:numPr>
        <w:pStyle w:val="Compact"/>
      </w:pPr>
      <w:r>
        <w:t xml:space="preserve">Middlebox ecosystems differ materially between 1.2 and 1.3 inspection paths</w:t>
      </w:r>
    </w:p>
    <w:tbl>
      <w:tblPr>
        <w:tblStyle w:val="Table"/>
        <w:tblW w:type="pct" w:w="5000"/>
        <w:tblLook w:firstRow="1" w:lastRow="0" w:firstColumn="0" w:lastColumn="0" w:noHBand="0" w:noVBand="0" w:val="0020"/>
        <w:jc w:val="start"/>
      </w:tblPr>
      <w:tblGrid>
        <w:gridCol w:w="2011"/>
        <w:gridCol w:w="1131"/>
        <w:gridCol w:w="2388"/>
        <w:gridCol w:w="2388"/>
      </w:tblGrid>
      <w:tr>
        <w:trPr>
          <w:tblHeader w:val="true"/>
        </w:trPr>
        <w:tc>
          <w:tcPr/>
          <w:p>
            <w:pPr>
              <w:pStyle w:val="Compact"/>
              <w:jc w:val="left"/>
            </w:pPr>
            <w:r>
              <w:t xml:space="preserve">Policy posture</w:t>
            </w:r>
          </w:p>
        </w:tc>
        <w:tc>
          <w:tcPr/>
          <w:p>
            <w:pPr>
              <w:pStyle w:val="Compact"/>
              <w:jc w:val="left"/>
            </w:pPr>
            <w:r>
              <w:t xml:space="preserve">TLS 1.2</w:t>
            </w:r>
          </w:p>
        </w:tc>
        <w:tc>
          <w:tcPr/>
          <w:p>
            <w:pPr>
              <w:pStyle w:val="Compact"/>
              <w:jc w:val="left"/>
            </w:pPr>
            <w:r>
              <w:t xml:space="preserve">TLS 1.3 classical</w:t>
            </w:r>
          </w:p>
        </w:tc>
        <w:tc>
          <w:tcPr/>
          <w:p>
            <w:pPr>
              <w:pStyle w:val="Compact"/>
              <w:jc w:val="left"/>
            </w:pPr>
            <w:r>
              <w:t xml:space="preserve">TLS 1.3 hybrid H1</w:t>
            </w:r>
          </w:p>
        </w:tc>
      </w:tr>
      <w:tr>
        <w:tc>
          <w:tcPr/>
          <w:p>
            <w:pPr>
              <w:pStyle w:val="Compact"/>
              <w:jc w:val="left"/>
            </w:pPr>
            <w:r>
              <w:t xml:space="preserve">New external endpoints</w:t>
            </w:r>
          </w:p>
        </w:tc>
        <w:tc>
          <w:tcPr/>
          <w:p>
            <w:pPr>
              <w:pStyle w:val="Compact"/>
              <w:jc w:val="left"/>
            </w:pPr>
            <w:r>
              <w:t xml:space="preserve">Prohibited</w:t>
            </w:r>
          </w:p>
        </w:tc>
        <w:tc>
          <w:tcPr/>
          <w:p>
            <w:pPr>
              <w:pStyle w:val="Compact"/>
              <w:jc w:val="left"/>
            </w:pPr>
            <w:r>
              <w:t xml:space="preserve">Permitted interim only</w:t>
            </w:r>
          </w:p>
        </w:tc>
        <w:tc>
          <w:tcPr/>
          <w:p>
            <w:pPr>
              <w:pStyle w:val="Compact"/>
              <w:jc w:val="left"/>
            </w:pPr>
            <w:r>
              <w:t xml:space="preserve">Target for H1</w:t>
            </w:r>
          </w:p>
        </w:tc>
      </w:tr>
      <w:tr>
        <w:tc>
          <w:tcPr/>
          <w:p>
            <w:pPr>
              <w:pStyle w:val="Compact"/>
              <w:jc w:val="left"/>
            </w:pPr>
            <w:r>
              <w:t xml:space="preserve">Legacy partner APIs</w:t>
            </w:r>
          </w:p>
        </w:tc>
        <w:tc>
          <w:tcPr/>
          <w:p>
            <w:pPr>
              <w:pStyle w:val="Compact"/>
              <w:jc w:val="left"/>
            </w:pPr>
            <w:r>
              <w:t xml:space="preserve">Exception with sunset</w:t>
            </w:r>
          </w:p>
        </w:tc>
        <w:tc>
          <w:tcPr/>
          <w:p>
            <w:pPr>
              <w:pStyle w:val="Compact"/>
              <w:jc w:val="left"/>
            </w:pPr>
            <w:r>
              <w:t xml:space="preserve">Transitional</w:t>
            </w:r>
          </w:p>
        </w:tc>
        <w:tc>
          <w:tcPr/>
          <w:p>
            <w:pPr>
              <w:pStyle w:val="Compact"/>
              <w:jc w:val="left"/>
            </w:pPr>
            <w:r>
              <w:t xml:space="preserve">Preferred</w:t>
            </w:r>
          </w:p>
        </w:tc>
      </w:tr>
      <w:tr>
        <w:tc>
          <w:tcPr/>
          <w:p>
            <w:pPr>
              <w:pStyle w:val="Compact"/>
              <w:jc w:val="left"/>
            </w:pPr>
            <w:r>
              <w:t xml:space="preserve">Internal mesh</w:t>
            </w:r>
          </w:p>
        </w:tc>
        <w:tc>
          <w:tcPr/>
          <w:p>
            <w:pPr>
              <w:pStyle w:val="Compact"/>
              <w:jc w:val="left"/>
            </w:pPr>
            <w:r>
              <w:t xml:space="preserve">Phase out per wave</w:t>
            </w:r>
          </w:p>
        </w:tc>
        <w:tc>
          <w:tcPr/>
          <w:p>
            <w:pPr>
              <w:pStyle w:val="Compact"/>
              <w:jc w:val="left"/>
            </w:pPr>
            <w:r>
              <w:t xml:space="preserve">Transitional</w:t>
            </w:r>
          </w:p>
        </w:tc>
        <w:tc>
          <w:tcPr/>
          <w:p>
            <w:pPr>
              <w:pStyle w:val="Compact"/>
              <w:jc w:val="left"/>
            </w:pPr>
            <w:r>
              <w:t xml:space="preserve">H1 default</w:t>
            </w:r>
          </w:p>
        </w:tc>
      </w:tr>
      <w:tr>
        <w:tc>
          <w:tcPr/>
          <w:p>
            <w:pPr>
              <w:pStyle w:val="Compact"/>
              <w:jc w:val="left"/>
            </w:pPr>
            <w:r>
              <w:t xml:space="preserve">OT HTTPS (where used)</w:t>
            </w:r>
          </w:p>
        </w:tc>
        <w:tc>
          <w:tcPr/>
          <w:p>
            <w:pPr>
              <w:pStyle w:val="Compact"/>
              <w:jc w:val="left"/>
            </w:pPr>
            <w:r>
              <w:t xml:space="preserve">Vendor-dependent</w:t>
            </w:r>
          </w:p>
        </w:tc>
        <w:tc>
          <w:tcPr/>
          <w:p>
            <w:pPr>
              <w:pStyle w:val="Compact"/>
              <w:jc w:val="left"/>
            </w:pPr>
            <w:r>
              <w:t xml:space="preserve">Assess per device</w:t>
            </w:r>
          </w:p>
        </w:tc>
        <w:tc>
          <w:tcPr/>
          <w:p>
            <w:pPr>
              <w:pStyle w:val="Compact"/>
              <w:jc w:val="left"/>
            </w:pPr>
            <w:r>
              <w:t xml:space="preserve">Often blocked — parallel track</w:t>
            </w:r>
          </w:p>
        </w:tc>
      </w:tr>
    </w:tbl>
    <w:p>
      <w:pPr>
        <w:pStyle w:val="BodyText"/>
      </w:pPr>
      <w:r>
        <w:t xml:space="preserve">Meridian completed TLS 1.2 retirement on customer-facing APIs</w:t>
      </w:r>
      <w:r>
        <w:t xml:space="preserve"> </w:t>
      </w:r>
      <w:r>
        <w:rPr>
          <w:bCs/>
          <w:b/>
        </w:rPr>
        <w:t xml:space="preserve">before</w:t>
      </w:r>
      <w:r>
        <w:t xml:space="preserve"> </w:t>
      </w:r>
      <w:r>
        <w:t xml:space="preserve">hybrid group enablement — reducing variables during Meridian’s compatibility measurement phase (Chapter 11 §11.12).</w:t>
      </w:r>
    </w:p>
    <w:bookmarkEnd w:id="27"/>
    <w:bookmarkStart w:id="28" w:name="named-group-policy"/>
    <w:p>
      <w:pPr>
        <w:pStyle w:val="Heading3"/>
      </w:pPr>
      <w:r>
        <w:t xml:space="preserve">Named group policy</w:t>
      </w:r>
    </w:p>
    <w:p>
      <w:pPr>
        <w:pStyle w:val="FirstParagraph"/>
      </w:pPr>
      <w:r>
        <w:t xml:space="preserve">TLS transition requires</w:t>
      </w:r>
      <w:r>
        <w:t xml:space="preserve"> </w:t>
      </w:r>
      <w:r>
        <w:rPr>
          <w:bCs/>
          <w:b/>
        </w:rPr>
        <w:t xml:space="preserve">explicit named group allow-lists</w:t>
      </w:r>
      <w:r>
        <w:t xml:space="preserve">, not generic</w:t>
      </w:r>
      <w:r>
        <w:t xml:space="preserve"> </w:t>
      </w:r>
      <w:r>
        <w:t xml:space="preserve">“</w:t>
      </w:r>
      <w:r>
        <w:t xml:space="preserve">PQC enabled</w:t>
      </w:r>
      <w:r>
        <w:t xml:space="preserve">”</w:t>
      </w:r>
      <w:r>
        <w:t xml:space="preserve"> </w:t>
      </w:r>
      <w:r>
        <w:t xml:space="preserve">flags:</w:t>
      </w:r>
    </w:p>
    <w:tbl>
      <w:tblPr>
        <w:tblStyle w:val="Table"/>
        <w:tblW w:type="pct" w:w="5000"/>
        <w:tblLook w:firstRow="1" w:lastRow="0" w:firstColumn="0" w:lastColumn="0" w:noHBand="0" w:noVBand="0" w:val="0020"/>
        <w:jc w:val="start"/>
      </w:tblPr>
      <w:tblGrid>
        <w:gridCol w:w="1281"/>
        <w:gridCol w:w="5241"/>
        <w:gridCol w:w="1397"/>
      </w:tblGrid>
      <w:tr>
        <w:trPr>
          <w:tblHeader w:val="true"/>
        </w:trPr>
        <w:tc>
          <w:tcPr/>
          <w:p>
            <w:pPr>
              <w:pStyle w:val="Compact"/>
              <w:jc w:val="left"/>
            </w:pPr>
            <w:r>
              <w:t xml:space="preserve">HLM phase</w:t>
            </w:r>
          </w:p>
        </w:tc>
        <w:tc>
          <w:tcPr/>
          <w:p>
            <w:pPr>
              <w:pStyle w:val="Compact"/>
              <w:jc w:val="left"/>
            </w:pPr>
            <w:r>
              <w:t xml:space="preserve">Approved key exchange groups (illustrative)</w:t>
            </w:r>
          </w:p>
        </w:tc>
        <w:tc>
          <w:tcPr/>
          <w:p>
            <w:pPr>
              <w:pStyle w:val="Compact"/>
              <w:jc w:val="left"/>
            </w:pPr>
            <w:r>
              <w:t xml:space="preserve">Prohibited</w:t>
            </w:r>
          </w:p>
        </w:tc>
      </w:tr>
      <w:tr>
        <w:tc>
          <w:tcPr/>
          <w:p>
            <w:pPr>
              <w:pStyle w:val="Compact"/>
              <w:jc w:val="left"/>
            </w:pPr>
            <w:r>
              <w:t xml:space="preserve">H1</w:t>
            </w:r>
          </w:p>
        </w:tc>
        <w:tc>
          <w:tcPr/>
          <w:p>
            <w:pPr>
              <w:pStyle w:val="Compact"/>
              <w:jc w:val="left"/>
            </w:pPr>
            <w:r>
              <w:rPr>
                <w:rStyle w:val="VerbatimChar"/>
              </w:rPr>
              <w:t xml:space="preserve">X25519MLKEM768</w:t>
            </w:r>
            <w:r>
              <w:t xml:space="preserve"> </w:t>
            </w:r>
            <w:r>
              <w:t xml:space="preserve">(hybrid);</w:t>
            </w:r>
            <w:r>
              <w:t xml:space="preserve"> </w:t>
            </w:r>
            <w:r>
              <w:rPr>
                <w:rStyle w:val="VerbatimChar"/>
              </w:rPr>
              <w:t xml:space="preserve">X25519</w:t>
            </w:r>
            <w:r>
              <w:t xml:space="preserve"> </w:t>
            </w:r>
            <w:r>
              <w:t xml:space="preserve">(exception tier only)</w:t>
            </w:r>
          </w:p>
        </w:tc>
        <w:tc>
          <w:tcPr/>
          <w:p>
            <w:pPr>
              <w:pStyle w:val="Compact"/>
              <w:jc w:val="left"/>
            </w:pPr>
            <w:r>
              <w:t xml:space="preserve">Ad hoc custom hybrids; export-grade DH</w:t>
            </w:r>
          </w:p>
        </w:tc>
      </w:tr>
      <w:tr>
        <w:tc>
          <w:tcPr/>
          <w:p>
            <w:pPr>
              <w:pStyle w:val="Compact"/>
              <w:jc w:val="left"/>
            </w:pPr>
            <w:r>
              <w:t xml:space="preserve">H2</w:t>
            </w:r>
          </w:p>
        </w:tc>
        <w:tc>
          <w:tcPr/>
          <w:p>
            <w:pPr>
              <w:pStyle w:val="Compact"/>
              <w:jc w:val="left"/>
            </w:pPr>
            <w:r>
              <w:rPr>
                <w:rStyle w:val="VerbatimChar"/>
              </w:rPr>
              <w:t xml:space="preserve">X25519MLKEM768</w:t>
            </w:r>
            <w:r>
              <w:t xml:space="preserve"> </w:t>
            </w:r>
            <w:r>
              <w:t xml:space="preserve">preferred;</w:t>
            </w:r>
            <w:r>
              <w:t xml:space="preserve"> </w:t>
            </w:r>
            <w:r>
              <w:rPr>
                <w:rStyle w:val="VerbatimChar"/>
              </w:rPr>
              <w:t xml:space="preserve">X25519</w:t>
            </w:r>
            <w:r>
              <w:t xml:space="preserve"> </w:t>
            </w:r>
            <w:r>
              <w:t xml:space="preserve">exception path only</w:t>
            </w:r>
          </w:p>
        </w:tc>
        <w:tc>
          <w:tcPr/>
          <w:p>
            <w:pPr>
              <w:pStyle w:val="Compact"/>
              <w:jc w:val="left"/>
            </w:pPr>
            <w:r>
              <w:t xml:space="preserve">New classical-only endpoints</w:t>
            </w:r>
          </w:p>
        </w:tc>
      </w:tr>
      <w:tr>
        <w:tc>
          <w:tcPr/>
          <w:p>
            <w:pPr>
              <w:pStyle w:val="Compact"/>
              <w:jc w:val="left"/>
            </w:pPr>
            <w:r>
              <w:t xml:space="preserve">H3</w:t>
            </w:r>
          </w:p>
        </w:tc>
        <w:tc>
          <w:tcPr/>
          <w:p>
            <w:pPr>
              <w:pStyle w:val="Compact"/>
              <w:jc w:val="left"/>
            </w:pPr>
            <w:r>
              <w:rPr>
                <w:rStyle w:val="VerbatimChar"/>
              </w:rPr>
              <w:t xml:space="preserve">MLKEM768</w:t>
            </w:r>
            <w:r>
              <w:t xml:space="preserve"> </w:t>
            </w:r>
            <w:r>
              <w:t xml:space="preserve">or enterprise-selected PQC group</w:t>
            </w:r>
          </w:p>
        </w:tc>
        <w:tc>
          <w:tcPr/>
          <w:p>
            <w:pPr>
              <w:pStyle w:val="Compact"/>
              <w:jc w:val="left"/>
            </w:pPr>
            <w:r>
              <w:t xml:space="preserve">All quantum-vulnerable PKC</w:t>
            </w:r>
          </w:p>
        </w:tc>
      </w:tr>
    </w:tbl>
    <w:p>
      <w:pPr>
        <w:pStyle w:val="BodyText"/>
      </w:pPr>
      <w:r>
        <w:t xml:space="preserve">Group identifiers follow IETF standards-track naming — assign a</w:t>
      </w:r>
      <w:r>
        <w:t xml:space="preserve"> </w:t>
      </w:r>
      <w:r>
        <w:rPr>
          <w:bCs/>
          <w:b/>
        </w:rPr>
        <w:t xml:space="preserve">standards watch owner</w:t>
      </w:r>
      <w:r>
        <w:t xml:space="preserve"> </w:t>
      </w:r>
      <w:r>
        <w:t xml:space="preserve">to track final RFC publication before audit evidence hardens (Chapter 22 preview).</w:t>
      </w:r>
    </w:p>
    <w:bookmarkEnd w:id="28"/>
    <w:bookmarkStart w:id="29" w:name="certificate-chain-interaction"/>
    <w:p>
      <w:pPr>
        <w:pStyle w:val="Heading3"/>
      </w:pPr>
      <w:r>
        <w:t xml:space="preserve">Certificate chain interaction</w:t>
      </w:r>
    </w:p>
    <w:p>
      <w:pPr>
        <w:pStyle w:val="FirstParagraph"/>
      </w:pPr>
      <w:r>
        <w:t xml:space="preserve">Hybrid key exchange does not resolve certificate signature migration. TLS protocol transition</w:t>
      </w:r>
      <w:r>
        <w:t xml:space="preserve"> </w:t>
      </w:r>
      <w:r>
        <w:rPr>
          <w:bCs/>
          <w:b/>
        </w:rPr>
        <w:t xml:space="preserve">depends on PKI transition</w:t>
      </w:r>
      <w:r>
        <w:t xml:space="preserve"> </w:t>
      </w:r>
      <w:r>
        <w:t xml:space="preserve">(Chapter 13):</w:t>
      </w:r>
    </w:p>
    <w:tbl>
      <w:tblPr>
        <w:tblStyle w:val="Table"/>
        <w:tblW w:type="pct" w:w="5000"/>
        <w:tblLook w:firstRow="1" w:lastRow="0" w:firstColumn="0" w:lastColumn="0" w:noHBand="0" w:noVBand="0" w:val="0020"/>
        <w:jc w:val="start"/>
      </w:tblPr>
      <w:tblGrid>
        <w:gridCol w:w="1936"/>
        <w:gridCol w:w="3344"/>
        <w:gridCol w:w="2640"/>
      </w:tblGrid>
      <w:tr>
        <w:trPr>
          <w:tblHeader w:val="true"/>
        </w:trPr>
        <w:tc>
          <w:tcPr/>
          <w:p>
            <w:pPr>
              <w:pStyle w:val="Compact"/>
              <w:jc w:val="left"/>
            </w:pPr>
            <w:r>
              <w:t xml:space="preserve">Component</w:t>
            </w:r>
          </w:p>
        </w:tc>
        <w:tc>
          <w:tcPr/>
          <w:p>
            <w:pPr>
              <w:pStyle w:val="Compact"/>
              <w:jc w:val="left"/>
            </w:pPr>
            <w:r>
              <w:t xml:space="preserve">H1 typical posture</w:t>
            </w:r>
          </w:p>
        </w:tc>
        <w:tc>
          <w:tcPr/>
          <w:p>
            <w:pPr>
              <w:pStyle w:val="Compact"/>
              <w:jc w:val="left"/>
            </w:pPr>
            <w:r>
              <w:t xml:space="preserve">Blocking risk</w:t>
            </w:r>
          </w:p>
        </w:tc>
      </w:tr>
      <w:tr>
        <w:tc>
          <w:tcPr/>
          <w:p>
            <w:pPr>
              <w:pStyle w:val="Compact"/>
              <w:jc w:val="left"/>
            </w:pPr>
            <w:r>
              <w:t xml:space="preserve">Key exchange</w:t>
            </w:r>
          </w:p>
        </w:tc>
        <w:tc>
          <w:tcPr/>
          <w:p>
            <w:pPr>
              <w:pStyle w:val="Compact"/>
              <w:jc w:val="left"/>
            </w:pPr>
            <w:r>
              <w:t xml:space="preserve">Hybrid (X25519 + ML-KEM-768)</w:t>
            </w:r>
          </w:p>
        </w:tc>
        <w:tc>
          <w:tcPr/>
          <w:p>
            <w:pPr>
              <w:pStyle w:val="Compact"/>
              <w:jc w:val="left"/>
            </w:pPr>
            <w:r>
              <w:t xml:space="preserve">Library / middlebox</w:t>
            </w:r>
          </w:p>
        </w:tc>
      </w:tr>
      <w:tr>
        <w:tc>
          <w:tcPr/>
          <w:p>
            <w:pPr>
              <w:pStyle w:val="Compact"/>
              <w:jc w:val="left"/>
            </w:pPr>
            <w:r>
              <w:t xml:space="preserve">Server certificate signature</w:t>
            </w:r>
          </w:p>
        </w:tc>
        <w:tc>
          <w:tcPr/>
          <w:p>
            <w:pPr>
              <w:pStyle w:val="Compact"/>
              <w:jc w:val="left"/>
            </w:pPr>
            <w:r>
              <w:t xml:space="preserve">ECDSA-P256 or ML-DSA-65 per CA readiness</w:t>
            </w:r>
          </w:p>
        </w:tc>
        <w:tc>
          <w:tcPr/>
          <w:p>
            <w:pPr>
              <w:pStyle w:val="Compact"/>
              <w:jc w:val="left"/>
            </w:pPr>
            <w:r>
              <w:t xml:space="preserve">Issuing CA profile</w:t>
            </w:r>
          </w:p>
        </w:tc>
      </w:tr>
      <w:tr>
        <w:tc>
          <w:tcPr/>
          <w:p>
            <w:pPr>
              <w:pStyle w:val="Compact"/>
              <w:jc w:val="left"/>
            </w:pPr>
            <w:r>
              <w:t xml:space="preserve">Intermediate CA</w:t>
            </w:r>
          </w:p>
        </w:tc>
        <w:tc>
          <w:tcPr/>
          <w:p>
            <w:pPr>
              <w:pStyle w:val="Compact"/>
              <w:jc w:val="left"/>
            </w:pPr>
            <w:r>
              <w:t xml:space="preserve">Classical or hybrid chain</w:t>
            </w:r>
          </w:p>
        </w:tc>
        <w:tc>
          <w:tcPr/>
          <w:p>
            <w:pPr>
              <w:pStyle w:val="Compact"/>
              <w:jc w:val="left"/>
            </w:pPr>
            <w:r>
              <w:t xml:space="preserve">Root migration schedule</w:t>
            </w:r>
          </w:p>
        </w:tc>
      </w:tr>
      <w:tr>
        <w:tc>
          <w:tcPr/>
          <w:p>
            <w:pPr>
              <w:pStyle w:val="Compact"/>
              <w:jc w:val="left"/>
            </w:pPr>
            <w:r>
              <w:t xml:space="preserve">Client certificate (mTLS)</w:t>
            </w:r>
          </w:p>
        </w:tc>
        <w:tc>
          <w:tcPr/>
          <w:p>
            <w:pPr>
              <w:pStyle w:val="Compact"/>
              <w:jc w:val="left"/>
            </w:pPr>
            <w:r>
              <w:t xml:space="preserve">Classical or ML-DSA per partner policy</w:t>
            </w:r>
          </w:p>
        </w:tc>
        <w:tc>
          <w:tcPr/>
          <w:p>
            <w:pPr>
              <w:pStyle w:val="Compact"/>
              <w:jc w:val="left"/>
            </w:pPr>
            <w:r>
              <w:t xml:space="preserve">Partner trust store</w:t>
            </w:r>
          </w:p>
        </w:tc>
      </w:tr>
    </w:tbl>
    <w:p>
      <w:pPr>
        <w:pStyle w:val="BodyText"/>
      </w:pPr>
      <w:r>
        <w:t xml:space="preserve">The CDG must model these as</w:t>
      </w:r>
      <w:r>
        <w:t xml:space="preserve"> </w:t>
      </w:r>
      <w:r>
        <w:rPr>
          <w:bCs/>
          <w:b/>
        </w:rPr>
        <w:t xml:space="preserve">separate nodes</w:t>
      </w:r>
      <w:r>
        <w:t xml:space="preserve"> </w:t>
      </w:r>
      <w:r>
        <w:t xml:space="preserve">— a hybrid-ready load balancer with classical-only server certificates is H1 on key exchange only, not full channel transition.</w:t>
      </w:r>
    </w:p>
    <w:bookmarkEnd w:id="29"/>
    <w:bookmarkStart w:id="30" w:name="tls-termination-architectures"/>
    <w:p>
      <w:pPr>
        <w:pStyle w:val="Heading3"/>
      </w:pPr>
      <w:r>
        <w:t xml:space="preserve">TLS termination architectures</w:t>
      </w:r>
    </w:p>
    <w:tbl>
      <w:tblPr>
        <w:tblStyle w:val="Table"/>
        <w:tblW w:type="pct" w:w="5000"/>
        <w:tblLook w:firstRow="1" w:lastRow="0" w:firstColumn="0" w:lastColumn="0" w:noHBand="0" w:noVBand="0" w:val="0020"/>
        <w:jc w:val="start"/>
      </w:tblPr>
      <w:tblGrid>
        <w:gridCol w:w="1945"/>
        <w:gridCol w:w="3751"/>
        <w:gridCol w:w="2223"/>
      </w:tblGrid>
      <w:tr>
        <w:trPr>
          <w:tblHeader w:val="true"/>
        </w:trPr>
        <w:tc>
          <w:tcPr/>
          <w:p>
            <w:pPr>
              <w:pStyle w:val="Compact"/>
              <w:jc w:val="left"/>
            </w:pPr>
            <w:r>
              <w:t xml:space="preserve">Architecture</w:t>
            </w:r>
          </w:p>
        </w:tc>
        <w:tc>
          <w:tcPr/>
          <w:p>
            <w:pPr>
              <w:pStyle w:val="Compact"/>
              <w:jc w:val="left"/>
            </w:pPr>
            <w:r>
              <w:t xml:space="preserve">Transition consideration</w:t>
            </w:r>
          </w:p>
        </w:tc>
        <w:tc>
          <w:tcPr/>
          <w:p>
            <w:pPr>
              <w:pStyle w:val="Compact"/>
              <w:jc w:val="left"/>
            </w:pPr>
            <w:r>
              <w:t xml:space="preserve">Common pitfall</w:t>
            </w:r>
          </w:p>
        </w:tc>
      </w:tr>
      <w:tr>
        <w:tc>
          <w:tcPr/>
          <w:p>
            <w:pPr>
              <w:pStyle w:val="Compact"/>
              <w:jc w:val="left"/>
            </w:pPr>
            <w:r>
              <w:rPr>
                <w:bCs/>
                <w:b/>
              </w:rPr>
              <w:t xml:space="preserve">Edge termination</w:t>
            </w:r>
            <w:r>
              <w:t xml:space="preserve"> </w:t>
            </w:r>
            <w:r>
              <w:t xml:space="preserve">(CDN, WAF)</w:t>
            </w:r>
          </w:p>
        </w:tc>
        <w:tc>
          <w:tcPr/>
          <w:p>
            <w:pPr>
              <w:pStyle w:val="Compact"/>
              <w:jc w:val="left"/>
            </w:pPr>
            <w:r>
              <w:t xml:space="preserve">CDN vendor hybrid support gates production</w:t>
            </w:r>
          </w:p>
        </w:tc>
        <w:tc>
          <w:tcPr/>
          <w:p>
            <w:pPr>
              <w:pStyle w:val="Compact"/>
              <w:jc w:val="left"/>
            </w:pPr>
            <w:r>
              <w:t xml:space="preserve">Origin ready; edge not</w:t>
            </w:r>
          </w:p>
        </w:tc>
      </w:tr>
      <w:tr>
        <w:tc>
          <w:tcPr/>
          <w:p>
            <w:pPr>
              <w:pStyle w:val="Compact"/>
              <w:jc w:val="left"/>
            </w:pPr>
            <w:r>
              <w:rPr>
                <w:bCs/>
                <w:b/>
              </w:rPr>
              <w:t xml:space="preserve">Load balancer termination</w:t>
            </w:r>
          </w:p>
        </w:tc>
        <w:tc>
          <w:tcPr/>
          <w:p>
            <w:pPr>
              <w:pStyle w:val="Compact"/>
              <w:jc w:val="left"/>
            </w:pPr>
            <w:r>
              <w:t xml:space="preserve">Hardware buffer limits; session ticket compatibility</w:t>
            </w:r>
          </w:p>
        </w:tc>
        <w:tc>
          <w:tcPr/>
          <w:p>
            <w:pPr>
              <w:pStyle w:val="Compact"/>
              <w:jc w:val="left"/>
            </w:pPr>
            <w:r>
              <w:t xml:space="preserve">Inspection buffer overflow</w:t>
            </w:r>
          </w:p>
        </w:tc>
      </w:tr>
      <w:tr>
        <w:tc>
          <w:tcPr/>
          <w:p>
            <w:pPr>
              <w:pStyle w:val="Compact"/>
              <w:jc w:val="left"/>
            </w:pPr>
            <w:r>
              <w:rPr>
                <w:bCs/>
                <w:b/>
              </w:rPr>
              <w:t xml:space="preserve">Service mesh ingress</w:t>
            </w:r>
          </w:p>
        </w:tc>
        <w:tc>
          <w:tcPr/>
          <w:p>
            <w:pPr>
              <w:pStyle w:val="Compact"/>
              <w:jc w:val="left"/>
            </w:pPr>
            <w:r>
              <w:t xml:space="preserve">Mesh CA and gateway API versions</w:t>
            </w:r>
          </w:p>
        </w:tc>
        <w:tc>
          <w:tcPr/>
          <w:p>
            <w:pPr>
              <w:pStyle w:val="Compact"/>
              <w:jc w:val="left"/>
            </w:pPr>
            <w:r>
              <w:t xml:space="preserve">North-south hybrid; east-west classical</w:t>
            </w:r>
          </w:p>
        </w:tc>
      </w:tr>
      <w:tr>
        <w:tc>
          <w:tcPr/>
          <w:p>
            <w:pPr>
              <w:pStyle w:val="Compact"/>
              <w:jc w:val="left"/>
            </w:pPr>
            <w:r>
              <w:rPr>
                <w:bCs/>
                <w:b/>
              </w:rPr>
              <w:t xml:space="preserve">Pass-through</w:t>
            </w:r>
          </w:p>
        </w:tc>
        <w:tc>
          <w:tcPr/>
          <w:p>
            <w:pPr>
              <w:pStyle w:val="Compact"/>
              <w:jc w:val="left"/>
            </w:pPr>
            <w:r>
              <w:t xml:space="preserve">End-service library version is bottleneck</w:t>
            </w:r>
          </w:p>
        </w:tc>
        <w:tc>
          <w:tcPr/>
          <w:p>
            <w:pPr>
              <w:pStyle w:val="Compact"/>
              <w:jc w:val="left"/>
            </w:pPr>
            <w:r>
              <w:t xml:space="preserve">False confidence from edge scan</w:t>
            </w:r>
          </w:p>
        </w:tc>
      </w:tr>
      <w:tr>
        <w:tc>
          <w:tcPr/>
          <w:p>
            <w:pPr>
              <w:pStyle w:val="Compact"/>
              <w:jc w:val="left"/>
            </w:pPr>
            <w:r>
              <w:rPr>
                <w:bCs/>
                <w:b/>
              </w:rPr>
              <w:t xml:space="preserve">Mutual TLS at gateway</w:t>
            </w:r>
          </w:p>
        </w:tc>
        <w:tc>
          <w:tcPr/>
          <w:p>
            <w:pPr>
              <w:pStyle w:val="Compact"/>
              <w:jc w:val="left"/>
            </w:pPr>
            <w:r>
              <w:t xml:space="preserve">Client and server cert profiles both required</w:t>
            </w:r>
          </w:p>
        </w:tc>
        <w:tc>
          <w:tcPr/>
          <w:p>
            <w:pPr>
              <w:pStyle w:val="Compact"/>
              <w:jc w:val="left"/>
            </w:pPr>
            <w:r>
              <w:t xml:space="preserve">Server hybrid; client classical-only partner</w:t>
            </w:r>
          </w:p>
        </w:tc>
      </w:tr>
    </w:tbl>
    <w:p>
      <w:pPr>
        <w:pStyle w:val="BodyText"/>
      </w:pPr>
      <w:r>
        <w:t xml:space="preserve">GlobalSync required</w:t>
      </w:r>
      <w:r>
        <w:t xml:space="preserve"> </w:t>
      </w:r>
      <w:r>
        <w:rPr>
          <w:bCs/>
          <w:b/>
        </w:rPr>
        <w:t xml:space="preserve">end-to-end path validation</w:t>
      </w:r>
      <w:r>
        <w:t xml:space="preserve"> </w:t>
      </w:r>
      <w:r>
        <w:t xml:space="preserve">on mirror traffic — CDN hybrid success did not imply origin mesh compatibility until both paths were measured independently.</w:t>
      </w:r>
    </w:p>
    <w:bookmarkEnd w:id="30"/>
    <w:bookmarkStart w:id="31" w:name="session-resumption-and-0-rtt"/>
    <w:p>
      <w:pPr>
        <w:pStyle w:val="Heading3"/>
      </w:pPr>
      <w:r>
        <w:t xml:space="preserve">Session resumption and 0-RTT</w:t>
      </w:r>
    </w:p>
    <w:p>
      <w:pPr>
        <w:pStyle w:val="FirstParagraph"/>
      </w:pPr>
      <w:r>
        <w:t xml:space="preserve">Protocol transition must account for</w:t>
      </w:r>
      <w:r>
        <w:t xml:space="preserve"> </w:t>
      </w:r>
      <w:r>
        <w:rPr>
          <w:bCs/>
          <w:b/>
        </w:rPr>
        <w:t xml:space="preserve">stateful TLS optimisations</w:t>
      </w:r>
      <w:r>
        <w:t xml:space="preserve">:</w:t>
      </w:r>
    </w:p>
    <w:p>
      <w:pPr>
        <w:numPr>
          <w:ilvl w:val="0"/>
          <w:numId w:val="1003"/>
        </w:numPr>
        <w:pStyle w:val="Compact"/>
      </w:pPr>
      <w:r>
        <w:rPr>
          <w:bCs/>
          <w:b/>
        </w:rPr>
        <w:t xml:space="preserve">Session tickets</w:t>
      </w:r>
      <w:r>
        <w:t xml:space="preserve"> </w:t>
      </w:r>
      <w:r>
        <w:t xml:space="preserve">issued under classical handshakes may not resume against hybrid-only endpoints after H2 — plan ticket invalidation or dual-mode resumption during H1</w:t>
      </w:r>
    </w:p>
    <w:p>
      <w:pPr>
        <w:numPr>
          <w:ilvl w:val="0"/>
          <w:numId w:val="1003"/>
        </w:numPr>
        <w:pStyle w:val="Compact"/>
      </w:pPr>
      <w:r>
        <w:rPr>
          <w:bCs/>
          <w:b/>
        </w:rPr>
        <w:t xml:space="preserve">0-RTT</w:t>
      </w:r>
      <w:r>
        <w:t xml:space="preserve"> </w:t>
      </w:r>
      <w:r>
        <w:t xml:space="preserve">introduces replay considerations independent of PQC; disabling 0-RTT on payment-adjacent paths simplified Meridian’s first production week</w:t>
      </w:r>
    </w:p>
    <w:p>
      <w:pPr>
        <w:numPr>
          <w:ilvl w:val="0"/>
          <w:numId w:val="1003"/>
        </w:numPr>
        <w:pStyle w:val="Compact"/>
      </w:pPr>
      <w:r>
        <w:rPr>
          <w:bCs/>
          <w:b/>
        </w:rPr>
        <w:t xml:space="preserve">Connection coalescing</w:t>
      </w:r>
      <w:r>
        <w:t xml:space="preserve"> </w:t>
      </w:r>
      <w:r>
        <w:t xml:space="preserve">across HTTP/2 and HTTP/3 may cache negotiation outcomes — retest after policy change</w:t>
      </w:r>
    </w:p>
    <w:p>
      <w:r>
        <w:pict>
          <v:rect style="width:0;height:1.5pt" o:hralign="center" o:hrstd="t" o:hr="t"/>
        </w:pict>
      </w:r>
    </w:p>
    <w:bookmarkEnd w:id="31"/>
    <w:bookmarkEnd w:id="32"/>
    <w:bookmarkStart w:id="36" w:name="client-compatibility-and-cohort-analysis"/>
    <w:p>
      <w:pPr>
        <w:pStyle w:val="Heading2"/>
      </w:pPr>
      <w:r>
        <w:t xml:space="preserve">12.4 Client Compatibility and Cohort Analysis</w:t>
      </w:r>
    </w:p>
    <w:p>
      <w:pPr>
        <w:pStyle w:val="FirstParagraph"/>
      </w:pPr>
      <w:r>
        <w:t xml:space="preserve">TLS client compatibility is the</w:t>
      </w:r>
      <w:r>
        <w:t xml:space="preserve"> </w:t>
      </w:r>
      <w:r>
        <w:rPr>
          <w:bCs/>
          <w:b/>
        </w:rPr>
        <w:t xml:space="preserve">primary H1 exit gate</w:t>
      </w:r>
      <w:r>
        <w:t xml:space="preserve"> </w:t>
      </w:r>
      <w:r>
        <w:t xml:space="preserve">for external services. Protocol transition programmes measure compatibility from</w:t>
      </w:r>
      <w:r>
        <w:t xml:space="preserve"> </w:t>
      </w:r>
      <w:r>
        <w:rPr>
          <w:bCs/>
          <w:b/>
        </w:rPr>
        <w:t xml:space="preserve">production traffic</w:t>
      </w:r>
      <w:r>
        <w:t xml:space="preserve">, not laboratory clients.</w:t>
      </w:r>
    </w:p>
    <w:bookmarkStart w:id="33" w:name="tier-classification-model"/>
    <w:p>
      <w:pPr>
        <w:pStyle w:val="Heading3"/>
      </w:pPr>
      <w:r>
        <w:t xml:space="preserve">Tier classification model</w:t>
      </w:r>
    </w:p>
    <w:p>
      <w:pPr>
        <w:pStyle w:val="FirstParagraph"/>
      </w:pPr>
      <w:r>
        <w:t xml:space="preserve">Meridian’s pilot established the reference cohort model (Chapter 11 §11.12), extended here for all TLS-facing protocols:</w:t>
      </w:r>
    </w:p>
    <w:p>
      <w:pPr>
        <w:pStyle w:val="BodyText"/>
      </w:pPr>
      <w:r>
        <w:rPr>
          <w:bCs/>
          <w:b/>
        </w:rPr>
        <w:t xml:space="preserve">Table 12.1 — Client Compatibility Tiers</w:t>
      </w:r>
    </w:p>
    <w:tbl>
      <w:tblPr>
        <w:tblStyle w:val="Table"/>
        <w:tblW w:type="pct" w:w="5000"/>
        <w:tblLook w:firstRow="1" w:lastRow="0" w:firstColumn="0" w:lastColumn="0" w:noHBand="0" w:noVBand="0" w:val="0020"/>
        <w:jc w:val="start"/>
      </w:tblPr>
      <w:tblGrid>
        <w:gridCol w:w="864"/>
        <w:gridCol w:w="1728"/>
        <w:gridCol w:w="2592"/>
        <w:gridCol w:w="2736"/>
      </w:tblGrid>
      <w:tr>
        <w:trPr>
          <w:tblHeader w:val="true"/>
        </w:trPr>
        <w:tc>
          <w:tcPr/>
          <w:p>
            <w:pPr>
              <w:pStyle w:val="Compact"/>
              <w:jc w:val="left"/>
            </w:pPr>
            <w:r>
              <w:t xml:space="preserve">Tier</w:t>
            </w:r>
          </w:p>
        </w:tc>
        <w:tc>
          <w:tcPr/>
          <w:p>
            <w:pPr>
              <w:pStyle w:val="Compact"/>
              <w:jc w:val="left"/>
            </w:pPr>
            <w:r>
              <w:t xml:space="preserve">Definition</w:t>
            </w:r>
          </w:p>
        </w:tc>
        <w:tc>
          <w:tcPr/>
          <w:p>
            <w:pPr>
              <w:pStyle w:val="Compact"/>
              <w:jc w:val="left"/>
            </w:pPr>
            <w:r>
              <w:t xml:space="preserve">Programme action</w:t>
            </w:r>
          </w:p>
        </w:tc>
        <w:tc>
          <w:tcPr/>
          <w:p>
            <w:pPr>
              <w:pStyle w:val="Compact"/>
              <w:jc w:val="left"/>
            </w:pPr>
            <w:r>
              <w:t xml:space="preserve">Endpoint strategy</w:t>
            </w:r>
          </w:p>
        </w:tc>
      </w:tr>
      <w:tr>
        <w:tc>
          <w:tcPr/>
          <w:p>
            <w:pPr>
              <w:pStyle w:val="Compact"/>
              <w:jc w:val="left"/>
            </w:pPr>
            <w:r>
              <w:rPr>
                <w:bCs/>
                <w:b/>
              </w:rPr>
              <w:t xml:space="preserve">A — PQC-capable</w:t>
            </w:r>
          </w:p>
        </w:tc>
        <w:tc>
          <w:tcPr/>
          <w:p>
            <w:pPr>
              <w:pStyle w:val="Compact"/>
              <w:jc w:val="left"/>
            </w:pPr>
            <w:r>
              <w:t xml:space="preserve">Negotiates approved hybrid group</w:t>
            </w:r>
          </w:p>
        </w:tc>
        <w:tc>
          <w:tcPr/>
          <w:p>
            <w:pPr>
              <w:pStyle w:val="Compact"/>
              <w:jc w:val="left"/>
            </w:pPr>
            <w:r>
              <w:t xml:space="preserve">Include in primary H1 endpoint</w:t>
            </w:r>
          </w:p>
        </w:tc>
        <w:tc>
          <w:tcPr/>
          <w:p>
            <w:pPr>
              <w:pStyle w:val="Compact"/>
              <w:jc w:val="left"/>
            </w:pPr>
            <w:r>
              <w:t xml:space="preserve">Unified production URL</w:t>
            </w:r>
          </w:p>
        </w:tc>
      </w:tr>
      <w:tr>
        <w:tc>
          <w:tcPr/>
          <w:p>
            <w:pPr>
              <w:pStyle w:val="Compact"/>
              <w:jc w:val="left"/>
            </w:pPr>
            <w:r>
              <w:rPr>
                <w:bCs/>
                <w:b/>
              </w:rPr>
              <w:t xml:space="preserve">B — Classical, updatable</w:t>
            </w:r>
          </w:p>
        </w:tc>
        <w:tc>
          <w:tcPr/>
          <w:p>
            <w:pPr>
              <w:pStyle w:val="Compact"/>
              <w:jc w:val="left"/>
            </w:pPr>
            <w:r>
              <w:t xml:space="preserve">Fails hybrid; patch or library upgrade available</w:t>
            </w:r>
          </w:p>
        </w:tc>
        <w:tc>
          <w:tcPr/>
          <w:p>
            <w:pPr>
              <w:pStyle w:val="Compact"/>
              <w:jc w:val="left"/>
            </w:pPr>
            <w:r>
              <w:t xml:space="preserve">Tenant notification; sunset date</w:t>
            </w:r>
          </w:p>
        </w:tc>
        <w:tc>
          <w:tcPr/>
          <w:p>
            <w:pPr>
              <w:pStyle w:val="Compact"/>
              <w:jc w:val="left"/>
            </w:pPr>
            <w:r>
              <w:t xml:space="preserve">Primary URL with migration comms</w:t>
            </w:r>
          </w:p>
        </w:tc>
      </w:tr>
      <w:tr>
        <w:tc>
          <w:tcPr/>
          <w:p>
            <w:pPr>
              <w:pStyle w:val="Compact"/>
              <w:jc w:val="left"/>
            </w:pPr>
            <w:r>
              <w:rPr>
                <w:bCs/>
                <w:b/>
              </w:rPr>
              <w:t xml:space="preserve">C — Fixed embedded</w:t>
            </w:r>
          </w:p>
        </w:tc>
        <w:tc>
          <w:tcPr/>
          <w:p>
            <w:pPr>
              <w:pStyle w:val="Compact"/>
              <w:jc w:val="left"/>
            </w:pPr>
            <w:r>
              <w:t xml:space="preserve">No update path within programme horizon</w:t>
            </w:r>
          </w:p>
        </w:tc>
        <w:tc>
          <w:tcPr/>
          <w:p>
            <w:pPr>
              <w:pStyle w:val="Compact"/>
              <w:jc w:val="left"/>
            </w:pPr>
            <w:r>
              <w:t xml:space="preserve">Risk acceptance; compensating controls</w:t>
            </w:r>
          </w:p>
        </w:tc>
        <w:tc>
          <w:tcPr/>
          <w:p>
            <w:pPr>
              <w:pStyle w:val="Compact"/>
              <w:jc w:val="left"/>
            </w:pPr>
            <w:r>
              <w:t xml:space="preserve">Dedicated exception hostname or mTLS policy</w:t>
            </w:r>
          </w:p>
        </w:tc>
      </w:tr>
      <w:tr>
        <w:tc>
          <w:tcPr/>
          <w:p>
            <w:pPr>
              <w:pStyle w:val="Compact"/>
              <w:jc w:val="left"/>
            </w:pPr>
            <w:r>
              <w:rPr>
                <w:bCs/>
                <w:b/>
              </w:rPr>
              <w:t xml:space="preserve">D — Unknown / unclassified</w:t>
            </w:r>
          </w:p>
        </w:tc>
        <w:tc>
          <w:tcPr/>
          <w:p>
            <w:pPr>
              <w:pStyle w:val="Compact"/>
              <w:jc w:val="left"/>
            </w:pPr>
            <w:r>
              <w:t xml:space="preserve">Insufficient telemetry</w:t>
            </w:r>
          </w:p>
        </w:tc>
        <w:tc>
          <w:tcPr/>
          <w:p>
            <w:pPr>
              <w:pStyle w:val="Compact"/>
              <w:jc w:val="left"/>
            </w:pPr>
            <w:r>
              <w:t xml:space="preserve">Instrumentation sprint; default to C until classified</w:t>
            </w:r>
          </w:p>
        </w:tc>
        <w:tc>
          <w:tcPr/>
          <w:p>
            <w:pPr>
              <w:pStyle w:val="Compact"/>
              <w:jc w:val="left"/>
            </w:pPr>
            <w:r>
              <w:t xml:space="preserve">No hybrid enablement until classified</w:t>
            </w:r>
          </w:p>
        </w:tc>
      </w:tr>
    </w:tbl>
    <w:p>
      <w:pPr>
        <w:pStyle w:val="BodyText"/>
      </w:pPr>
      <w:r>
        <w:t xml:space="preserve">Tier C traffic must never silently fall back on a unified URL advertised as</w:t>
      </w:r>
      <w:r>
        <w:t xml:space="preserve"> </w:t>
      </w:r>
      <w:r>
        <w:t xml:space="preserve">“</w:t>
      </w:r>
      <w:r>
        <w:t xml:space="preserve">quantum-safe</w:t>
      </w:r>
      <w:r>
        <w:t xml:space="preserve">”</w:t>
      </w:r>
      <w:r>
        <w:t xml:space="preserve"> </w:t>
      </w:r>
      <w:r>
        <w:t xml:space="preserve">— supervisory and customer trust implications exceed the technical workaround.</w:t>
      </w:r>
    </w:p>
    <w:bookmarkEnd w:id="33"/>
    <w:bookmarkStart w:id="34" w:name="fingerprinting-methodology"/>
    <w:p>
      <w:pPr>
        <w:pStyle w:val="Heading3"/>
      </w:pPr>
      <w:r>
        <w:t xml:space="preserve">Fingerprinting methodology</w:t>
      </w:r>
    </w:p>
    <w:tbl>
      <w:tblPr>
        <w:tblStyle w:val="Table"/>
        <w:tblW w:type="pct" w:w="5000"/>
        <w:tblLook w:firstRow="1" w:lastRow="0" w:firstColumn="0" w:lastColumn="0" w:noHBand="0" w:noVBand="0" w:val="0020"/>
        <w:jc w:val="start"/>
      </w:tblPr>
      <w:tblGrid>
        <w:gridCol w:w="2828"/>
        <w:gridCol w:w="2828"/>
        <w:gridCol w:w="2262"/>
      </w:tblGrid>
      <w:tr>
        <w:trPr>
          <w:tblHeader w:val="true"/>
        </w:trPr>
        <w:tc>
          <w:tcPr/>
          <w:p>
            <w:pPr>
              <w:pStyle w:val="Compact"/>
              <w:jc w:val="left"/>
            </w:pPr>
            <w:r>
              <w:t xml:space="preserve">Signal source</w:t>
            </w:r>
          </w:p>
        </w:tc>
        <w:tc>
          <w:tcPr/>
          <w:p>
            <w:pPr>
              <w:pStyle w:val="Compact"/>
              <w:jc w:val="left"/>
            </w:pPr>
            <w:r>
              <w:t xml:space="preserve">Data captured</w:t>
            </w:r>
          </w:p>
        </w:tc>
        <w:tc>
          <w:tcPr/>
          <w:p>
            <w:pPr>
              <w:pStyle w:val="Compact"/>
              <w:jc w:val="left"/>
            </w:pPr>
            <w:r>
              <w:t xml:space="preserve">Limitation</w:t>
            </w:r>
          </w:p>
        </w:tc>
      </w:tr>
      <w:tr>
        <w:tc>
          <w:tcPr/>
          <w:p>
            <w:pPr>
              <w:pStyle w:val="Compact"/>
              <w:jc w:val="left"/>
            </w:pPr>
            <w:r>
              <w:t xml:space="preserve">Load balancer access logs</w:t>
            </w:r>
          </w:p>
        </w:tc>
        <w:tc>
          <w:tcPr/>
          <w:p>
            <w:pPr>
              <w:pStyle w:val="Compact"/>
              <w:jc w:val="left"/>
            </w:pPr>
            <w:r>
              <w:t xml:space="preserve">ClientHello extensions, offered groups, TLS version</w:t>
            </w:r>
          </w:p>
        </w:tc>
        <w:tc>
          <w:tcPr/>
          <w:p>
            <w:pPr>
              <w:pStyle w:val="Compact"/>
              <w:jc w:val="left"/>
            </w:pPr>
            <w:r>
              <w:t xml:space="preserve">May not see full path through CDN</w:t>
            </w:r>
          </w:p>
        </w:tc>
      </w:tr>
      <w:tr>
        <w:tc>
          <w:tcPr/>
          <w:p>
            <w:pPr>
              <w:pStyle w:val="Compact"/>
              <w:jc w:val="left"/>
            </w:pPr>
            <w:r>
              <w:t xml:space="preserve">Service mesh telemetry</w:t>
            </w:r>
          </w:p>
        </w:tc>
        <w:tc>
          <w:tcPr/>
          <w:p>
            <w:pPr>
              <w:pStyle w:val="Compact"/>
              <w:jc w:val="left"/>
            </w:pPr>
            <w:r>
              <w:t xml:space="preserve">Negotiated cipher and group per connection</w:t>
            </w:r>
          </w:p>
        </w:tc>
        <w:tc>
          <w:tcPr/>
          <w:p>
            <w:pPr>
              <w:pStyle w:val="Compact"/>
              <w:jc w:val="left"/>
            </w:pPr>
            <w:r>
              <w:t xml:space="preserve">Internal clients only</w:t>
            </w:r>
          </w:p>
        </w:tc>
      </w:tr>
      <w:tr>
        <w:tc>
          <w:tcPr/>
          <w:p>
            <w:pPr>
              <w:pStyle w:val="Compact"/>
              <w:jc w:val="left"/>
            </w:pPr>
            <w:r>
              <w:t xml:space="preserve">API gateway analytics</w:t>
            </w:r>
          </w:p>
        </w:tc>
        <w:tc>
          <w:tcPr/>
          <w:p>
            <w:pPr>
              <w:pStyle w:val="Compact"/>
              <w:jc w:val="left"/>
            </w:pPr>
            <w:r>
              <w:t xml:space="preserve">Client SDK version correlation</w:t>
            </w:r>
          </w:p>
        </w:tc>
        <w:tc>
          <w:tcPr/>
          <w:p>
            <w:pPr>
              <w:pStyle w:val="Compact"/>
              <w:jc w:val="left"/>
            </w:pPr>
            <w:r>
              <w:t xml:space="preserve">Requires SDK version header discipline</w:t>
            </w:r>
          </w:p>
        </w:tc>
      </w:tr>
      <w:tr>
        <w:tc>
          <w:tcPr/>
          <w:p>
            <w:pPr>
              <w:pStyle w:val="Compact"/>
              <w:jc w:val="left"/>
            </w:pPr>
            <w:r>
              <w:t xml:space="preserve">Synthetic monitoring</w:t>
            </w:r>
          </w:p>
        </w:tc>
        <w:tc>
          <w:tcPr/>
          <w:p>
            <w:pPr>
              <w:pStyle w:val="Compact"/>
              <w:jc w:val="left"/>
            </w:pPr>
            <w:r>
              <w:t xml:space="preserve">Known client profiles</w:t>
            </w:r>
          </w:p>
        </w:tc>
        <w:tc>
          <w:tcPr/>
          <w:p>
            <w:pPr>
              <w:pStyle w:val="Compact"/>
              <w:jc w:val="left"/>
            </w:pPr>
            <w:r>
              <w:t xml:space="preserve">Does not represent long tail</w:t>
            </w:r>
          </w:p>
        </w:tc>
      </w:tr>
      <w:tr>
        <w:tc>
          <w:tcPr/>
          <w:p>
            <w:pPr>
              <w:pStyle w:val="Compact"/>
              <w:jc w:val="left"/>
            </w:pPr>
            <w:r>
              <w:t xml:space="preserve">Partner-declared inventory</w:t>
            </w:r>
          </w:p>
        </w:tc>
        <w:tc>
          <w:tcPr/>
          <w:p>
            <w:pPr>
              <w:pStyle w:val="Compact"/>
              <w:jc w:val="left"/>
            </w:pPr>
            <w:r>
              <w:t xml:space="preserve">Contractual client matrix</w:t>
            </w:r>
          </w:p>
        </w:tc>
        <w:tc>
          <w:tcPr/>
          <w:p>
            <w:pPr>
              <w:pStyle w:val="Compact"/>
              <w:jc w:val="left"/>
            </w:pPr>
            <w:r>
              <w:t xml:space="preserve">Often stale — verify with telemetry</w:t>
            </w:r>
          </w:p>
        </w:tc>
      </w:tr>
    </w:tbl>
    <w:p>
      <w:pPr>
        <w:pStyle w:val="BodyText"/>
      </w:pPr>
      <w:r>
        <w:t xml:space="preserve">Meridian’s security architecture team correlated</w:t>
      </w:r>
      <w:r>
        <w:t xml:space="preserve"> </w:t>
      </w:r>
      <w:r>
        <w:rPr>
          <w:bCs/>
          <w:b/>
        </w:rPr>
        <w:t xml:space="preserve">4.2 million</w:t>
      </w:r>
      <w:r>
        <w:t xml:space="preserve"> </w:t>
      </w:r>
      <w:r>
        <w:t xml:space="preserve">unique handshake fingerprints over thirty days — discovering that three legacy mobile integrations accounted for disproportionate Tier C share despite low connection count (high-value treasury workflows).</w:t>
      </w:r>
    </w:p>
    <w:bookmarkEnd w:id="34"/>
    <w:bookmarkStart w:id="35" w:name="compatibility-improvement-levers"/>
    <w:p>
      <w:pPr>
        <w:pStyle w:val="Heading3"/>
      </w:pPr>
      <w:r>
        <w:t xml:space="preserve">Compatibility improvement levers</w:t>
      </w:r>
    </w:p>
    <w:tbl>
      <w:tblPr>
        <w:tblStyle w:val="Table"/>
        <w:tblW w:type="pct" w:w="5000"/>
        <w:tblLook w:firstRow="1" w:lastRow="0" w:firstColumn="0" w:lastColumn="0" w:noHBand="0" w:noVBand="0" w:val="0020"/>
        <w:jc w:val="start"/>
      </w:tblPr>
      <w:tblGrid>
        <w:gridCol w:w="1980"/>
        <w:gridCol w:w="4242"/>
        <w:gridCol w:w="1697"/>
      </w:tblGrid>
      <w:tr>
        <w:trPr>
          <w:tblHeader w:val="true"/>
        </w:trPr>
        <w:tc>
          <w:tcPr/>
          <w:p>
            <w:pPr>
              <w:pStyle w:val="Compact"/>
              <w:jc w:val="left"/>
            </w:pPr>
            <w:r>
              <w:t xml:space="preserve">Lever</w:t>
            </w:r>
          </w:p>
        </w:tc>
        <w:tc>
          <w:tcPr/>
          <w:p>
            <w:pPr>
              <w:pStyle w:val="Compact"/>
              <w:jc w:val="left"/>
            </w:pPr>
            <w:r>
              <w:t xml:space="preserve">Effectiveness</w:t>
            </w:r>
          </w:p>
        </w:tc>
        <w:tc>
          <w:tcPr/>
          <w:p>
            <w:pPr>
              <w:pStyle w:val="Compact"/>
              <w:jc w:val="left"/>
            </w:pPr>
            <w:r>
              <w:t xml:space="preserve">Cost</w:t>
            </w:r>
          </w:p>
        </w:tc>
      </w:tr>
      <w:tr>
        <w:tc>
          <w:tcPr/>
          <w:p>
            <w:pPr>
              <w:pStyle w:val="Compact"/>
              <w:jc w:val="left"/>
            </w:pPr>
            <w:r>
              <w:t xml:space="preserve">Client SDK upgrade campaign</w:t>
            </w:r>
          </w:p>
        </w:tc>
        <w:tc>
          <w:tcPr/>
          <w:p>
            <w:pPr>
              <w:pStyle w:val="Compact"/>
              <w:jc w:val="left"/>
            </w:pPr>
            <w:r>
              <w:t xml:space="preserve">High for Tier B</w:t>
            </w:r>
          </w:p>
        </w:tc>
        <w:tc>
          <w:tcPr/>
          <w:p>
            <w:pPr>
              <w:pStyle w:val="Compact"/>
              <w:jc w:val="left"/>
            </w:pPr>
            <w:r>
              <w:t xml:space="preserve">Commercial / tenant management</w:t>
            </w:r>
          </w:p>
        </w:tc>
      </w:tr>
      <w:tr>
        <w:tc>
          <w:tcPr/>
          <w:p>
            <w:pPr>
              <w:pStyle w:val="Compact"/>
              <w:jc w:val="left"/>
            </w:pPr>
            <w:r>
              <w:t xml:space="preserve">Parallel endpoint with classical-only</w:t>
            </w:r>
          </w:p>
        </w:tc>
        <w:tc>
          <w:tcPr/>
          <w:p>
            <w:pPr>
              <w:pStyle w:val="Compact"/>
              <w:jc w:val="left"/>
            </w:pPr>
            <w:r>
              <w:t xml:space="preserve">Immediate Tier C service</w:t>
            </w:r>
          </w:p>
        </w:tc>
        <w:tc>
          <w:tcPr/>
          <w:p>
            <w:pPr>
              <w:pStyle w:val="Compact"/>
              <w:jc w:val="left"/>
            </w:pPr>
            <w:r>
              <w:t xml:space="preserve">Operational complexity; audit scrutiny</w:t>
            </w:r>
          </w:p>
        </w:tc>
      </w:tr>
      <w:tr>
        <w:tc>
          <w:tcPr/>
          <w:p>
            <w:pPr>
              <w:pStyle w:val="Compact"/>
              <w:jc w:val="left"/>
            </w:pPr>
            <w:r>
              <w:t xml:space="preserve">CDN/TLS policy routing by fingerprint</w:t>
            </w:r>
          </w:p>
        </w:tc>
        <w:tc>
          <w:tcPr/>
          <w:p>
            <w:pPr>
              <w:pStyle w:val="Compact"/>
              <w:jc w:val="left"/>
            </w:pPr>
            <w:r>
              <w:t xml:space="preserve">Surgical cohort routing</w:t>
            </w:r>
          </w:p>
        </w:tc>
        <w:tc>
          <w:tcPr/>
          <w:p>
            <w:pPr>
              <w:pStyle w:val="Compact"/>
              <w:jc w:val="left"/>
            </w:pPr>
            <w:r>
              <w:t xml:space="preserve">Requires advanced edge capability</w:t>
            </w:r>
          </w:p>
        </w:tc>
      </w:tr>
      <w:tr>
        <w:tc>
          <w:tcPr/>
          <w:p>
            <w:pPr>
              <w:pStyle w:val="Compact"/>
              <w:jc w:val="left"/>
            </w:pPr>
            <w:r>
              <w:t xml:space="preserve">Partner contractual migration clause</w:t>
            </w:r>
          </w:p>
        </w:tc>
        <w:tc>
          <w:tcPr/>
          <w:p>
            <w:pPr>
              <w:pStyle w:val="Compact"/>
              <w:jc w:val="left"/>
            </w:pPr>
            <w:r>
              <w:t xml:space="preserve">Medium; slow</w:t>
            </w:r>
          </w:p>
        </w:tc>
        <w:tc>
          <w:tcPr/>
          <w:p>
            <w:pPr>
              <w:pStyle w:val="Compact"/>
              <w:jc w:val="left"/>
            </w:pPr>
            <w:r>
              <w:t xml:space="preserve">Legal negotiation (Chapter 16)</w:t>
            </w:r>
          </w:p>
        </w:tc>
      </w:tr>
      <w:tr>
        <w:tc>
          <w:tcPr/>
          <w:p>
            <w:pPr>
              <w:pStyle w:val="Compact"/>
              <w:jc w:val="left"/>
            </w:pPr>
            <w:r>
              <w:t xml:space="preserve">Decommission legacy integration</w:t>
            </w:r>
          </w:p>
        </w:tc>
        <w:tc>
          <w:tcPr/>
          <w:p>
            <w:pPr>
              <w:pStyle w:val="Compact"/>
              <w:jc w:val="left"/>
            </w:pPr>
            <w:r>
              <w:t xml:space="preserve">Permanent</w:t>
            </w:r>
          </w:p>
        </w:tc>
        <w:tc>
          <w:tcPr/>
          <w:p>
            <w:pPr>
              <w:pStyle w:val="Compact"/>
              <w:jc w:val="left"/>
            </w:pPr>
            <w:r>
              <w:t xml:space="preserve">Business process change</w:t>
            </w:r>
          </w:p>
        </w:tc>
      </w:tr>
    </w:tbl>
    <w:p>
      <w:pPr>
        <w:pStyle w:val="BlockText"/>
      </w:pPr>
      <w:r>
        <w:rPr>
          <w:bCs/>
          <w:b/>
        </w:rPr>
        <w:t xml:space="preserve">Architect’s Decision</w:t>
      </w:r>
    </w:p>
    <w:p>
      <w:pPr>
        <w:pStyle w:val="BlockText"/>
      </w:pPr>
      <w:r>
        <w:rPr>
          <w:bCs/>
          <w:b/>
        </w:rPr>
        <w:t xml:space="preserve">Default: tiered endpoints over forced hybrid on fixed clients.</w:t>
      </w:r>
      <w:r>
        <w:t xml:space="preserve"> </w:t>
      </w:r>
      <w:r>
        <w:t xml:space="preserve">Forcing hybrid negotiation on Tier C clients produces connection failures — not protective cryptography. Meridian’s</w:t>
      </w:r>
      <w:r>
        <w:t xml:space="preserve"> </w:t>
      </w:r>
      <w:r>
        <w:rPr>
          <w:rStyle w:val="VerbatimChar"/>
        </w:rPr>
        <w:t xml:space="preserve">api-retail-pqc</w:t>
      </w:r>
      <w:r>
        <w:t xml:space="preserve"> </w:t>
      </w:r>
      <w:r>
        <w:t xml:space="preserve">and</w:t>
      </w:r>
      <w:r>
        <w:t xml:space="preserve"> </w:t>
      </w:r>
      <w:r>
        <w:rPr>
          <w:rStyle w:val="VerbatimChar"/>
        </w:rPr>
        <w:t xml:space="preserve">api-retail</w:t>
      </w:r>
      <w:r>
        <w:t xml:space="preserve"> </w:t>
      </w:r>
      <w:r>
        <w:t xml:space="preserve">parallel hostnames cost operational overhead but preserved audit credibility. Silent classical fallback on a hybrid-advertised endpoint is worse than honest dual endpoints.</w:t>
      </w:r>
    </w:p>
    <w:p>
      <w:r>
        <w:pict>
          <v:rect style="width:0;height:1.5pt" o:hralign="center" o:hrstd="t" o:hr="t"/>
        </w:pict>
      </w:r>
    </w:p>
    <w:bookmarkEnd w:id="35"/>
    <w:bookmarkEnd w:id="36"/>
    <w:bookmarkStart w:id="40" w:name="X2a26d76b26b0621b5821156c40ef81e80f9e843"/>
    <w:p>
      <w:pPr>
        <w:pStyle w:val="Heading2"/>
      </w:pPr>
      <w:r>
        <w:t xml:space="preserve">12.5 Middlebox Interference and Infrastructure Buffers</w:t>
      </w:r>
    </w:p>
    <w:p>
      <w:pPr>
        <w:pStyle w:val="FirstParagraph"/>
      </w:pPr>
      <w:r>
        <w:t xml:space="preserve">Middleboxes — SSL inspection proxies, legacy WAFs, DLP appliances, corporate transparent proxies — caused more production TLS incidents in early hybrid pilots than client incompatibility. Protocol transition must</w:t>
      </w:r>
      <w:r>
        <w:t xml:space="preserve"> </w:t>
      </w:r>
      <w:r>
        <w:rPr>
          <w:bCs/>
          <w:b/>
        </w:rPr>
        <w:t xml:space="preserve">map the inspection path</w:t>
      </w:r>
      <w:r>
        <w:t xml:space="preserve"> </w:t>
      </w:r>
      <w:r>
        <w:t xml:space="preserve">as thoroughly as the client population.</w:t>
      </w:r>
    </w:p>
    <w:bookmarkStart w:id="37" w:name="failure-modes"/>
    <w:p>
      <w:pPr>
        <w:pStyle w:val="Heading3"/>
      </w:pPr>
      <w:r>
        <w:t xml:space="preserve">Failure modes</w:t>
      </w:r>
    </w:p>
    <w:tbl>
      <w:tblPr>
        <w:tblStyle w:val="Table"/>
        <w:tblW w:type="pct" w:w="5000"/>
        <w:tblLook w:firstRow="1" w:lastRow="0" w:firstColumn="0" w:lastColumn="0" w:noHBand="0" w:noVBand="0" w:val="0020"/>
        <w:jc w:val="start"/>
      </w:tblPr>
      <w:tblGrid>
        <w:gridCol w:w="3080"/>
        <w:gridCol w:w="2420"/>
        <w:gridCol w:w="2420"/>
      </w:tblGrid>
      <w:tr>
        <w:trPr>
          <w:tblHeader w:val="true"/>
        </w:trPr>
        <w:tc>
          <w:tcPr/>
          <w:p>
            <w:pPr>
              <w:pStyle w:val="Compact"/>
              <w:jc w:val="left"/>
            </w:pPr>
            <w:r>
              <w:t xml:space="preserve">Failure mode</w:t>
            </w:r>
          </w:p>
        </w:tc>
        <w:tc>
          <w:tcPr/>
          <w:p>
            <w:pPr>
              <w:pStyle w:val="Compact"/>
              <w:jc w:val="left"/>
            </w:pPr>
            <w:r>
              <w:t xml:space="preserve">Mechanism</w:t>
            </w:r>
          </w:p>
        </w:tc>
        <w:tc>
          <w:tcPr/>
          <w:p>
            <w:pPr>
              <w:pStyle w:val="Compact"/>
              <w:jc w:val="left"/>
            </w:pPr>
            <w:r>
              <w:t xml:space="preserve">Detection</w:t>
            </w:r>
          </w:p>
        </w:tc>
      </w:tr>
      <w:tr>
        <w:tc>
          <w:tcPr/>
          <w:p>
            <w:pPr>
              <w:pStyle w:val="Compact"/>
              <w:jc w:val="left"/>
            </w:pPr>
            <w:r>
              <w:rPr>
                <w:bCs/>
                <w:b/>
              </w:rPr>
              <w:t xml:space="preserve">ClientHello truncation</w:t>
            </w:r>
          </w:p>
        </w:tc>
        <w:tc>
          <w:tcPr/>
          <w:p>
            <w:pPr>
              <w:pStyle w:val="Compact"/>
              <w:jc w:val="left"/>
            </w:pPr>
            <w:r>
              <w:t xml:space="preserve">Proxy buffer smaller than extended ClientHello</w:t>
            </w:r>
          </w:p>
        </w:tc>
        <w:tc>
          <w:tcPr/>
          <w:p>
            <w:pPr>
              <w:pStyle w:val="Compact"/>
              <w:jc w:val="left"/>
            </w:pPr>
            <w:r>
              <w:t xml:space="preserve">Handshake timeout; partial extension capture in logs</w:t>
            </w:r>
          </w:p>
        </w:tc>
      </w:tr>
      <w:tr>
        <w:tc>
          <w:tcPr/>
          <w:p>
            <w:pPr>
              <w:pStyle w:val="Compact"/>
              <w:jc w:val="left"/>
            </w:pPr>
            <w:r>
              <w:rPr>
                <w:bCs/>
                <w:b/>
              </w:rPr>
              <w:t xml:space="preserve">Extension stripping</w:t>
            </w:r>
          </w:p>
        </w:tc>
        <w:tc>
          <w:tcPr/>
          <w:p>
            <w:pPr>
              <w:pStyle w:val="Compact"/>
              <w:jc w:val="left"/>
            </w:pPr>
            <w:r>
              <w:t xml:space="preserve">Middlebox removes unknown extensions</w:t>
            </w:r>
          </w:p>
        </w:tc>
        <w:tc>
          <w:tcPr/>
          <w:p>
            <w:pPr>
              <w:pStyle w:val="Compact"/>
              <w:jc w:val="left"/>
            </w:pPr>
            <w:r>
              <w:t xml:space="preserve">Server never receives hybrid group offer</w:t>
            </w:r>
          </w:p>
        </w:tc>
      </w:tr>
      <w:tr>
        <w:tc>
          <w:tcPr/>
          <w:p>
            <w:pPr>
              <w:pStyle w:val="Compact"/>
              <w:jc w:val="left"/>
            </w:pPr>
            <w:r>
              <w:rPr>
                <w:bCs/>
                <w:b/>
              </w:rPr>
              <w:t xml:space="preserve">Re-encryption mismatch</w:t>
            </w:r>
          </w:p>
        </w:tc>
        <w:tc>
          <w:tcPr/>
          <w:p>
            <w:pPr>
              <w:pStyle w:val="Compact"/>
              <w:jc w:val="left"/>
            </w:pPr>
            <w:r>
              <w:t xml:space="preserve">Proxy terminates classical; origin expects hybrid</w:t>
            </w:r>
          </w:p>
        </w:tc>
        <w:tc>
          <w:tcPr/>
          <w:p>
            <w:pPr>
              <w:pStyle w:val="Compact"/>
              <w:jc w:val="left"/>
            </w:pPr>
            <w:r>
              <w:t xml:space="preserve">Origin logs show classical-only from proxy</w:t>
            </w:r>
          </w:p>
        </w:tc>
      </w:tr>
      <w:tr>
        <w:tc>
          <w:tcPr/>
          <w:p>
            <w:pPr>
              <w:pStyle w:val="Compact"/>
              <w:jc w:val="left"/>
            </w:pPr>
            <w:r>
              <w:rPr>
                <w:bCs/>
                <w:b/>
              </w:rPr>
              <w:t xml:space="preserve">Certificate chain overflow</w:t>
            </w:r>
          </w:p>
        </w:tc>
        <w:tc>
          <w:tcPr/>
          <w:p>
            <w:pPr>
              <w:pStyle w:val="Compact"/>
              <w:jc w:val="left"/>
            </w:pPr>
            <w:r>
              <w:t xml:space="preserve">Combined hybrid + large ML-DSA chain exceeds buffer</w:t>
            </w:r>
          </w:p>
        </w:tc>
        <w:tc>
          <w:tcPr/>
          <w:p>
            <w:pPr>
              <w:pStyle w:val="Compact"/>
              <w:jc w:val="left"/>
            </w:pPr>
            <w:r>
              <w:t xml:space="preserve">Intermittent failures on high-security paths</w:t>
            </w:r>
          </w:p>
        </w:tc>
      </w:tr>
      <w:tr>
        <w:tc>
          <w:tcPr/>
          <w:p>
            <w:pPr>
              <w:pStyle w:val="Compact"/>
              <w:jc w:val="left"/>
            </w:pPr>
            <w:r>
              <w:rPr>
                <w:bCs/>
                <w:b/>
              </w:rPr>
              <w:t xml:space="preserve">APM agent crash</w:t>
            </w:r>
          </w:p>
        </w:tc>
        <w:tc>
          <w:tcPr/>
          <w:p>
            <w:pPr>
              <w:pStyle w:val="Compact"/>
              <w:jc w:val="left"/>
            </w:pPr>
            <w:r>
              <w:t xml:space="preserve">Observability agent parses ClientHello struct</w:t>
            </w:r>
          </w:p>
        </w:tc>
        <w:tc>
          <w:tcPr/>
          <w:p>
            <w:pPr>
              <w:pStyle w:val="Compact"/>
              <w:jc w:val="left"/>
            </w:pPr>
            <w:r>
              <w:t xml:space="preserve">Apparent application outage</w:t>
            </w:r>
          </w:p>
        </w:tc>
      </w:tr>
    </w:tbl>
    <w:p>
      <w:pPr>
        <w:pStyle w:val="BodyText"/>
      </w:pPr>
      <w:r>
        <w:t xml:space="preserve">Meridian’s production incident traced to a</w:t>
      </w:r>
      <w:r>
        <w:t xml:space="preserve"> </w:t>
      </w:r>
      <w:r>
        <w:rPr>
          <w:bCs/>
          <w:b/>
        </w:rPr>
        <w:t xml:space="preserve">4,096-byte handshake buffer</w:t>
      </w:r>
      <w:r>
        <w:t xml:space="preserve"> </w:t>
      </w:r>
      <w:r>
        <w:t xml:space="preserve">on a corporate SSL inspection appliance — sufficient for classical TLS with ECDSA-P256 chains but insufficient when hybrid extensions combined with treasury middleware’s large certificate chains (Chapter 11 §11.5).</w:t>
      </w:r>
    </w:p>
    <w:bookmarkEnd w:id="37"/>
    <w:bookmarkStart w:id="38" w:name="infrastructure-buffer-assessment"/>
    <w:p>
      <w:pPr>
        <w:pStyle w:val="Heading3"/>
      </w:pPr>
      <w:r>
        <w:t xml:space="preserve">Infrastructure buffer assessment</w:t>
      </w:r>
    </w:p>
    <w:p>
      <w:pPr>
        <w:pStyle w:val="FirstParagraph"/>
      </w:pPr>
      <w:r>
        <w:t xml:space="preserve">Before H1 TLS approval, architecture review must document limits on</w:t>
      </w:r>
      <w:r>
        <w:t xml:space="preserve"> </w:t>
      </w:r>
      <w:r>
        <w:rPr>
          <w:bCs/>
          <w:b/>
        </w:rPr>
        <w:t xml:space="preserve">every inspection hop</w:t>
      </w:r>
      <w:r>
        <w:t xml:space="preserve">:</w:t>
      </w:r>
    </w:p>
    <w:p>
      <w:pPr>
        <w:pStyle w:val="BodyText"/>
      </w:pPr>
      <w:r>
        <w:rPr>
          <w:bCs/>
          <w:b/>
        </w:rPr>
        <w:t xml:space="preserve">Table 12.2 — Infrastructure Buffer Assessment Checklist</w:t>
      </w:r>
    </w:p>
    <w:tbl>
      <w:tblPr>
        <w:tblStyle w:val="Table"/>
        <w:tblW w:type="pct" w:w="5000"/>
        <w:tblLook w:firstRow="1" w:lastRow="0" w:firstColumn="0" w:lastColumn="0" w:noHBand="0" w:noVBand="0" w:val="0020"/>
        <w:jc w:val="start"/>
      </w:tblPr>
      <w:tblGrid>
        <w:gridCol w:w="573"/>
        <w:gridCol w:w="3443"/>
        <w:gridCol w:w="2066"/>
        <w:gridCol w:w="1836"/>
      </w:tblGrid>
      <w:tr>
        <w:trPr>
          <w:tblHeader w:val="true"/>
        </w:trPr>
        <w:tc>
          <w:tcPr/>
          <w:p>
            <w:pPr>
              <w:pStyle w:val="Compact"/>
              <w:jc w:val="left"/>
            </w:pPr>
            <w:r>
              <w:t xml:space="preserve">Hop</w:t>
            </w:r>
          </w:p>
        </w:tc>
        <w:tc>
          <w:tcPr/>
          <w:p>
            <w:pPr>
              <w:pStyle w:val="Compact"/>
              <w:jc w:val="left"/>
            </w:pPr>
            <w:r>
              <w:t xml:space="preserve">Maximum handshake size tested</w:t>
            </w:r>
          </w:p>
        </w:tc>
        <w:tc>
          <w:tcPr/>
          <w:p>
            <w:pPr>
              <w:pStyle w:val="Compact"/>
              <w:jc w:val="left"/>
            </w:pPr>
            <w:r>
              <w:t xml:space="preserve">Hybrid test date</w:t>
            </w:r>
          </w:p>
        </w:tc>
        <w:tc>
          <w:tcPr/>
          <w:p>
            <w:pPr>
              <w:pStyle w:val="Compact"/>
              <w:jc w:val="left"/>
            </w:pPr>
            <w:r>
              <w:t xml:space="preserve">Owner sign-off</w:t>
            </w:r>
          </w:p>
        </w:tc>
      </w:tr>
      <w:tr>
        <w:tc>
          <w:tcPr/>
          <w:p>
            <w:pPr>
              <w:pStyle w:val="Compact"/>
              <w:jc w:val="left"/>
            </w:pPr>
            <w:r>
              <w:t xml:space="preserve">Internet CDN edge</w:t>
            </w:r>
          </w:p>
        </w:tc>
        <w:tc>
          <w:tcPr/>
          <w:p>
            <w:pPr>
              <w:pStyle w:val="Compact"/>
            </w:pPr>
          </w:p>
        </w:tc>
        <w:tc>
          <w:tcPr/>
          <w:p>
            <w:pPr>
              <w:pStyle w:val="Compact"/>
            </w:pPr>
          </w:p>
        </w:tc>
        <w:tc>
          <w:tcPr/>
          <w:p>
            <w:pPr>
              <w:pStyle w:val="Compact"/>
            </w:pPr>
          </w:p>
        </w:tc>
      </w:tr>
      <w:tr>
        <w:tc>
          <w:tcPr/>
          <w:p>
            <w:pPr>
              <w:pStyle w:val="Compact"/>
              <w:jc w:val="left"/>
            </w:pPr>
            <w:r>
              <w:t xml:space="preserve">DDoS scrubbing service</w:t>
            </w:r>
          </w:p>
        </w:tc>
        <w:tc>
          <w:tcPr/>
          <w:p>
            <w:pPr>
              <w:pStyle w:val="Compact"/>
            </w:pPr>
          </w:p>
        </w:tc>
        <w:tc>
          <w:tcPr/>
          <w:p>
            <w:pPr>
              <w:pStyle w:val="Compact"/>
            </w:pPr>
          </w:p>
        </w:tc>
        <w:tc>
          <w:tcPr/>
          <w:p>
            <w:pPr>
              <w:pStyle w:val="Compact"/>
            </w:pPr>
          </w:p>
        </w:tc>
      </w:tr>
      <w:tr>
        <w:tc>
          <w:tcPr/>
          <w:p>
            <w:pPr>
              <w:pStyle w:val="Compact"/>
              <w:jc w:val="left"/>
            </w:pPr>
            <w:r>
              <w:t xml:space="preserve">WAF / API gateway</w:t>
            </w:r>
          </w:p>
        </w:tc>
        <w:tc>
          <w:tcPr/>
          <w:p>
            <w:pPr>
              <w:pStyle w:val="Compact"/>
            </w:pPr>
          </w:p>
        </w:tc>
        <w:tc>
          <w:tcPr/>
          <w:p>
            <w:pPr>
              <w:pStyle w:val="Compact"/>
            </w:pPr>
          </w:p>
        </w:tc>
        <w:tc>
          <w:tcPr/>
          <w:p>
            <w:pPr>
              <w:pStyle w:val="Compact"/>
            </w:pPr>
          </w:p>
        </w:tc>
      </w:tr>
      <w:tr>
        <w:tc>
          <w:tcPr/>
          <w:p>
            <w:pPr>
              <w:pStyle w:val="Compact"/>
              <w:jc w:val="left"/>
            </w:pPr>
            <w:r>
              <w:t xml:space="preserve">Corporate SSL inspection</w:t>
            </w:r>
          </w:p>
        </w:tc>
        <w:tc>
          <w:tcPr/>
          <w:p>
            <w:pPr>
              <w:pStyle w:val="Compact"/>
            </w:pPr>
          </w:p>
        </w:tc>
        <w:tc>
          <w:tcPr/>
          <w:p>
            <w:pPr>
              <w:pStyle w:val="Compact"/>
            </w:pPr>
          </w:p>
        </w:tc>
        <w:tc>
          <w:tcPr/>
          <w:p>
            <w:pPr>
              <w:pStyle w:val="Compact"/>
            </w:pPr>
          </w:p>
        </w:tc>
      </w:tr>
      <w:tr>
        <w:tc>
          <w:tcPr/>
          <w:p>
            <w:pPr>
              <w:pStyle w:val="Compact"/>
              <w:jc w:val="left"/>
            </w:pPr>
            <w:r>
              <w:t xml:space="preserve">Load balancer</w:t>
            </w:r>
          </w:p>
        </w:tc>
        <w:tc>
          <w:tcPr/>
          <w:p>
            <w:pPr>
              <w:pStyle w:val="Compact"/>
            </w:pPr>
          </w:p>
        </w:tc>
        <w:tc>
          <w:tcPr/>
          <w:p>
            <w:pPr>
              <w:pStyle w:val="Compact"/>
            </w:pPr>
          </w:p>
        </w:tc>
        <w:tc>
          <w:tcPr/>
          <w:p>
            <w:pPr>
              <w:pStyle w:val="Compact"/>
            </w:pPr>
          </w:p>
        </w:tc>
      </w:tr>
      <w:tr>
        <w:tc>
          <w:tcPr/>
          <w:p>
            <w:pPr>
              <w:pStyle w:val="Compact"/>
              <w:jc w:val="left"/>
            </w:pPr>
            <w:r>
              <w:t xml:space="preserve">Service mesh ingress</w:t>
            </w:r>
          </w:p>
        </w:tc>
        <w:tc>
          <w:tcPr/>
          <w:p>
            <w:pPr>
              <w:pStyle w:val="Compact"/>
            </w:pPr>
          </w:p>
        </w:tc>
        <w:tc>
          <w:tcPr/>
          <w:p>
            <w:pPr>
              <w:pStyle w:val="Compact"/>
            </w:pPr>
          </w:p>
        </w:tc>
        <w:tc>
          <w:tcPr/>
          <w:p>
            <w:pPr>
              <w:pStyle w:val="Compact"/>
            </w:pPr>
          </w:p>
        </w:tc>
      </w:tr>
      <w:tr>
        <w:tc>
          <w:tcPr/>
          <w:p>
            <w:pPr>
              <w:pStyle w:val="Compact"/>
              <w:jc w:val="left"/>
            </w:pPr>
            <w:r>
              <w:t xml:space="preserve">Application server TLS library</w:t>
            </w:r>
          </w:p>
        </w:tc>
        <w:tc>
          <w:tcPr/>
          <w:p>
            <w:pPr>
              <w:pStyle w:val="Compact"/>
            </w:pPr>
          </w:p>
        </w:tc>
        <w:tc>
          <w:tcPr/>
          <w:p>
            <w:pPr>
              <w:pStyle w:val="Compact"/>
            </w:pPr>
          </w:p>
        </w:tc>
        <w:tc>
          <w:tcPr/>
          <w:p>
            <w:pPr>
              <w:pStyle w:val="Compact"/>
            </w:pPr>
          </w:p>
        </w:tc>
      </w:tr>
    </w:tbl>
    <w:p>
      <w:pPr>
        <w:pStyle w:val="BodyText"/>
      </w:pPr>
      <w:r>
        <w:t xml:space="preserve">Test with</w:t>
      </w:r>
      <w:r>
        <w:t xml:space="preserve"> </w:t>
      </w:r>
      <w:r>
        <w:rPr>
          <w:bCs/>
          <w:b/>
        </w:rPr>
        <w:t xml:space="preserve">maximum-size certificate chains</w:t>
      </w:r>
      <w:r>
        <w:t xml:space="preserve"> </w:t>
      </w:r>
      <w:r>
        <w:t xml:space="preserve">planned for H2 — not current classical chains. ML-DSA certificates and hybrid key shares both increase message size.</w:t>
      </w:r>
    </w:p>
    <w:bookmarkEnd w:id="38"/>
    <w:bookmarkStart w:id="39" w:name="middlebox-remediation-options"/>
    <w:p>
      <w:pPr>
        <w:pStyle w:val="Heading3"/>
      </w:pPr>
      <w:r>
        <w:t xml:space="preserve">Middlebox remediation options</w:t>
      </w:r>
    </w:p>
    <w:tbl>
      <w:tblPr>
        <w:tblStyle w:val="Table"/>
        <w:tblW w:type="pct" w:w="5000"/>
        <w:tblLook w:firstRow="1" w:lastRow="0" w:firstColumn="0" w:lastColumn="0" w:noHBand="0" w:noVBand="0" w:val="0020"/>
        <w:jc w:val="start"/>
      </w:tblPr>
      <w:tblGrid>
        <w:gridCol w:w="1712"/>
        <w:gridCol w:w="3852"/>
        <w:gridCol w:w="2354"/>
      </w:tblGrid>
      <w:tr>
        <w:trPr>
          <w:tblHeader w:val="true"/>
        </w:trPr>
        <w:tc>
          <w:tcPr/>
          <w:p>
            <w:pPr>
              <w:pStyle w:val="Compact"/>
              <w:jc w:val="left"/>
            </w:pPr>
            <w:r>
              <w:t xml:space="preserve">Option</w:t>
            </w:r>
          </w:p>
        </w:tc>
        <w:tc>
          <w:tcPr/>
          <w:p>
            <w:pPr>
              <w:pStyle w:val="Compact"/>
              <w:jc w:val="left"/>
            </w:pPr>
            <w:r>
              <w:t xml:space="preserve">When appropriate</w:t>
            </w:r>
          </w:p>
        </w:tc>
        <w:tc>
          <w:tcPr/>
          <w:p>
            <w:pPr>
              <w:pStyle w:val="Compact"/>
              <w:jc w:val="left"/>
            </w:pPr>
            <w:r>
              <w:t xml:space="preserve">Trade-off</w:t>
            </w:r>
          </w:p>
        </w:tc>
      </w:tr>
      <w:tr>
        <w:tc>
          <w:tcPr/>
          <w:p>
            <w:pPr>
              <w:pStyle w:val="Compact"/>
              <w:jc w:val="left"/>
            </w:pPr>
            <w:r>
              <w:t xml:space="preserve">Firmware upgrade</w:t>
            </w:r>
          </w:p>
        </w:tc>
        <w:tc>
          <w:tcPr/>
          <w:p>
            <w:pPr>
              <w:pStyle w:val="Compact"/>
              <w:jc w:val="left"/>
            </w:pPr>
            <w:r>
              <w:t xml:space="preserve">Vendor patch available</w:t>
            </w:r>
          </w:p>
        </w:tc>
        <w:tc>
          <w:tcPr/>
          <w:p>
            <w:pPr>
              <w:pStyle w:val="Compact"/>
              <w:jc w:val="left"/>
            </w:pPr>
            <w:r>
              <w:t xml:space="preserve">Cost; change window</w:t>
            </w:r>
          </w:p>
        </w:tc>
      </w:tr>
      <w:tr>
        <w:tc>
          <w:tcPr/>
          <w:p>
            <w:pPr>
              <w:pStyle w:val="Compact"/>
              <w:jc w:val="left"/>
            </w:pPr>
            <w:r>
              <w:t xml:space="preserve">Bypass inspection for PQC path</w:t>
            </w:r>
          </w:p>
        </w:tc>
        <w:tc>
          <w:tcPr/>
          <w:p>
            <w:pPr>
              <w:pStyle w:val="Compact"/>
              <w:jc w:val="left"/>
            </w:pPr>
            <w:r>
              <w:t xml:space="preserve">Regulatory approval</w:t>
            </w:r>
          </w:p>
        </w:tc>
        <w:tc>
          <w:tcPr/>
          <w:p>
            <w:pPr>
              <w:pStyle w:val="Compact"/>
              <w:jc w:val="left"/>
            </w:pPr>
            <w:r>
              <w:t xml:space="preserve">Reduced visibility</w:t>
            </w:r>
          </w:p>
        </w:tc>
      </w:tr>
      <w:tr>
        <w:tc>
          <w:tcPr/>
          <w:p>
            <w:pPr>
              <w:pStyle w:val="Compact"/>
              <w:jc w:val="left"/>
            </w:pPr>
            <w:r>
              <w:t xml:space="preserve">Dedicated non-inspected VLAN for PQC tier</w:t>
            </w:r>
          </w:p>
        </w:tc>
        <w:tc>
          <w:tcPr/>
          <w:p>
            <w:pPr>
              <w:pStyle w:val="Compact"/>
              <w:jc w:val="left"/>
            </w:pPr>
            <w:r>
              <w:t xml:space="preserve">OT or high-security enclave</w:t>
            </w:r>
          </w:p>
        </w:tc>
        <w:tc>
          <w:tcPr/>
          <w:p>
            <w:pPr>
              <w:pStyle w:val="Compact"/>
              <w:jc w:val="left"/>
            </w:pPr>
            <w:r>
              <w:t xml:space="preserve">Segmentation complexity</w:t>
            </w:r>
          </w:p>
        </w:tc>
      </w:tr>
      <w:tr>
        <w:tc>
          <w:tcPr/>
          <w:p>
            <w:pPr>
              <w:pStyle w:val="Compact"/>
              <w:jc w:val="left"/>
            </w:pPr>
            <w:r>
              <w:t xml:space="preserve">Replace appliance</w:t>
            </w:r>
          </w:p>
        </w:tc>
        <w:tc>
          <w:tcPr/>
          <w:p>
            <w:pPr>
              <w:pStyle w:val="Compact"/>
              <w:jc w:val="left"/>
            </w:pPr>
            <w:r>
              <w:t xml:space="preserve">End-of-life product</w:t>
            </w:r>
          </w:p>
        </w:tc>
        <w:tc>
          <w:tcPr/>
          <w:p>
            <w:pPr>
              <w:pStyle w:val="Compact"/>
              <w:jc w:val="left"/>
            </w:pPr>
            <w:r>
              <w:t xml:space="preserve">Capital expenditure</w:t>
            </w:r>
          </w:p>
        </w:tc>
      </w:tr>
      <w:tr>
        <w:tc>
          <w:tcPr/>
          <w:p>
            <w:pPr>
              <w:pStyle w:val="Compact"/>
              <w:jc w:val="left"/>
            </w:pPr>
            <w:r>
              <w:t xml:space="preserve">Tier C endpoint outside inspection path</w:t>
            </w:r>
          </w:p>
        </w:tc>
        <w:tc>
          <w:tcPr/>
          <w:p>
            <w:pPr>
              <w:pStyle w:val="Compact"/>
              <w:jc w:val="left"/>
            </w:pPr>
            <w:r>
              <w:t xml:space="preserve">Fixed clients only</w:t>
            </w:r>
          </w:p>
        </w:tc>
        <w:tc>
          <w:tcPr/>
          <w:p>
            <w:pPr>
              <w:pStyle w:val="Compact"/>
              <w:jc w:val="left"/>
            </w:pPr>
            <w:r>
              <w:t xml:space="preserve">Split security posture</w:t>
            </w:r>
          </w:p>
        </w:tc>
      </w:tr>
    </w:tbl>
    <w:p>
      <w:pPr>
        <w:pStyle w:val="BodyText"/>
      </w:pPr>
      <w:r>
        <w:t xml:space="preserve">Northfield applied</w:t>
      </w:r>
      <w:r>
        <w:t xml:space="preserve"> </w:t>
      </w:r>
      <w:r>
        <w:rPr>
          <w:bCs/>
          <w:b/>
        </w:rPr>
        <w:t xml:space="preserve">bypass for OT historian VPN paths</w:t>
      </w:r>
      <w:r>
        <w:t xml:space="preserve"> </w:t>
      </w:r>
      <w:r>
        <w:t xml:space="preserve">where inspection appliances could not be upgraded within NERC CIP maintenance windows — documented as compensating control with enhanced endpoint monitoring.</w:t>
      </w:r>
    </w:p>
    <w:p>
      <w:r>
        <w:pict>
          <v:rect style="width:0;height:1.5pt" o:hralign="center" o:hrstd="t" o:hr="t"/>
        </w:pict>
      </w:r>
    </w:p>
    <w:bookmarkEnd w:id="39"/>
    <w:bookmarkEnd w:id="40"/>
    <w:bookmarkStart w:id="44" w:name="openssl-and-library-readiness"/>
    <w:p>
      <w:pPr>
        <w:pStyle w:val="Heading2"/>
      </w:pPr>
      <w:r>
        <w:t xml:space="preserve">12.6 OpenSSL and Library Readiness</w:t>
      </w:r>
    </w:p>
    <w:p>
      <w:pPr>
        <w:pStyle w:val="FirstParagraph"/>
      </w:pPr>
      <w:r>
        <w:t xml:space="preserve">Protocol transition at scale is a</w:t>
      </w:r>
      <w:r>
        <w:t xml:space="preserve"> </w:t>
      </w:r>
      <w:r>
        <w:rPr>
          <w:bCs/>
          <w:b/>
        </w:rPr>
        <w:t xml:space="preserve">library and platform contract</w:t>
      </w:r>
      <w:r>
        <w:t xml:space="preserve"> </w:t>
      </w:r>
      <w:r>
        <w:t xml:space="preserve">— not a configuration change on a single server. Chapter 10 mandated provider abstraction; this section addresses the</w:t>
      </w:r>
      <w:r>
        <w:t xml:space="preserve"> </w:t>
      </w:r>
      <w:r>
        <w:rPr>
          <w:bCs/>
          <w:b/>
        </w:rPr>
        <w:t xml:space="preserve">runtime versions</w:t>
      </w:r>
      <w:r>
        <w:t xml:space="preserve"> </w:t>
      </w:r>
      <w:r>
        <w:t xml:space="preserve">that protocols consume.</w:t>
      </w:r>
    </w:p>
    <w:bookmarkStart w:id="41" w:name="openssl-readiness-baseline"/>
    <w:p>
      <w:pPr>
        <w:pStyle w:val="Heading3"/>
      </w:pPr>
      <w:r>
        <w:t xml:space="preserve">OpenSSL readiness baseline</w:t>
      </w:r>
    </w:p>
    <w:p>
      <w:pPr>
        <w:pStyle w:val="FirstParagraph"/>
      </w:pPr>
      <w:r>
        <w:t xml:space="preserve">OpenSSL 3.x provider architecture is the de facto enterprise baseline for Linux workloads. Minimum readiness posture (illustrative — verify against organisational FIPS requirements):</w:t>
      </w:r>
    </w:p>
    <w:tbl>
      <w:tblPr>
        <w:tblStyle w:val="Table"/>
        <w:tblW w:type="pct" w:w="5000"/>
        <w:tblLook w:firstRow="1" w:lastRow="0" w:firstColumn="0" w:lastColumn="0" w:noHBand="0" w:noVBand="0" w:val="0020"/>
        <w:jc w:val="start"/>
      </w:tblPr>
      <w:tblGrid>
        <w:gridCol w:w="2022"/>
        <w:gridCol w:w="3201"/>
        <w:gridCol w:w="2696"/>
      </w:tblGrid>
      <w:tr>
        <w:trPr>
          <w:tblHeader w:val="true"/>
        </w:trPr>
        <w:tc>
          <w:tcPr/>
          <w:p>
            <w:pPr>
              <w:pStyle w:val="Compact"/>
              <w:jc w:val="left"/>
            </w:pPr>
            <w:r>
              <w:t xml:space="preserve">Capability</w:t>
            </w:r>
          </w:p>
        </w:tc>
        <w:tc>
          <w:tcPr/>
          <w:p>
            <w:pPr>
              <w:pStyle w:val="Compact"/>
              <w:jc w:val="left"/>
            </w:pPr>
            <w:r>
              <w:t xml:space="preserve">OpenSSL indicator</w:t>
            </w:r>
          </w:p>
        </w:tc>
        <w:tc>
          <w:tcPr/>
          <w:p>
            <w:pPr>
              <w:pStyle w:val="Compact"/>
              <w:jc w:val="left"/>
            </w:pPr>
            <w:r>
              <w:t xml:space="preserve">Programme note</w:t>
            </w:r>
          </w:p>
        </w:tc>
      </w:tr>
      <w:tr>
        <w:tc>
          <w:tcPr/>
          <w:p>
            <w:pPr>
              <w:pStyle w:val="Compact"/>
              <w:jc w:val="left"/>
            </w:pPr>
            <w:r>
              <w:t xml:space="preserve">ML-KEM (FIPS 203)</w:t>
            </w:r>
          </w:p>
        </w:tc>
        <w:tc>
          <w:tcPr/>
          <w:p>
            <w:pPr>
              <w:pStyle w:val="Compact"/>
              <w:jc w:val="left"/>
            </w:pPr>
            <w:r>
              <w:t xml:space="preserve">OpenSSL 3.5+ with default or FIPS provider</w:t>
            </w:r>
          </w:p>
        </w:tc>
        <w:tc>
          <w:tcPr/>
          <w:p>
            <w:pPr>
              <w:pStyle w:val="Compact"/>
              <w:jc w:val="left"/>
            </w:pPr>
            <w:r>
              <w:t xml:space="preserve">Validate FIPS module separately</w:t>
            </w:r>
          </w:p>
        </w:tc>
      </w:tr>
      <w:tr>
        <w:tc>
          <w:tcPr/>
          <w:p>
            <w:pPr>
              <w:pStyle w:val="Compact"/>
              <w:jc w:val="left"/>
            </w:pPr>
            <w:r>
              <w:t xml:space="preserve">ML-DSA (FIPS 204)</w:t>
            </w:r>
          </w:p>
        </w:tc>
        <w:tc>
          <w:tcPr/>
          <w:p>
            <w:pPr>
              <w:pStyle w:val="Compact"/>
              <w:jc w:val="left"/>
            </w:pPr>
            <w:r>
              <w:t xml:space="preserve">OpenSSL 3.5+</w:t>
            </w:r>
          </w:p>
        </w:tc>
        <w:tc>
          <w:tcPr/>
          <w:p>
            <w:pPr>
              <w:pStyle w:val="Compact"/>
              <w:jc w:val="left"/>
            </w:pPr>
            <w:r>
              <w:t xml:space="preserve">Certificate operations may lag KEM</w:t>
            </w:r>
          </w:p>
        </w:tc>
      </w:tr>
      <w:tr>
        <w:tc>
          <w:tcPr/>
          <w:p>
            <w:pPr>
              <w:pStyle w:val="Compact"/>
              <w:jc w:val="left"/>
            </w:pPr>
            <w:r>
              <w:t xml:space="preserve">Hybrid TLS groups</w:t>
            </w:r>
          </w:p>
        </w:tc>
        <w:tc>
          <w:tcPr/>
          <w:p>
            <w:pPr>
              <w:pStyle w:val="Compact"/>
              <w:jc w:val="left"/>
            </w:pPr>
            <w:r>
              <w:t xml:space="preserve">3.5+ with standards-track group support</w:t>
            </w:r>
          </w:p>
        </w:tc>
        <w:tc>
          <w:tcPr/>
          <w:p>
            <w:pPr>
              <w:pStyle w:val="Compact"/>
              <w:jc w:val="left"/>
            </w:pPr>
            <w:r>
              <w:t xml:space="preserve">Custom builds often miss provider</w:t>
            </w:r>
          </w:p>
        </w:tc>
      </w:tr>
      <w:tr>
        <w:tc>
          <w:tcPr/>
          <w:p>
            <w:pPr>
              <w:pStyle w:val="Compact"/>
              <w:jc w:val="left"/>
            </w:pPr>
            <w:r>
              <w:t xml:space="preserve">TLS 1.3</w:t>
            </w:r>
          </w:p>
        </w:tc>
        <w:tc>
          <w:tcPr/>
          <w:p>
            <w:pPr>
              <w:pStyle w:val="Compact"/>
              <w:jc w:val="left"/>
            </w:pPr>
            <w:r>
              <w:t xml:space="preserve">1.1.1+</w:t>
            </w:r>
          </w:p>
        </w:tc>
        <w:tc>
          <w:tcPr/>
          <w:p>
            <w:pPr>
              <w:pStyle w:val="Compact"/>
              <w:jc w:val="left"/>
            </w:pPr>
            <w:r>
              <w:t xml:space="preserve">Baseline before PQC</w:t>
            </w:r>
          </w:p>
        </w:tc>
      </w:tr>
      <w:tr>
        <w:tc>
          <w:tcPr/>
          <w:p>
            <w:pPr>
              <w:pStyle w:val="Compact"/>
              <w:jc w:val="left"/>
            </w:pPr>
            <w:r>
              <w:t xml:space="preserve">Legacy 1.0.2 / 1.1.0</w:t>
            </w:r>
          </w:p>
        </w:tc>
        <w:tc>
          <w:tcPr/>
          <w:p>
            <w:pPr>
              <w:pStyle w:val="Compact"/>
              <w:jc w:val="left"/>
            </w:pPr>
            <w:r>
              <w:t xml:space="preserve">End of life</w:t>
            </w:r>
          </w:p>
        </w:tc>
        <w:tc>
          <w:tcPr/>
          <w:p>
            <w:pPr>
              <w:pStyle w:val="Compact"/>
              <w:jc w:val="left"/>
            </w:pPr>
            <w:r>
              <w:t xml:space="preserve">Block new deployments</w:t>
            </w:r>
          </w:p>
        </w:tc>
      </w:tr>
    </w:tbl>
    <w:p/>
    <w:tbl>
      <w:tblPr>
        <w:tblStyle w:val="Table"/>
        <w:tblW w:type="pct" w:w="5000"/>
        <w:tblLook w:firstRow="1" w:lastRow="0" w:firstColumn="0" w:lastColumn="0" w:noHBand="0" w:noVBand="0" w:val="0020"/>
        <w:jc w:val="start"/>
      </w:tblPr>
      <w:tblGrid>
        <w:gridCol w:w="4264"/>
        <w:gridCol w:w="1218"/>
        <w:gridCol w:w="2436"/>
      </w:tblGrid>
      <w:tr>
        <w:trPr>
          <w:tblHeader w:val="true"/>
        </w:trPr>
        <w:tc>
          <w:tcPr/>
          <w:p>
            <w:pPr>
              <w:pStyle w:val="Compact"/>
              <w:jc w:val="left"/>
            </w:pPr>
            <w:r>
              <w:t xml:space="preserve">Distribution pattern</w:t>
            </w:r>
          </w:p>
        </w:tc>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Vendor appliance embedded OpenSSL</w:t>
            </w:r>
          </w:p>
        </w:tc>
        <w:tc>
          <w:tcPr/>
          <w:p>
            <w:pPr>
              <w:pStyle w:val="Compact"/>
              <w:jc w:val="left"/>
            </w:pPr>
            <w:r>
              <w:t xml:space="preserve">Version frozen until firmware upgrade</w:t>
            </w:r>
          </w:p>
        </w:tc>
        <w:tc>
          <w:tcPr/>
          <w:p>
            <w:pPr>
              <w:pStyle w:val="Compact"/>
              <w:jc w:val="left"/>
            </w:pPr>
            <w:r>
              <w:t xml:space="preserve">CDG</w:t>
            </w:r>
            <w:r>
              <w:t xml:space="preserve"> </w:t>
            </w:r>
            <w:r>
              <w:rPr>
                <w:rStyle w:val="VerbatimChar"/>
              </w:rPr>
              <w:t xml:space="preserve">vendor_pq_ga_date</w:t>
            </w:r>
            <w:r>
              <w:t xml:space="preserve"> </w:t>
            </w:r>
            <w:r>
              <w:t xml:space="preserve">attribute</w:t>
            </w:r>
          </w:p>
        </w:tc>
      </w:tr>
      <w:tr>
        <w:tc>
          <w:tcPr/>
          <w:p>
            <w:pPr>
              <w:pStyle w:val="Compact"/>
              <w:jc w:val="left"/>
            </w:pPr>
            <w:r>
              <w:t xml:space="preserve">Container golden images</w:t>
            </w:r>
          </w:p>
        </w:tc>
        <w:tc>
          <w:tcPr/>
          <w:p>
            <w:pPr>
              <w:pStyle w:val="Compact"/>
              <w:jc w:val="left"/>
            </w:pPr>
            <w:r>
              <w:t xml:space="preserve">Stale at deploy time</w:t>
            </w:r>
          </w:p>
        </w:tc>
        <w:tc>
          <w:tcPr/>
          <w:p>
            <w:pPr>
              <w:pStyle w:val="Compact"/>
              <w:jc w:val="left"/>
            </w:pPr>
            <w:r>
              <w:t xml:space="preserve">CI gate on minimum image digest</w:t>
            </w:r>
          </w:p>
        </w:tc>
      </w:tr>
      <w:tr>
        <w:tc>
          <w:tcPr/>
          <w:p>
            <w:pPr>
              <w:pStyle w:val="Compact"/>
              <w:jc w:val="left"/>
            </w:pPr>
            <w:r>
              <w:t xml:space="preserve">Language bindings (Node, Python, Ruby)</w:t>
            </w:r>
          </w:p>
        </w:tc>
        <w:tc>
          <w:tcPr/>
          <w:p>
            <w:pPr>
              <w:pStyle w:val="Compact"/>
              <w:jc w:val="left"/>
            </w:pPr>
            <w:r>
              <w:t xml:space="preserve">Binding lags OpenSSL core</w:t>
            </w:r>
          </w:p>
        </w:tc>
        <w:tc>
          <w:tcPr/>
          <w:p>
            <w:pPr>
              <w:pStyle w:val="Compact"/>
              <w:jc w:val="left"/>
            </w:pPr>
            <w:r>
              <w:t xml:space="preserve">Binding version in CBOM</w:t>
            </w:r>
            <w:r>
              <w:t xml:space="preserve"> </w:t>
            </w:r>
            <w:r>
              <w:rPr>
                <w:rStyle w:val="VerbatimChar"/>
              </w:rPr>
              <w:t xml:space="preserve">implements</w:t>
            </w:r>
            <w:r>
              <w:t xml:space="preserve"> </w:t>
            </w:r>
            <w:r>
              <w:t xml:space="preserve">edge</w:t>
            </w:r>
          </w:p>
        </w:tc>
      </w:tr>
      <w:tr>
        <w:tc>
          <w:tcPr/>
          <w:p>
            <w:pPr>
              <w:pStyle w:val="Compact"/>
              <w:jc w:val="left"/>
            </w:pPr>
            <w:r>
              <w:t xml:space="preserve">Hardware TLS offload</w:t>
            </w:r>
          </w:p>
        </w:tc>
        <w:tc>
          <w:tcPr/>
          <w:p>
            <w:pPr>
              <w:pStyle w:val="Compact"/>
              <w:jc w:val="left"/>
            </w:pPr>
            <w:r>
              <w:t xml:space="preserve">Separate firmware track</w:t>
            </w:r>
          </w:p>
        </w:tc>
        <w:tc>
          <w:tcPr/>
          <w:p>
            <w:pPr>
              <w:pStyle w:val="Compact"/>
              <w:jc w:val="left"/>
            </w:pPr>
            <w:r>
              <w:t xml:space="preserve">Lab test on exact ASIC revision</w:t>
            </w:r>
          </w:p>
        </w:tc>
      </w:tr>
    </w:tbl>
    <w:p>
      <w:pPr>
        <w:pStyle w:val="BodyText"/>
      </w:pPr>
      <w:r>
        <w:t xml:space="preserve">GlobalSync embedded</w:t>
      </w:r>
      <w:r>
        <w:t xml:space="preserve"> </w:t>
      </w:r>
      <w:r>
        <w:rPr>
          <w:bCs/>
          <w:b/>
        </w:rPr>
        <w:t xml:space="preserve">minimum library versions</w:t>
      </w:r>
      <w:r>
        <w:t xml:space="preserve"> </w:t>
      </w:r>
      <w:r>
        <w:t xml:space="preserve">in platform engineering standards — microservices could not deploy until mesh ingress validated hybrid negotiation on the target image baseline (Chapter 10 case study). Marcus Chen treated library version as</w:t>
      </w:r>
      <w:r>
        <w:t xml:space="preserve"> </w:t>
      </w:r>
      <w:r>
        <w:rPr>
          <w:bCs/>
          <w:b/>
        </w:rPr>
        <w:t xml:space="preserve">Wave 0 infrastructure</w:t>
      </w:r>
      <w:r>
        <w:t xml:space="preserve">.</w:t>
      </w:r>
    </w:p>
    <w:bookmarkEnd w:id="41"/>
    <w:bookmarkStart w:id="42" w:name="multi-library-estates"/>
    <w:p>
      <w:pPr>
        <w:pStyle w:val="Heading3"/>
      </w:pPr>
      <w:r>
        <w:t xml:space="preserve">Multi-library estates</w:t>
      </w:r>
    </w:p>
    <w:p>
      <w:pPr>
        <w:pStyle w:val="FirstParagraph"/>
      </w:pPr>
      <w:r>
        <w:t xml:space="preserve">Enterprises rarely standardise on OpenSSL alone:</w:t>
      </w:r>
    </w:p>
    <w:tbl>
      <w:tblPr>
        <w:tblStyle w:val="Table"/>
        <w:tblW w:type="pct" w:w="5000"/>
        <w:tblLook w:firstRow="1" w:lastRow="0" w:firstColumn="0" w:lastColumn="0" w:noHBand="0" w:noVBand="0" w:val="0020"/>
        <w:jc w:val="start"/>
      </w:tblPr>
      <w:tblGrid>
        <w:gridCol w:w="2362"/>
        <w:gridCol w:w="2640"/>
        <w:gridCol w:w="2917"/>
      </w:tblGrid>
      <w:tr>
        <w:trPr>
          <w:tblHeader w:val="true"/>
        </w:trPr>
        <w:tc>
          <w:tcPr/>
          <w:p>
            <w:pPr>
              <w:pStyle w:val="Compact"/>
              <w:jc w:val="left"/>
            </w:pPr>
            <w:r>
              <w:t xml:space="preserve">Library / stack</w:t>
            </w:r>
          </w:p>
        </w:tc>
        <w:tc>
          <w:tcPr/>
          <w:p>
            <w:pPr>
              <w:pStyle w:val="Compact"/>
              <w:jc w:val="left"/>
            </w:pPr>
            <w:r>
              <w:t xml:space="preserve">Typical deployment</w:t>
            </w:r>
          </w:p>
        </w:tc>
        <w:tc>
          <w:tcPr/>
          <w:p>
            <w:pPr>
              <w:pStyle w:val="Compact"/>
              <w:jc w:val="left"/>
            </w:pPr>
            <w:r>
              <w:t xml:space="preserve">PQC transition note</w:t>
            </w:r>
          </w:p>
        </w:tc>
      </w:tr>
      <w:tr>
        <w:tc>
          <w:tcPr/>
          <w:p>
            <w:pPr>
              <w:pStyle w:val="Compact"/>
              <w:jc w:val="left"/>
            </w:pPr>
            <w:r>
              <w:rPr>
                <w:bCs/>
                <w:b/>
              </w:rPr>
              <w:t xml:space="preserve">BoringSSL / Chromium</w:t>
            </w:r>
          </w:p>
        </w:tc>
        <w:tc>
          <w:tcPr/>
          <w:p>
            <w:pPr>
              <w:pStyle w:val="Compact"/>
              <w:jc w:val="left"/>
            </w:pPr>
            <w:r>
              <w:t xml:space="preserve">Custom clients, Android apps</w:t>
            </w:r>
          </w:p>
        </w:tc>
        <w:tc>
          <w:tcPr/>
          <w:p>
            <w:pPr>
              <w:pStyle w:val="Compact"/>
              <w:jc w:val="left"/>
            </w:pPr>
            <w:r>
              <w:t xml:space="preserve">Follows Chrome release cadence</w:t>
            </w:r>
          </w:p>
        </w:tc>
      </w:tr>
      <w:tr>
        <w:tc>
          <w:tcPr/>
          <w:p>
            <w:pPr>
              <w:pStyle w:val="Compact"/>
              <w:jc w:val="left"/>
            </w:pPr>
            <w:r>
              <w:rPr>
                <w:bCs/>
                <w:b/>
              </w:rPr>
              <w:t xml:space="preserve">SChannel</w:t>
            </w:r>
            <w:r>
              <w:t xml:space="preserve"> </w:t>
            </w:r>
            <w:r>
              <w:t xml:space="preserve">(Windows)</w:t>
            </w:r>
          </w:p>
        </w:tc>
        <w:tc>
          <w:tcPr/>
          <w:p>
            <w:pPr>
              <w:pStyle w:val="Compact"/>
              <w:jc w:val="left"/>
            </w:pPr>
            <w:r>
              <w:t xml:space="preserve">.NET, IIS</w:t>
            </w:r>
          </w:p>
        </w:tc>
        <w:tc>
          <w:tcPr/>
          <w:p>
            <w:pPr>
              <w:pStyle w:val="Compact"/>
              <w:jc w:val="left"/>
            </w:pPr>
            <w:r>
              <w:t xml:space="preserve">OS build determines capability</w:t>
            </w:r>
          </w:p>
        </w:tc>
      </w:tr>
      <w:tr>
        <w:tc>
          <w:tcPr/>
          <w:p>
            <w:pPr>
              <w:pStyle w:val="Compact"/>
              <w:jc w:val="left"/>
            </w:pPr>
            <w:r>
              <w:rPr>
                <w:bCs/>
                <w:b/>
              </w:rPr>
              <w:t xml:space="preserve">Java SunJSSE</w:t>
            </w:r>
          </w:p>
        </w:tc>
        <w:tc>
          <w:tcPr/>
          <w:p>
            <w:pPr>
              <w:pStyle w:val="Compact"/>
              <w:jc w:val="left"/>
            </w:pPr>
            <w:r>
              <w:t xml:space="preserve">Enterprise Java</w:t>
            </w:r>
          </w:p>
        </w:tc>
        <w:tc>
          <w:tcPr/>
          <w:p>
            <w:pPr>
              <w:pStyle w:val="Compact"/>
              <w:jc w:val="left"/>
            </w:pPr>
            <w:r>
              <w:t xml:space="preserve">JVM version and policy files</w:t>
            </w:r>
          </w:p>
        </w:tc>
      </w:tr>
      <w:tr>
        <w:tc>
          <w:tcPr/>
          <w:p>
            <w:pPr>
              <w:pStyle w:val="Compact"/>
              <w:jc w:val="left"/>
            </w:pPr>
            <w:r>
              <w:rPr>
                <w:bCs/>
                <w:b/>
              </w:rPr>
              <w:t xml:space="preserve">Go crypto/tls</w:t>
            </w:r>
          </w:p>
        </w:tc>
        <w:tc>
          <w:tcPr/>
          <w:p>
            <w:pPr>
              <w:pStyle w:val="Compact"/>
              <w:jc w:val="left"/>
            </w:pPr>
            <w:r>
              <w:t xml:space="preserve">Cloud-native services</w:t>
            </w:r>
          </w:p>
        </w:tc>
        <w:tc>
          <w:tcPr/>
          <w:p>
            <w:pPr>
              <w:pStyle w:val="Compact"/>
              <w:jc w:val="left"/>
            </w:pPr>
            <w:r>
              <w:t xml:space="preserve">Go release notes per version</w:t>
            </w:r>
          </w:p>
        </w:tc>
      </w:tr>
      <w:tr>
        <w:tc>
          <w:tcPr/>
          <w:p>
            <w:pPr>
              <w:pStyle w:val="Compact"/>
              <w:jc w:val="left"/>
            </w:pPr>
            <w:r>
              <w:rPr>
                <w:bCs/>
                <w:b/>
              </w:rPr>
              <w:t xml:space="preserve">Rust rustls</w:t>
            </w:r>
          </w:p>
        </w:tc>
        <w:tc>
          <w:tcPr/>
          <w:p>
            <w:pPr>
              <w:pStyle w:val="Compact"/>
              <w:jc w:val="left"/>
            </w:pPr>
            <w:r>
              <w:t xml:space="preserve">Modern microservices</w:t>
            </w:r>
          </w:p>
        </w:tc>
        <w:tc>
          <w:tcPr/>
          <w:p>
            <w:pPr>
              <w:pStyle w:val="Compact"/>
              <w:jc w:val="left"/>
            </w:pPr>
            <w:r>
              <w:t xml:space="preserve">Feature flags per release</w:t>
            </w:r>
          </w:p>
        </w:tc>
      </w:tr>
      <w:tr>
        <w:tc>
          <w:tcPr/>
          <w:p>
            <w:pPr>
              <w:pStyle w:val="Compact"/>
              <w:jc w:val="left"/>
            </w:pPr>
            <w:r>
              <w:rPr>
                <w:bCs/>
                <w:b/>
              </w:rPr>
              <w:t xml:space="preserve">WolfSSL / mbedTLS</w:t>
            </w:r>
          </w:p>
        </w:tc>
        <w:tc>
          <w:tcPr/>
          <w:p>
            <w:pPr>
              <w:pStyle w:val="Compact"/>
              <w:jc w:val="left"/>
            </w:pPr>
            <w:r>
              <w:t xml:space="preserve">Embedded, IoT</w:t>
            </w:r>
          </w:p>
        </w:tc>
        <w:tc>
          <w:tcPr/>
          <w:p>
            <w:pPr>
              <w:pStyle w:val="Compact"/>
              <w:jc w:val="left"/>
            </w:pPr>
            <w:r>
              <w:t xml:space="preserve">Vendor roadmap critical</w:t>
            </w:r>
          </w:p>
        </w:tc>
      </w:tr>
    </w:tbl>
    <w:p>
      <w:pPr>
        <w:pStyle w:val="BodyText"/>
      </w:pPr>
      <w:r>
        <w:t xml:space="preserve">CBOM must capture</w:t>
      </w:r>
      <w:r>
        <w:t xml:space="preserve"> </w:t>
      </w:r>
      <w:r>
        <w:rPr>
          <w:bCs/>
          <w:b/>
        </w:rPr>
        <w:t xml:space="preserve">per-component library identity</w:t>
      </w:r>
      <w:r>
        <w:t xml:space="preserve"> </w:t>
      </w:r>
      <w:r>
        <w:t xml:space="preserve">— a hybrid-ready API gateway with embedded Java trust stores may fail on client certificate verification even when edge TLS succeeds.</w:t>
      </w:r>
    </w:p>
    <w:bookmarkEnd w:id="42"/>
    <w:bookmarkStart w:id="43" w:name="fips-mode-interaction"/>
    <w:p>
      <w:pPr>
        <w:pStyle w:val="Heading3"/>
      </w:pPr>
      <w:r>
        <w:t xml:space="preserve">FIPS mode interaction</w:t>
      </w:r>
    </w:p>
    <w:p>
      <w:pPr>
        <w:pStyle w:val="FirstParagraph"/>
      </w:pPr>
      <w:r>
        <w:t xml:space="preserve">Regulated environments requiring FIPS 140-validated modules face</w:t>
      </w:r>
      <w:r>
        <w:t xml:space="preserve"> </w:t>
      </w:r>
      <w:r>
        <w:rPr>
          <w:bCs/>
          <w:b/>
        </w:rPr>
        <w:t xml:space="preserve">additional gating</w:t>
      </w:r>
      <w:r>
        <w:t xml:space="preserve">:</w:t>
      </w:r>
    </w:p>
    <w:p>
      <w:pPr>
        <w:numPr>
          <w:ilvl w:val="0"/>
          <w:numId w:val="1004"/>
        </w:numPr>
        <w:pStyle w:val="Compact"/>
      </w:pPr>
      <w:r>
        <w:t xml:space="preserve">Algorithm availability in validated module may lag community OpenSSL</w:t>
      </w:r>
    </w:p>
    <w:p>
      <w:pPr>
        <w:numPr>
          <w:ilvl w:val="0"/>
          <w:numId w:val="1004"/>
        </w:numPr>
        <w:pStyle w:val="Compact"/>
      </w:pPr>
      <w:r>
        <w:t xml:space="preserve">Hybrid constructions require explicit validation boundary analysis — which operations occur inside the cryptographic module boundary</w:t>
      </w:r>
    </w:p>
    <w:p>
      <w:pPr>
        <w:numPr>
          <w:ilvl w:val="0"/>
          <w:numId w:val="1004"/>
        </w:numPr>
        <w:pStyle w:val="Compact"/>
      </w:pPr>
      <w:r>
        <w:t xml:space="preserve">HSM-attached TLS termination shifts validation to HSM firmware (Chapter 14)</w:t>
      </w:r>
    </w:p>
    <w:p>
      <w:pPr>
        <w:pStyle w:val="FirstParagraph"/>
      </w:pPr>
      <w:r>
        <w:t xml:space="preserve">Meridian’s payment-adjacent services could not enable hybrid groups until the payment HSM vendor’s validated module release supported ML-KEM — a CDG blocking node independent of general-purpose OpenSSL readiness.</w:t>
      </w:r>
    </w:p>
    <w:p>
      <w:pPr>
        <w:pStyle w:val="BlockText"/>
      </w:pPr>
      <w:r>
        <w:rPr>
          <w:bCs/>
          <w:b/>
        </w:rPr>
        <w:t xml:space="preserve">Dependency Alert</w:t>
      </w:r>
    </w:p>
    <w:p>
      <w:pPr>
        <w:pStyle w:val="BlockText"/>
      </w:pPr>
      <w:r>
        <w:rPr>
          <w:bCs/>
          <w:b/>
        </w:rPr>
        <w:t xml:space="preserve">Language binding version is a hidden blocking node.</w:t>
      </w:r>
      <w:r>
        <w:t xml:space="preserve"> </w:t>
      </w:r>
      <w:r>
        <w:t xml:space="preserve">GlobalSync discovered three Node.js services failed hybrid negotiation despite cluster ingress success —</w:t>
      </w:r>
      <w:r>
        <w:t xml:space="preserve"> </w:t>
      </w:r>
      <w:r>
        <w:rPr>
          <w:rStyle w:val="VerbatimChar"/>
        </w:rPr>
        <w:t xml:space="preserve">node-openssl</w:t>
      </w:r>
      <w:r>
        <w:t xml:space="preserve"> </w:t>
      </w:r>
      <w:r>
        <w:t xml:space="preserve">binding compiled against OpenSSL 3.2, not the platform’s 3.5 image. CBOM</w:t>
      </w:r>
      <w:r>
        <w:t xml:space="preserve"> </w:t>
      </w:r>
      <w:r>
        <w:rPr>
          <w:rStyle w:val="VerbatimChar"/>
        </w:rPr>
        <w:t xml:space="preserve">implements</w:t>
      </w:r>
      <w:r>
        <w:t xml:space="preserve"> </w:t>
      </w:r>
      <w:r>
        <w:t xml:space="preserve">edges must reach the</w:t>
      </w:r>
      <w:r>
        <w:t xml:space="preserve"> </w:t>
      </w:r>
      <w:r>
        <w:rPr>
          <w:bCs/>
          <w:b/>
        </w:rPr>
        <w:t xml:space="preserve">effective</w:t>
      </w:r>
      <w:r>
        <w:t xml:space="preserve"> </w:t>
      </w:r>
      <w:r>
        <w:t xml:space="preserve">cryptographic library, not the container base image label.</w:t>
      </w:r>
    </w:p>
    <w:p>
      <w:r>
        <w:pict>
          <v:rect style="width:0;height:1.5pt" o:hralign="center" o:hrstd="t" o:hr="t"/>
        </w:pict>
      </w:r>
    </w:p>
    <w:bookmarkEnd w:id="43"/>
    <w:bookmarkEnd w:id="44"/>
    <w:bookmarkStart w:id="51" w:name="ipsec-and-ikev2-hybrid-transition"/>
    <w:p>
      <w:pPr>
        <w:pStyle w:val="Heading2"/>
      </w:pPr>
      <w:r>
        <w:t xml:space="preserve">12.7 IPsec and IKEv2 Hybrid Transition</w:t>
      </w:r>
    </w:p>
    <w:p>
      <w:pPr>
        <w:pStyle w:val="FirstParagraph"/>
      </w:pPr>
      <w:r>
        <w:t xml:space="preserve">IPsec/IKEv2 carries WAN, site-to-site, and remote-access traffic in enterprises and critical infrastructure — with constraints</w:t>
      </w:r>
      <w:r>
        <w:t xml:space="preserve"> </w:t>
      </w:r>
      <w:r>
        <w:rPr>
          <w:bCs/>
          <w:b/>
        </w:rPr>
        <w:t xml:space="preserve">materially different from TLS</w:t>
      </w:r>
      <w:r>
        <w:t xml:space="preserve">. Chapter 11 introduced IKE hybrid patterns; this section develops the</w:t>
      </w:r>
      <w:r>
        <w:t xml:space="preserve"> </w:t>
      </w:r>
      <w:r>
        <w:rPr>
          <w:bCs/>
          <w:b/>
        </w:rPr>
        <w:t xml:space="preserve">protocol transition playbook</w:t>
      </w:r>
      <w:r>
        <w:t xml:space="preserve"> </w:t>
      </w:r>
      <w:r>
        <w:t xml:space="preserve">Northfield executed (and where it stalled).</w:t>
      </w:r>
    </w:p>
    <w:bookmarkStart w:id="45" w:name="why-ipsec-differs-from-tls"/>
    <w:p>
      <w:pPr>
        <w:pStyle w:val="Heading3"/>
      </w:pPr>
      <w:r>
        <w:t xml:space="preserve">Why IPsec differs from TLS</w:t>
      </w:r>
    </w:p>
    <w:p>
      <w:pPr>
        <w:pStyle w:val="FirstParagraph"/>
      </w:pPr>
      <w:r>
        <w:rPr>
          <w:bCs/>
          <w:b/>
        </w:rPr>
        <w:t xml:space="preserve">Table 12.3 — IPsec/IKEv2 vs TLS Transition Factors</w:t>
      </w:r>
    </w:p>
    <w:tbl>
      <w:tblPr>
        <w:tblStyle w:val="Table"/>
        <w:tblW w:type="pct" w:w="5000"/>
        <w:tblLook w:firstRow="1" w:lastRow="0" w:firstColumn="0" w:lastColumn="0" w:noHBand="0" w:noVBand="0" w:val="0020"/>
        <w:jc w:val="start"/>
      </w:tblPr>
      <w:tblGrid>
        <w:gridCol w:w="1760"/>
        <w:gridCol w:w="2860"/>
        <w:gridCol w:w="3300"/>
      </w:tblGrid>
      <w:tr>
        <w:trPr>
          <w:tblHeader w:val="true"/>
        </w:trPr>
        <w:tc>
          <w:tcPr/>
          <w:p>
            <w:pPr>
              <w:pStyle w:val="Compact"/>
              <w:jc w:val="left"/>
            </w:pPr>
            <w:r>
              <w:t xml:space="preserve">Factor</w:t>
            </w:r>
          </w:p>
        </w:tc>
        <w:tc>
          <w:tcPr/>
          <w:p>
            <w:pPr>
              <w:pStyle w:val="Compact"/>
              <w:jc w:val="left"/>
            </w:pPr>
            <w:r>
              <w:t xml:space="preserve">TLS (HTTPS)</w:t>
            </w:r>
          </w:p>
        </w:tc>
        <w:tc>
          <w:tcPr/>
          <w:p>
            <w:pPr>
              <w:pStyle w:val="Compact"/>
              <w:jc w:val="left"/>
            </w:pPr>
            <w:r>
              <w:t xml:space="preserve">IPsec/IKEv2</w:t>
            </w:r>
          </w:p>
        </w:tc>
      </w:tr>
      <w:tr>
        <w:tc>
          <w:tcPr/>
          <w:p>
            <w:pPr>
              <w:pStyle w:val="Compact"/>
              <w:jc w:val="left"/>
            </w:pPr>
            <w:r>
              <w:t xml:space="preserve">Client diversity</w:t>
            </w:r>
          </w:p>
        </w:tc>
        <w:tc>
          <w:tcPr/>
          <w:p>
            <w:pPr>
              <w:pStyle w:val="Compact"/>
              <w:jc w:val="left"/>
            </w:pPr>
            <w:r>
              <w:t xml:space="preserve">Broad public internet</w:t>
            </w:r>
          </w:p>
        </w:tc>
        <w:tc>
          <w:tcPr/>
          <w:p>
            <w:pPr>
              <w:pStyle w:val="Compact"/>
              <w:jc w:val="left"/>
            </w:pPr>
            <w:r>
              <w:t xml:space="preserve">Often fixed CPE / concentrator pairs</w:t>
            </w:r>
          </w:p>
        </w:tc>
      </w:tr>
      <w:tr>
        <w:tc>
          <w:tcPr/>
          <w:p>
            <w:pPr>
              <w:pStyle w:val="Compact"/>
              <w:jc w:val="left"/>
            </w:pPr>
            <w:r>
              <w:t xml:space="preserve">Message size pressure</w:t>
            </w:r>
          </w:p>
        </w:tc>
        <w:tc>
          <w:tcPr/>
          <w:p>
            <w:pPr>
              <w:pStyle w:val="Compact"/>
              <w:jc w:val="left"/>
            </w:pPr>
            <w:r>
              <w:t xml:space="preserve">ClientHello extension growth</w:t>
            </w:r>
          </w:p>
        </w:tc>
        <w:tc>
          <w:tcPr/>
          <w:p>
            <w:pPr>
              <w:pStyle w:val="Compact"/>
              <w:jc w:val="left"/>
            </w:pPr>
            <w:r>
              <w:t xml:space="preserve">IKE_SA_INIT fragmentation on UDP 500/4500</w:t>
            </w:r>
          </w:p>
        </w:tc>
      </w:tr>
      <w:tr>
        <w:tc>
          <w:tcPr/>
          <w:p>
            <w:pPr>
              <w:pStyle w:val="Compact"/>
              <w:jc w:val="left"/>
            </w:pPr>
            <w:r>
              <w:t xml:space="preserve">Rekey behaviour</w:t>
            </w:r>
          </w:p>
        </w:tc>
        <w:tc>
          <w:tcPr/>
          <w:p>
            <w:pPr>
              <w:pStyle w:val="Compact"/>
              <w:jc w:val="left"/>
            </w:pPr>
            <w:r>
              <w:t xml:space="preserve">Session resumption</w:t>
            </w:r>
          </w:p>
        </w:tc>
        <w:tc>
          <w:tcPr/>
          <w:p>
            <w:pPr>
              <w:pStyle w:val="Compact"/>
              <w:jc w:val="left"/>
            </w:pPr>
            <w:r>
              <w:t xml:space="preserve">Periodic IKE rekeys — CPU and historian timing</w:t>
            </w:r>
          </w:p>
        </w:tc>
      </w:tr>
      <w:tr>
        <w:tc>
          <w:tcPr/>
          <w:p>
            <w:pPr>
              <w:pStyle w:val="Compact"/>
              <w:jc w:val="left"/>
            </w:pPr>
            <w:r>
              <w:t xml:space="preserve">Firmware coupling</w:t>
            </w:r>
          </w:p>
        </w:tc>
        <w:tc>
          <w:tcPr/>
          <w:p>
            <w:pPr>
              <w:pStyle w:val="Compact"/>
              <w:jc w:val="left"/>
            </w:pPr>
            <w:r>
              <w:t xml:space="preserve">Application updates</w:t>
            </w:r>
          </w:p>
        </w:tc>
        <w:tc>
          <w:tcPr/>
          <w:p>
            <w:pPr>
              <w:pStyle w:val="Compact"/>
              <w:jc w:val="left"/>
            </w:pPr>
            <w:r>
              <w:t xml:space="preserve">CPE firmware may lag years</w:t>
            </w:r>
          </w:p>
        </w:tc>
      </w:tr>
      <w:tr>
        <w:tc>
          <w:tcPr/>
          <w:p>
            <w:pPr>
              <w:pStyle w:val="Compact"/>
              <w:jc w:val="left"/>
            </w:pPr>
            <w:r>
              <w:t xml:space="preserve">Inspection</w:t>
            </w:r>
          </w:p>
        </w:tc>
        <w:tc>
          <w:tcPr/>
          <w:p>
            <w:pPr>
              <w:pStyle w:val="Compact"/>
              <w:jc w:val="left"/>
            </w:pPr>
            <w:r>
              <w:t xml:space="preserve">Common SSL proxies</w:t>
            </w:r>
          </w:p>
        </w:tc>
        <w:tc>
          <w:tcPr/>
          <w:p>
            <w:pPr>
              <w:pStyle w:val="Compact"/>
              <w:jc w:val="left"/>
            </w:pPr>
            <w:r>
              <w:t xml:space="preserve">Rare inline inspection; MTU dominates</w:t>
            </w:r>
          </w:p>
        </w:tc>
      </w:tr>
      <w:tr>
        <w:tc>
          <w:tcPr/>
          <w:p>
            <w:pPr>
              <w:pStyle w:val="Compact"/>
              <w:jc w:val="left"/>
            </w:pPr>
            <w:r>
              <w:t xml:space="preserve">Identity binding</w:t>
            </w:r>
          </w:p>
        </w:tc>
        <w:tc>
          <w:tcPr/>
          <w:p>
            <w:pPr>
              <w:pStyle w:val="Compact"/>
              <w:jc w:val="left"/>
            </w:pPr>
            <w:r>
              <w:t xml:space="preserve">X.509 in TLS handshake</w:t>
            </w:r>
          </w:p>
        </w:tc>
        <w:tc>
          <w:tcPr/>
          <w:p>
            <w:pPr>
              <w:pStyle w:val="Compact"/>
              <w:jc w:val="left"/>
            </w:pPr>
            <w:r>
              <w:t xml:space="preserve">IKE CERT payloads; pre-shared key legacy</w:t>
            </w:r>
          </w:p>
        </w:tc>
      </w:tr>
      <w:tr>
        <w:tc>
          <w:tcPr/>
          <w:p>
            <w:pPr>
              <w:pStyle w:val="Compact"/>
              <w:jc w:val="left"/>
            </w:pPr>
            <w:r>
              <w:t xml:space="preserve">OT sensitivity</w:t>
            </w:r>
          </w:p>
        </w:tc>
        <w:tc>
          <w:tcPr/>
          <w:p>
            <w:pPr>
              <w:pStyle w:val="Compact"/>
              <w:jc w:val="left"/>
            </w:pPr>
            <w:r>
              <w:t xml:space="preserve">Lower in API contexts</w:t>
            </w:r>
          </w:p>
        </w:tc>
        <w:tc>
          <w:tcPr/>
          <w:p>
            <w:pPr>
              <w:pStyle w:val="Compact"/>
              <w:jc w:val="left"/>
            </w:pPr>
            <w:r>
              <w:t xml:space="preserve">Historian gap intolerance</w:t>
            </w:r>
          </w:p>
        </w:tc>
      </w:tr>
    </w:tbl>
    <w:bookmarkEnd w:id="45"/>
    <w:bookmarkStart w:id="46" w:name="ike-hybrid-h1-construction"/>
    <w:p>
      <w:pPr>
        <w:pStyle w:val="Heading3"/>
      </w:pPr>
      <w:r>
        <w:t xml:space="preserve">IKE hybrid H1 construction</w:t>
      </w:r>
    </w:p>
    <w:p>
      <w:pPr>
        <w:pStyle w:val="FirstParagraph"/>
      </w:pPr>
      <w:r>
        <w:t xml:space="preserve">Enterprise WAN H1 typically deploys:</w:t>
      </w:r>
    </w:p>
    <w:p>
      <w:pPr>
        <w:numPr>
          <w:ilvl w:val="0"/>
          <w:numId w:val="1005"/>
        </w:numPr>
        <w:pStyle w:val="Compact"/>
      </w:pPr>
      <w:r>
        <w:rPr>
          <w:bCs/>
          <w:b/>
        </w:rPr>
        <w:t xml:space="preserve">Classical component:</w:t>
      </w:r>
      <w:r>
        <w:t xml:space="preserve"> </w:t>
      </w:r>
      <w:r>
        <w:t xml:space="preserve">ECDH (P-256 or Curve25519 per vendor profile)</w:t>
      </w:r>
    </w:p>
    <w:p>
      <w:pPr>
        <w:numPr>
          <w:ilvl w:val="0"/>
          <w:numId w:val="1005"/>
        </w:numPr>
        <w:pStyle w:val="Compact"/>
      </w:pPr>
      <w:r>
        <w:rPr>
          <w:bCs/>
          <w:b/>
        </w:rPr>
        <w:t xml:space="preserve">PQC component:</w:t>
      </w:r>
      <w:r>
        <w:t xml:space="preserve"> </w:t>
      </w:r>
      <w:r>
        <w:t xml:space="preserve">ML-KEM-768 (or ML-KEM-1024 for elevated security postures)</w:t>
      </w:r>
    </w:p>
    <w:p>
      <w:pPr>
        <w:numPr>
          <w:ilvl w:val="0"/>
          <w:numId w:val="1005"/>
        </w:numPr>
        <w:pStyle w:val="Compact"/>
      </w:pPr>
      <w:r>
        <w:rPr>
          <w:bCs/>
          <w:b/>
        </w:rPr>
        <w:t xml:space="preserve">Combiner:</w:t>
      </w:r>
      <w:r>
        <w:t xml:space="preserve"> </w:t>
      </w:r>
      <w:r>
        <w:t xml:space="preserve">Concatenation OR model per vendor-validated profile</w:t>
      </w:r>
    </w:p>
    <w:p>
      <w:pPr>
        <w:numPr>
          <w:ilvl w:val="0"/>
          <w:numId w:val="1005"/>
        </w:numPr>
        <w:pStyle w:val="Compact"/>
      </w:pPr>
      <w:r>
        <w:rPr>
          <w:bCs/>
          <w:b/>
        </w:rPr>
        <w:t xml:space="preserve">Certificate posture:</w:t>
      </w:r>
      <w:r>
        <w:t xml:space="preserve"> </w:t>
      </w:r>
      <w:r>
        <w:t xml:space="preserve">Classical X.509 on IKE CERT payloads during early H1; ML-DSA when PKI profile available (Chapter 13)</w:t>
      </w:r>
    </w:p>
    <w:p>
      <w:pPr>
        <w:pStyle w:val="FirstParagraph"/>
      </w:pPr>
      <w:r>
        <w:t xml:space="preserve">Northfield’s approved construction referenced vendor profile</w:t>
      </w:r>
      <w:r>
        <w:t xml:space="preserve"> </w:t>
      </w:r>
      <w:r>
        <w:rPr>
          <w:rStyle w:val="VerbatimChar"/>
        </w:rPr>
        <w:t xml:space="preserve">NF-IKE-HYBRID-MLKEM768-v2</w:t>
      </w:r>
      <w:r>
        <w:t xml:space="preserve"> </w:t>
      </w:r>
      <w:r>
        <w:t xml:space="preserve">— not an in-house IKE transform combination.</w:t>
      </w:r>
    </w:p>
    <w:bookmarkEnd w:id="46"/>
    <w:bookmarkStart w:id="47" w:name="Xbdd7e5e205d76dc19d6b8a3f51c5a6e88a50ea7"/>
    <w:p>
      <w:pPr>
        <w:pStyle w:val="Heading3"/>
      </w:pPr>
      <w:r>
        <w:t xml:space="preserve">Northfield case study: concentrator ready, CPE blocked</w:t>
      </w:r>
    </w:p>
    <w:p>
      <w:pPr>
        <w:pStyle w:val="FirstParagraph"/>
      </w:pPr>
      <w:r>
        <w:t xml:space="preserve">James Whitfield’s programme illustrates CDG-gated protocol transition in OT-heavy environments.</w:t>
      </w:r>
    </w:p>
    <w:p>
      <w:pPr>
        <w:pStyle w:val="BodyText"/>
      </w:pPr>
      <w:r>
        <w:rPr>
          <w:bCs/>
          <w:b/>
        </w:rPr>
        <w:t xml:space="preserve">Context:</w:t>
      </w:r>
      <w:r>
        <w:t xml:space="preserve"> </w:t>
      </w:r>
      <w:r>
        <w:t xml:space="preserve">Gulf Coast compressor corridor;</w:t>
      </w:r>
      <w:r>
        <w:t xml:space="preserve"> </w:t>
      </w:r>
      <w:r>
        <w:rPr>
          <w:bCs/>
          <w:b/>
        </w:rPr>
        <w:t xml:space="preserve">312</w:t>
      </w:r>
      <w:r>
        <w:t xml:space="preserve"> </w:t>
      </w:r>
      <w:r>
        <w:t xml:space="preserve">CPE devices;</w:t>
      </w:r>
      <w:r>
        <w:t xml:space="preserve"> </w:t>
      </w:r>
      <w:r>
        <w:rPr>
          <w:bCs/>
          <w:b/>
        </w:rPr>
        <w:t xml:space="preserve">2</w:t>
      </w:r>
      <w:r>
        <w:t xml:space="preserve"> </w:t>
      </w:r>
      <w:r>
        <w:t xml:space="preserve">concentrator models (Model A qualified, Model B pending hardware refresh); historian traffic with zero-gap rekey requirement; TRADE TES 5 on thirty-year archive confidentiality.</w:t>
      </w:r>
    </w:p>
    <w:tbl>
      <w:tblPr>
        <w:tblStyle w:val="Table"/>
        <w:tblW w:type="pct" w:w="5000"/>
        <w:tblLook w:firstRow="1" w:lastRow="0" w:firstColumn="0" w:lastColumn="0" w:noHBand="0" w:noVBand="0" w:val="0020"/>
        <w:jc w:val="start"/>
      </w:tblPr>
      <w:tblGrid>
        <w:gridCol w:w="1732"/>
        <w:gridCol w:w="2227"/>
        <w:gridCol w:w="3960"/>
      </w:tblGrid>
      <w:tr>
        <w:trPr>
          <w:tblHeader w:val="true"/>
        </w:trPr>
        <w:tc>
          <w:tcPr/>
          <w:p>
            <w:pPr>
              <w:pStyle w:val="Compact"/>
              <w:jc w:val="left"/>
            </w:pPr>
            <w:r>
              <w:t xml:space="preserve">Phase</w:t>
            </w:r>
          </w:p>
        </w:tc>
        <w:tc>
          <w:tcPr/>
          <w:p>
            <w:pPr>
              <w:pStyle w:val="Compact"/>
              <w:jc w:val="left"/>
            </w:pPr>
            <w:r>
              <w:t xml:space="preserve">Planned</w:t>
            </w:r>
          </w:p>
        </w:tc>
        <w:tc>
          <w:tcPr/>
          <w:p>
            <w:pPr>
              <w:pStyle w:val="Compact"/>
              <w:jc w:val="left"/>
            </w:pPr>
            <w:r>
              <w:t xml:space="preserve">Actual outcome</w:t>
            </w:r>
          </w:p>
        </w:tc>
      </w:tr>
      <w:tr>
        <w:tc>
          <w:tcPr/>
          <w:p>
            <w:pPr>
              <w:pStyle w:val="Compact"/>
              <w:jc w:val="left"/>
            </w:pPr>
            <w:r>
              <w:t xml:space="preserve">Laboratory IKE hybrid</w:t>
            </w:r>
          </w:p>
        </w:tc>
        <w:tc>
          <w:tcPr/>
          <w:p>
            <w:pPr>
              <w:pStyle w:val="Compact"/>
              <w:jc w:val="left"/>
            </w:pPr>
            <w:r>
              <w:t xml:space="preserve">Model A pass</w:t>
            </w:r>
          </w:p>
        </w:tc>
        <w:tc>
          <w:tcPr/>
          <w:p>
            <w:pPr>
              <w:pStyle w:val="Compact"/>
              <w:jc w:val="left"/>
            </w:pPr>
            <w:r>
              <w:t xml:space="preserve">Pass — rekey under 800 ms</w:t>
            </w:r>
          </w:p>
        </w:tc>
      </w:tr>
      <w:tr>
        <w:tc>
          <w:tcPr/>
          <w:p>
            <w:pPr>
              <w:pStyle w:val="Compact"/>
              <w:jc w:val="left"/>
            </w:pPr>
            <w:r>
              <w:t xml:space="preserve">Concentrator staging</w:t>
            </w:r>
          </w:p>
        </w:tc>
        <w:tc>
          <w:tcPr/>
          <w:p>
            <w:pPr>
              <w:pStyle w:val="Compact"/>
              <w:jc w:val="left"/>
            </w:pPr>
            <w:r>
              <w:t xml:space="preserve">Regional pilot</w:t>
            </w:r>
          </w:p>
        </w:tc>
        <w:tc>
          <w:tcPr/>
          <w:p>
            <w:pPr>
              <w:pStyle w:val="Compact"/>
              <w:jc w:val="left"/>
            </w:pPr>
            <w:r>
              <w:t xml:space="preserve">Pass — concentrator-to-concentrator hybrid</w:t>
            </w:r>
          </w:p>
        </w:tc>
      </w:tr>
      <w:tr>
        <w:tc>
          <w:tcPr/>
          <w:p>
            <w:pPr>
              <w:pStyle w:val="Compact"/>
              <w:jc w:val="left"/>
            </w:pPr>
            <w:r>
              <w:t xml:space="preserve">CPE rollout wave 1</w:t>
            </w:r>
          </w:p>
        </w:tc>
        <w:tc>
          <w:tcPr/>
          <w:p>
            <w:pPr>
              <w:pStyle w:val="Compact"/>
              <w:jc w:val="left"/>
            </w:pPr>
            <w:r>
              <w:t xml:space="preserve">80 devices</w:t>
            </w:r>
          </w:p>
        </w:tc>
        <w:tc>
          <w:tcPr/>
          <w:p>
            <w:pPr>
              <w:pStyle w:val="Compact"/>
              <w:jc w:val="left"/>
            </w:pPr>
            <w:r>
              <w:rPr>
                <w:bCs/>
                <w:b/>
              </w:rPr>
              <w:t xml:space="preserve">Fail</w:t>
            </w:r>
            <w:r>
              <w:t xml:space="preserve"> </w:t>
            </w:r>
            <w:r>
              <w:t xml:space="preserve">— firmware 7.2.x rejected hybrid proposal</w:t>
            </w:r>
          </w:p>
        </w:tc>
      </w:tr>
      <w:tr>
        <w:tc>
          <w:tcPr/>
          <w:p>
            <w:pPr>
              <w:pStyle w:val="Compact"/>
              <w:jc w:val="left"/>
            </w:pPr>
            <w:r>
              <w:t xml:space="preserve">CDG review</w:t>
            </w:r>
          </w:p>
        </w:tc>
        <w:tc>
          <w:tcPr/>
          <w:p>
            <w:pPr>
              <w:pStyle w:val="Compact"/>
              <w:jc w:val="left"/>
            </w:pPr>
            <w:r>
              <w:t xml:space="preserve">Parallel cloud TLS migration</w:t>
            </w:r>
          </w:p>
        </w:tc>
        <w:tc>
          <w:tcPr/>
          <w:p>
            <w:pPr>
              <w:pStyle w:val="Compact"/>
              <w:jc w:val="left"/>
            </w:pPr>
            <w:r>
              <w:rPr>
                <w:bCs/>
                <w:b/>
              </w:rPr>
              <w:t xml:space="preserve">Rejected</w:t>
            </w:r>
            <w:r>
              <w:t xml:space="preserve"> </w:t>
            </w:r>
            <w:r>
              <w:t xml:space="preserve">— cloud traffic transits concentrator trust domain</w:t>
            </w:r>
          </w:p>
        </w:tc>
      </w:tr>
      <w:tr>
        <w:tc>
          <w:tcPr/>
          <w:p>
            <w:pPr>
              <w:pStyle w:val="Compact"/>
              <w:jc w:val="left"/>
            </w:pPr>
            <w:r>
              <w:t xml:space="preserve">Revised plan</w:t>
            </w:r>
          </w:p>
        </w:tc>
        <w:tc>
          <w:tcPr/>
          <w:p>
            <w:pPr>
              <w:pStyle w:val="Compact"/>
              <w:jc w:val="left"/>
            </w:pPr>
            <w:r>
              <w:t xml:space="preserve">CPE firmware programme</w:t>
            </w:r>
          </w:p>
        </w:tc>
        <w:tc>
          <w:tcPr/>
          <w:p>
            <w:pPr>
              <w:pStyle w:val="Compact"/>
              <w:jc w:val="left"/>
            </w:pPr>
            <w:r>
              <w:t xml:space="preserve">Vendor GA Q3 2027;</w:t>
            </w:r>
            <w:r>
              <w:t xml:space="preserve"> </w:t>
            </w:r>
            <w:r>
              <w:rPr>
                <w:bCs/>
                <w:b/>
              </w:rPr>
              <w:t xml:space="preserve">241</w:t>
            </w:r>
            <w:r>
              <w:t xml:space="preserve"> </w:t>
            </w:r>
            <w:r>
              <w:t xml:space="preserve">devices on blocked builds</w:t>
            </w:r>
          </w:p>
        </w:tc>
      </w:tr>
    </w:tbl>
    <w:p>
      <w:pPr>
        <w:pStyle w:val="BodyText"/>
      </w:pPr>
      <w:r>
        <w:rPr>
          <w:bCs/>
          <w:b/>
        </w:rPr>
        <w:t xml:space="preserve">Programme decision:</w:t>
      </w:r>
      <w:r>
        <w:t xml:space="preserve"> </w:t>
      </w:r>
      <w:r>
        <w:t xml:space="preserve">Northfield</w:t>
      </w:r>
      <w:r>
        <w:t xml:space="preserve"> </w:t>
      </w:r>
      <w:r>
        <w:rPr>
          <w:bCs/>
          <w:b/>
        </w:rPr>
        <w:t xml:space="preserve">paused</w:t>
      </w:r>
      <w:r>
        <w:t xml:space="preserve"> </w:t>
      </w:r>
      <w:r>
        <w:t xml:space="preserve">WAN hybrid production rollout; maintained classical IKE on affected CPE paths; continued concentrator qualification for post-firmware wave. CDG node</w:t>
      </w:r>
      <w:r>
        <w:t xml:space="preserve"> </w:t>
      </w:r>
      <w:r>
        <w:rPr>
          <w:rStyle w:val="VerbatimChar"/>
        </w:rPr>
        <w:t xml:space="preserve">cpe-gulf-firmware-7.2</w:t>
      </w:r>
      <w:r>
        <w:t xml:space="preserve"> </w:t>
      </w:r>
      <w:r>
        <w:t xml:space="preserve">marked</w:t>
      </w:r>
      <w:r>
        <w:t xml:space="preserve"> </w:t>
      </w:r>
      <w:r>
        <w:rPr>
          <w:rStyle w:val="VerbatimChar"/>
        </w:rPr>
        <w:t xml:space="preserve">blocking: true</w:t>
      </w:r>
      <w:r>
        <w:t xml:space="preserve"> </w:t>
      </w:r>
      <w:r>
        <w:t xml:space="preserve">with</w:t>
      </w:r>
      <w:r>
        <w:t xml:space="preserve"> </w:t>
      </w:r>
      <w:r>
        <w:rPr>
          <w:rStyle w:val="VerbatimChar"/>
        </w:rPr>
        <w:t xml:space="preserve">vendor_pq_ga_date: 2027-Q3</w:t>
      </w:r>
      <w:r>
        <w:t xml:space="preserve">.</w:t>
      </w:r>
    </w:p>
    <w:p>
      <w:pPr>
        <w:pStyle w:val="BlockText"/>
      </w:pPr>
      <w:r>
        <w:rPr>
          <w:bCs/>
          <w:b/>
        </w:rPr>
        <w:t xml:space="preserve">Dependency Alert</w:t>
      </w:r>
    </w:p>
    <w:p>
      <w:pPr>
        <w:pStyle w:val="BlockText"/>
      </w:pPr>
      <w:r>
        <w:rPr>
          <w:bCs/>
          <w:b/>
        </w:rPr>
        <w:t xml:space="preserve">CPE firmware blocks IKE hybrid more often than concentrator upgrades.</w:t>
      </w:r>
      <w:r>
        <w:t xml:space="preserve"> </w:t>
      </w:r>
      <w:r>
        <w:t xml:space="preserve">Northfield’s concentrators supported hybrid IKE six months before remote CPE devices accepted the profile. CDG edges on CPE nodes gate rollout</w:t>
      </w:r>
      <w:r>
        <w:t xml:space="preserve"> </w:t>
      </w:r>
      <w:r>
        <w:rPr>
          <w:bCs/>
          <w:b/>
        </w:rPr>
        <w:t xml:space="preserve">per region</w:t>
      </w:r>
      <w:r>
        <w:t xml:space="preserve"> </w:t>
      </w:r>
      <w:r>
        <w:t xml:space="preserve">— not per enterprise calendar. Cloud-first TLS migration proposals failed CDG review when WAN remained classical-only on the data path.</w:t>
      </w:r>
    </w:p>
    <w:bookmarkEnd w:id="47"/>
    <w:bookmarkStart w:id="48" w:name="ike-specific-transition-tasks"/>
    <w:p>
      <w:pPr>
        <w:pStyle w:val="Heading3"/>
      </w:pPr>
      <w:r>
        <w:t xml:space="preserve">IKE-specific transition tasks</w:t>
      </w:r>
    </w:p>
    <w:tbl>
      <w:tblPr>
        <w:tblStyle w:val="Table"/>
        <w:tblW w:type="pct" w:w="5000"/>
        <w:tblLook w:firstRow="1" w:lastRow="0" w:firstColumn="0" w:lastColumn="0" w:noHBand="0" w:noVBand="0" w:val="0020"/>
        <w:jc w:val="start"/>
      </w:tblPr>
      <w:tblGrid>
        <w:gridCol w:w="2066"/>
        <w:gridCol w:w="2410"/>
        <w:gridCol w:w="3443"/>
      </w:tblGrid>
      <w:tr>
        <w:trPr>
          <w:tblHeader w:val="true"/>
        </w:trPr>
        <w:tc>
          <w:tcPr/>
          <w:p>
            <w:pPr>
              <w:pStyle w:val="Compact"/>
              <w:jc w:val="left"/>
            </w:pPr>
            <w:r>
              <w:t xml:space="preserve">Task</w:t>
            </w:r>
          </w:p>
        </w:tc>
        <w:tc>
          <w:tcPr/>
          <w:p>
            <w:pPr>
              <w:pStyle w:val="Compact"/>
              <w:jc w:val="left"/>
            </w:pPr>
            <w:r>
              <w:t xml:space="preserve">Owner</w:t>
            </w:r>
          </w:p>
        </w:tc>
        <w:tc>
          <w:tcPr/>
          <w:p>
            <w:pPr>
              <w:pStyle w:val="Compact"/>
              <w:jc w:val="left"/>
            </w:pPr>
            <w:r>
              <w:t xml:space="preserve">Evidence</w:t>
            </w:r>
          </w:p>
        </w:tc>
      </w:tr>
      <w:tr>
        <w:tc>
          <w:tcPr/>
          <w:p>
            <w:pPr>
              <w:pStyle w:val="Compact"/>
              <w:jc w:val="left"/>
            </w:pPr>
            <w:r>
              <w:t xml:space="preserve">Concentrator firmware qualification</w:t>
            </w:r>
          </w:p>
        </w:tc>
        <w:tc>
          <w:tcPr/>
          <w:p>
            <w:pPr>
              <w:pStyle w:val="Compact"/>
              <w:jc w:val="left"/>
            </w:pPr>
            <w:r>
              <w:t xml:space="preserve">Network engineering</w:t>
            </w:r>
          </w:p>
        </w:tc>
        <w:tc>
          <w:tcPr/>
          <w:p>
            <w:pPr>
              <w:pStyle w:val="Compact"/>
              <w:jc w:val="left"/>
            </w:pPr>
            <w:r>
              <w:t xml:space="preserve">Lab rekey timing report</w:t>
            </w:r>
          </w:p>
        </w:tc>
      </w:tr>
      <w:tr>
        <w:tc>
          <w:tcPr/>
          <w:p>
            <w:pPr>
              <w:pStyle w:val="Compact"/>
              <w:jc w:val="left"/>
            </w:pPr>
            <w:r>
              <w:t xml:space="preserve">CPE firmware inventory by build</w:t>
            </w:r>
          </w:p>
        </w:tc>
        <w:tc>
          <w:tcPr/>
          <w:p>
            <w:pPr>
              <w:pStyle w:val="Compact"/>
              <w:jc w:val="left"/>
            </w:pPr>
            <w:r>
              <w:t xml:space="preserve">OT operations</w:t>
            </w:r>
          </w:p>
        </w:tc>
        <w:tc>
          <w:tcPr/>
          <w:p>
            <w:pPr>
              <w:pStyle w:val="Compact"/>
              <w:jc w:val="left"/>
            </w:pPr>
            <w:r>
              <w:t xml:space="preserve">CBOM</w:t>
            </w:r>
            <w:r>
              <w:t xml:space="preserve"> </w:t>
            </w:r>
            <w:r>
              <w:rPr>
                <w:rStyle w:val="VerbatimChar"/>
              </w:rPr>
              <w:t xml:space="preserve">firmware_version</w:t>
            </w:r>
            <w:r>
              <w:t xml:space="preserve"> </w:t>
            </w:r>
            <w:r>
              <w:t xml:space="preserve">attribute</w:t>
            </w:r>
          </w:p>
        </w:tc>
      </w:tr>
      <w:tr>
        <w:tc>
          <w:tcPr/>
          <w:p>
            <w:pPr>
              <w:pStyle w:val="Compact"/>
              <w:jc w:val="left"/>
            </w:pPr>
            <w:r>
              <w:t xml:space="preserve">Vendor roadmap alignment</w:t>
            </w:r>
          </w:p>
        </w:tc>
        <w:tc>
          <w:tcPr/>
          <w:p>
            <w:pPr>
              <w:pStyle w:val="Compact"/>
              <w:jc w:val="left"/>
            </w:pPr>
            <w:r>
              <w:t xml:space="preserve">Vendor management</w:t>
            </w:r>
          </w:p>
        </w:tc>
        <w:tc>
          <w:tcPr/>
          <w:p>
            <w:pPr>
              <w:pStyle w:val="Compact"/>
              <w:jc w:val="left"/>
            </w:pPr>
            <w:r>
              <w:rPr>
                <w:rStyle w:val="VerbatimChar"/>
              </w:rPr>
              <w:t xml:space="preserve">vendor_pq_ga_date</w:t>
            </w:r>
            <w:r>
              <w:t xml:space="preserve"> </w:t>
            </w:r>
            <w:r>
              <w:t xml:space="preserve">on CDG nodes</w:t>
            </w:r>
          </w:p>
        </w:tc>
      </w:tr>
      <w:tr>
        <w:tc>
          <w:tcPr/>
          <w:p>
            <w:pPr>
              <w:pStyle w:val="Compact"/>
              <w:jc w:val="left"/>
            </w:pPr>
            <w:r>
              <w:t xml:space="preserve">MTU and fragmentation test</w:t>
            </w:r>
          </w:p>
        </w:tc>
        <w:tc>
          <w:tcPr/>
          <w:p>
            <w:pPr>
              <w:pStyle w:val="Compact"/>
              <w:jc w:val="left"/>
            </w:pPr>
            <w:r>
              <w:t xml:space="preserve">Network engineering</w:t>
            </w:r>
          </w:p>
        </w:tc>
        <w:tc>
          <w:tcPr/>
          <w:p>
            <w:pPr>
              <w:pStyle w:val="Compact"/>
              <w:jc w:val="left"/>
            </w:pPr>
            <w:r>
              <w:t xml:space="preserve">PCAP analysis on constrained WAN links</w:t>
            </w:r>
          </w:p>
        </w:tc>
      </w:tr>
      <w:tr>
        <w:tc>
          <w:tcPr/>
          <w:p>
            <w:pPr>
              <w:pStyle w:val="Compact"/>
              <w:jc w:val="left"/>
            </w:pPr>
            <w:r>
              <w:t xml:space="preserve">Historian gap test during rekey</w:t>
            </w:r>
          </w:p>
        </w:tc>
        <w:tc>
          <w:tcPr/>
          <w:p>
            <w:pPr>
              <w:pStyle w:val="Compact"/>
              <w:jc w:val="left"/>
            </w:pPr>
            <w:r>
              <w:t xml:space="preserve">OT engineering</w:t>
            </w:r>
          </w:p>
        </w:tc>
        <w:tc>
          <w:tcPr/>
          <w:p>
            <w:pPr>
              <w:pStyle w:val="Compact"/>
              <w:jc w:val="left"/>
            </w:pPr>
            <w:r>
              <w:t xml:space="preserve">30-day pilot with replay validation</w:t>
            </w:r>
          </w:p>
        </w:tc>
      </w:tr>
      <w:tr>
        <w:tc>
          <w:tcPr/>
          <w:p>
            <w:pPr>
              <w:pStyle w:val="Compact"/>
              <w:jc w:val="left"/>
            </w:pPr>
            <w:r>
              <w:t xml:space="preserve">Rollback runbook</w:t>
            </w:r>
          </w:p>
        </w:tc>
        <w:tc>
          <w:tcPr/>
          <w:p>
            <w:pPr>
              <w:pStyle w:val="Compact"/>
              <w:jc w:val="left"/>
            </w:pPr>
            <w:r>
              <w:t xml:space="preserve">Operations</w:t>
            </w:r>
          </w:p>
        </w:tc>
        <w:tc>
          <w:tcPr/>
          <w:p>
            <w:pPr>
              <w:pStyle w:val="Compact"/>
              <w:jc w:val="left"/>
            </w:pPr>
            <w:r>
              <w:t xml:space="preserve">Staged failover — Northfield measured 45 minutes acceptable for OT</w:t>
            </w:r>
          </w:p>
        </w:tc>
      </w:tr>
    </w:tbl>
    <w:bookmarkEnd w:id="48"/>
    <w:bookmarkStart w:id="49" w:name="site-to-site-vs-remote-access"/>
    <w:p>
      <w:pPr>
        <w:pStyle w:val="Heading3"/>
      </w:pPr>
      <w:r>
        <w:t xml:space="preserve">Site-to-site vs remote-access</w:t>
      </w:r>
    </w:p>
    <w:tbl>
      <w:tblPr>
        <w:tblStyle w:val="Table"/>
        <w:tblW w:type="pct" w:w="5000"/>
        <w:tblLook w:firstRow="1" w:lastRow="0" w:firstColumn="0" w:lastColumn="0" w:noHBand="0" w:noVBand="0" w:val="0020"/>
        <w:jc w:val="start"/>
      </w:tblPr>
      <w:tblGrid>
        <w:gridCol w:w="969"/>
        <w:gridCol w:w="4202"/>
        <w:gridCol w:w="2747"/>
      </w:tblGrid>
      <w:tr>
        <w:trPr>
          <w:tblHeader w:val="true"/>
        </w:trPr>
        <w:tc>
          <w:tcPr/>
          <w:p>
            <w:pPr>
              <w:pStyle w:val="Compact"/>
              <w:jc w:val="left"/>
            </w:pPr>
            <w:r>
              <w:t xml:space="preserve">Mode</w:t>
            </w:r>
          </w:p>
        </w:tc>
        <w:tc>
          <w:tcPr/>
          <w:p>
            <w:pPr>
              <w:pStyle w:val="Compact"/>
              <w:jc w:val="left"/>
            </w:pPr>
            <w:r>
              <w:t xml:space="preserve">Transition characteristic</w:t>
            </w:r>
          </w:p>
        </w:tc>
        <w:tc>
          <w:tcPr/>
          <w:p>
            <w:pPr>
              <w:pStyle w:val="Compact"/>
              <w:jc w:val="left"/>
            </w:pPr>
            <w:r>
              <w:t xml:space="preserve">Northfield note</w:t>
            </w:r>
          </w:p>
        </w:tc>
      </w:tr>
      <w:tr>
        <w:tc>
          <w:tcPr/>
          <w:p>
            <w:pPr>
              <w:pStyle w:val="Compact"/>
              <w:jc w:val="left"/>
            </w:pPr>
            <w:r>
              <w:rPr>
                <w:bCs/>
                <w:b/>
              </w:rPr>
              <w:t xml:space="preserve">Site-to-site</w:t>
            </w:r>
          </w:p>
        </w:tc>
        <w:tc>
          <w:tcPr/>
          <w:p>
            <w:pPr>
              <w:pStyle w:val="Compact"/>
              <w:jc w:val="left"/>
            </w:pPr>
            <w:r>
              <w:t xml:space="preserve">Concentrator pairs upgrade symmetrically</w:t>
            </w:r>
          </w:p>
        </w:tc>
        <w:tc>
          <w:tcPr/>
          <w:p>
            <w:pPr>
              <w:pStyle w:val="Compact"/>
              <w:jc w:val="left"/>
            </w:pPr>
            <w:r>
              <w:t xml:space="preserve">Model A regions first</w:t>
            </w:r>
          </w:p>
        </w:tc>
      </w:tr>
      <w:tr>
        <w:tc>
          <w:tcPr/>
          <w:p>
            <w:pPr>
              <w:pStyle w:val="Compact"/>
              <w:jc w:val="left"/>
            </w:pPr>
            <w:r>
              <w:rPr>
                <w:bCs/>
                <w:b/>
              </w:rPr>
              <w:t xml:space="preserve">Remote access</w:t>
            </w:r>
          </w:p>
        </w:tc>
        <w:tc>
          <w:tcPr/>
          <w:p>
            <w:pPr>
              <w:pStyle w:val="Compact"/>
              <w:jc w:val="left"/>
            </w:pPr>
            <w:r>
              <w:t xml:space="preserve">Client software diversity</w:t>
            </w:r>
          </w:p>
        </w:tc>
        <w:tc>
          <w:tcPr/>
          <w:p>
            <w:pPr>
              <w:pStyle w:val="Compact"/>
              <w:jc w:val="left"/>
            </w:pPr>
            <w:r>
              <w:t xml:space="preserve">Field engineer laptops — separate track</w:t>
            </w:r>
          </w:p>
        </w:tc>
      </w:tr>
      <w:tr>
        <w:tc>
          <w:tcPr/>
          <w:p>
            <w:pPr>
              <w:pStyle w:val="Compact"/>
              <w:jc w:val="left"/>
            </w:pPr>
            <w:r>
              <w:rPr>
                <w:bCs/>
                <w:b/>
              </w:rPr>
              <w:t xml:space="preserve">Hub-and-spoke</w:t>
            </w:r>
          </w:p>
        </w:tc>
        <w:tc>
          <w:tcPr/>
          <w:p>
            <w:pPr>
              <w:pStyle w:val="Compact"/>
              <w:jc w:val="left"/>
            </w:pPr>
            <w:r>
              <w:t xml:space="preserve">Spoke CPE is bottleneck</w:t>
            </w:r>
          </w:p>
        </w:tc>
        <w:tc>
          <w:tcPr/>
          <w:p>
            <w:pPr>
              <w:pStyle w:val="Compact"/>
              <w:jc w:val="left"/>
            </w:pPr>
            <w:r>
              <w:t xml:space="preserve">Gulf Coast blockage pattern</w:t>
            </w:r>
          </w:p>
        </w:tc>
      </w:tr>
      <w:tr>
        <w:tc>
          <w:tcPr/>
          <w:p>
            <w:pPr>
              <w:pStyle w:val="Compact"/>
              <w:jc w:val="left"/>
            </w:pPr>
            <w:r>
              <w:rPr>
                <w:bCs/>
                <w:b/>
              </w:rPr>
              <w:t xml:space="preserve">Mesh</w:t>
            </w:r>
          </w:p>
        </w:tc>
        <w:tc>
          <w:tcPr/>
          <w:p>
            <w:pPr>
              <w:pStyle w:val="Compact"/>
              <w:jc w:val="left"/>
            </w:pPr>
            <w:r>
              <w:t xml:space="preserve">All nodes must upgrade before PQC-only</w:t>
            </w:r>
          </w:p>
        </w:tc>
        <w:tc>
          <w:tcPr/>
          <w:p>
            <w:pPr>
              <w:pStyle w:val="Compact"/>
              <w:jc w:val="left"/>
            </w:pPr>
            <w:r>
              <w:t xml:space="preserve">Deferred to post-H1</w:t>
            </w:r>
          </w:p>
        </w:tc>
      </w:tr>
    </w:tbl>
    <w:bookmarkEnd w:id="49"/>
    <w:bookmarkStart w:id="50" w:name="ipsec-certificate-and-pki-dependencies"/>
    <w:p>
      <w:pPr>
        <w:pStyle w:val="Heading3"/>
      </w:pPr>
      <w:r>
        <w:t xml:space="preserve">IPsec certificate and PKI dependencies</w:t>
      </w:r>
    </w:p>
    <w:p>
      <w:pPr>
        <w:pStyle w:val="FirstParagraph"/>
      </w:pPr>
      <w:r>
        <w:t xml:space="preserve">IKE identity often binds to</w:t>
      </w:r>
      <w:r>
        <w:t xml:space="preserve"> </w:t>
      </w:r>
      <w:r>
        <w:rPr>
          <w:bCs/>
          <w:b/>
        </w:rPr>
        <w:t xml:space="preserve">internal PKI certificates</w:t>
      </w:r>
      <w:r>
        <w:t xml:space="preserve"> </w:t>
      </w:r>
      <w:r>
        <w:t xml:space="preserve">on concentrators and CPE:</w:t>
      </w:r>
    </w:p>
    <w:p>
      <w:pPr>
        <w:numPr>
          <w:ilvl w:val="0"/>
          <w:numId w:val="1006"/>
        </w:numPr>
        <w:pStyle w:val="Compact"/>
      </w:pPr>
      <w:r>
        <w:t xml:space="preserve">ML-DSA certificate size increases IKE CERT payload — interacts with fragmentation</w:t>
      </w:r>
    </w:p>
    <w:p>
      <w:pPr>
        <w:numPr>
          <w:ilvl w:val="0"/>
          <w:numId w:val="1006"/>
        </w:numPr>
        <w:pStyle w:val="Compact"/>
      </w:pPr>
      <w:r>
        <w:t xml:space="preserve">CRL/OCSP reachability during rekey must be verified under hybrid load</w:t>
      </w:r>
    </w:p>
    <w:p>
      <w:pPr>
        <w:numPr>
          <w:ilvl w:val="0"/>
          <w:numId w:val="1006"/>
        </w:numPr>
        <w:pStyle w:val="Compact"/>
      </w:pPr>
      <w:r>
        <w:t xml:space="preserve">Multi-vendor PKI trust — one partner’s CA migration may block site-to-site tunnel</w:t>
      </w:r>
    </w:p>
    <w:p>
      <w:pPr>
        <w:pStyle w:val="FirstParagraph"/>
      </w:pPr>
      <w:r>
        <w:t xml:space="preserve">Chapter 13 develops certificate profile migration; protocol teams must</w:t>
      </w:r>
      <w:r>
        <w:t xml:space="preserve"> </w:t>
      </w:r>
      <w:r>
        <w:rPr>
          <w:bCs/>
          <w:b/>
        </w:rPr>
        <w:t xml:space="preserve">schedule IKE cutover after issuing CA supports required profiles</w:t>
      </w:r>
      <w:r>
        <w:t xml:space="preserve"> </w:t>
      </w:r>
      <w:r>
        <w:t xml:space="preserve">— or maintain classical certs on IKE while upgrading key exchange only (staged H1).</w:t>
      </w:r>
    </w:p>
    <w:p>
      <w:r>
        <w:pict>
          <v:rect style="width:0;height:1.5pt" o:hralign="center" o:hrstd="t" o:hr="t"/>
        </w:pict>
      </w:r>
    </w:p>
    <w:bookmarkEnd w:id="50"/>
    <w:bookmarkEnd w:id="51"/>
    <w:bookmarkStart w:id="56" w:name="ssh-host-keys-and-certificates"/>
    <w:p>
      <w:pPr>
        <w:pStyle w:val="Heading2"/>
      </w:pPr>
      <w:r>
        <w:t xml:space="preserve">12.8 SSH Host Keys and Certificates</w:t>
      </w:r>
    </w:p>
    <w:p>
      <w:pPr>
        <w:pStyle w:val="FirstParagraph"/>
      </w:pPr>
      <w:r>
        <w:t xml:space="preserve">SSH secures administrative access, CI/CD deployment pipes, file transfer, and tunnelled application traffic — often overlooked in TLS-centric programmes. SSH protocol transition spans</w:t>
      </w:r>
      <w:r>
        <w:t xml:space="preserve"> </w:t>
      </w:r>
      <w:r>
        <w:rPr>
          <w:bCs/>
          <w:b/>
        </w:rPr>
        <w:t xml:space="preserve">host keys</w:t>
      </w:r>
      <w:r>
        <w:t xml:space="preserve">,</w:t>
      </w:r>
      <w:r>
        <w:t xml:space="preserve"> </w:t>
      </w:r>
      <w:r>
        <w:rPr>
          <w:bCs/>
          <w:b/>
        </w:rPr>
        <w:t xml:space="preserve">client keys</w:t>
      </w:r>
      <w:r>
        <w:t xml:space="preserve">, and increasingly</w:t>
      </w:r>
      <w:r>
        <w:t xml:space="preserve"> </w:t>
      </w:r>
      <w:r>
        <w:rPr>
          <w:bCs/>
          <w:b/>
        </w:rPr>
        <w:t xml:space="preserve">SSH certificates</w:t>
      </w:r>
      <w:r>
        <w:t xml:space="preserve"> </w:t>
      </w:r>
      <w:r>
        <w:t xml:space="preserve">in certificate-authority mode.</w:t>
      </w:r>
    </w:p>
    <w:bookmarkStart w:id="52" w:name="ssh-key-algorithm-transition"/>
    <w:p>
      <w:pPr>
        <w:pStyle w:val="Heading3"/>
      </w:pPr>
      <w:r>
        <w:t xml:space="preserve">SSH key algorithm transition</w:t>
      </w:r>
    </w:p>
    <w:tbl>
      <w:tblPr>
        <w:tblStyle w:val="Table"/>
        <w:tblW w:type="pct" w:w="5000"/>
        <w:tblLook w:firstRow="1" w:lastRow="0" w:firstColumn="0" w:lastColumn="0" w:noHBand="0" w:noVBand="0" w:val="0020"/>
        <w:jc w:val="start"/>
      </w:tblPr>
      <w:tblGrid>
        <w:gridCol w:w="1708"/>
        <w:gridCol w:w="2795"/>
        <w:gridCol w:w="1708"/>
        <w:gridCol w:w="1708"/>
      </w:tblGrid>
      <w:tr>
        <w:trPr>
          <w:tblHeader w:val="true"/>
        </w:trPr>
        <w:tc>
          <w:tcPr/>
          <w:p>
            <w:pPr>
              <w:pStyle w:val="Compact"/>
              <w:jc w:val="left"/>
            </w:pPr>
            <w:r>
              <w:t xml:space="preserve">Component</w:t>
            </w:r>
          </w:p>
        </w:tc>
        <w:tc>
          <w:tcPr/>
          <w:p>
            <w:pPr>
              <w:pStyle w:val="Compact"/>
              <w:jc w:val="left"/>
            </w:pPr>
            <w:r>
              <w:t xml:space="preserve">Classical typical</w:t>
            </w:r>
          </w:p>
        </w:tc>
        <w:tc>
          <w:tcPr/>
          <w:p>
            <w:pPr>
              <w:pStyle w:val="Compact"/>
              <w:jc w:val="left"/>
            </w:pPr>
            <w:r>
              <w:t xml:space="preserve">H1 target</w:t>
            </w:r>
          </w:p>
        </w:tc>
        <w:tc>
          <w:tcPr/>
          <w:p>
            <w:pPr>
              <w:pStyle w:val="Compact"/>
              <w:jc w:val="left"/>
            </w:pPr>
            <w:r>
              <w:t xml:space="preserve">H3 target</w:t>
            </w:r>
          </w:p>
        </w:tc>
      </w:tr>
      <w:tr>
        <w:tc>
          <w:tcPr/>
          <w:p>
            <w:pPr>
              <w:pStyle w:val="Compact"/>
              <w:jc w:val="left"/>
            </w:pPr>
            <w:r>
              <w:t xml:space="preserve">Host key</w:t>
            </w:r>
          </w:p>
        </w:tc>
        <w:tc>
          <w:tcPr/>
          <w:p>
            <w:pPr>
              <w:pStyle w:val="Compact"/>
              <w:jc w:val="left"/>
            </w:pPr>
            <w:r>
              <w:t xml:space="preserve">RSA 2048, ECDSA P-256</w:t>
            </w:r>
          </w:p>
        </w:tc>
        <w:tc>
          <w:tcPr/>
          <w:p>
            <w:pPr>
              <w:pStyle w:val="Compact"/>
              <w:jc w:val="left"/>
            </w:pPr>
            <w:r>
              <w:t xml:space="preserve">Hybrid or parallel host keys; ML-DSA where supported</w:t>
            </w:r>
          </w:p>
        </w:tc>
        <w:tc>
          <w:tcPr/>
          <w:p>
            <w:pPr>
              <w:pStyle w:val="Compact"/>
              <w:jc w:val="left"/>
            </w:pPr>
            <w:r>
              <w:t xml:space="preserve">ML-DSA or enterprise PQC choice</w:t>
            </w:r>
          </w:p>
        </w:tc>
      </w:tr>
      <w:tr>
        <w:tc>
          <w:tcPr/>
          <w:p>
            <w:pPr>
              <w:pStyle w:val="Compact"/>
              <w:jc w:val="left"/>
            </w:pPr>
            <w:r>
              <w:t xml:space="preserve">Client key</w:t>
            </w:r>
          </w:p>
        </w:tc>
        <w:tc>
          <w:tcPr/>
          <w:p>
            <w:pPr>
              <w:pStyle w:val="Compact"/>
              <w:jc w:val="left"/>
            </w:pPr>
            <w:r>
              <w:t xml:space="preserve">RSA, ECDSA</w:t>
            </w:r>
          </w:p>
        </w:tc>
        <w:tc>
          <w:tcPr/>
          <w:p>
            <w:pPr>
              <w:pStyle w:val="Compact"/>
              <w:jc w:val="left"/>
            </w:pPr>
            <w:r>
              <w:t xml:space="preserve">ML-DSA client keys for automation</w:t>
            </w:r>
          </w:p>
        </w:tc>
        <w:tc>
          <w:tcPr/>
          <w:p>
            <w:pPr>
              <w:pStyle w:val="Compact"/>
              <w:jc w:val="left"/>
            </w:pPr>
            <w:r>
              <w:t xml:space="preserve">PQC-only</w:t>
            </w:r>
          </w:p>
        </w:tc>
      </w:tr>
      <w:tr>
        <w:tc>
          <w:tcPr/>
          <w:p>
            <w:pPr>
              <w:pStyle w:val="Compact"/>
              <w:jc w:val="left"/>
            </w:pPr>
            <w:r>
              <w:t xml:space="preserve">Key exchange</w:t>
            </w:r>
          </w:p>
        </w:tc>
        <w:tc>
          <w:tcPr/>
          <w:p>
            <w:pPr>
              <w:pStyle w:val="Compact"/>
              <w:jc w:val="left"/>
            </w:pPr>
            <w:r>
              <w:t xml:space="preserve">curve25519-sha256, ecdh-sha2-nistp256</w:t>
            </w:r>
          </w:p>
        </w:tc>
        <w:tc>
          <w:tcPr/>
          <w:p>
            <w:pPr>
              <w:pStyle w:val="Compact"/>
              <w:jc w:val="left"/>
            </w:pPr>
            <w:r>
              <w:t xml:space="preserve">Hybrid KEX per OpenSSH release</w:t>
            </w:r>
          </w:p>
        </w:tc>
        <w:tc>
          <w:tcPr/>
          <w:p>
            <w:pPr>
              <w:pStyle w:val="Compact"/>
              <w:jc w:val="left"/>
            </w:pPr>
            <w:r>
              <w:t xml:space="preserve">PQC KEX</w:t>
            </w:r>
          </w:p>
        </w:tc>
      </w:tr>
      <w:tr>
        <w:tc>
          <w:tcPr/>
          <w:p>
            <w:pPr>
              <w:pStyle w:val="Compact"/>
              <w:jc w:val="left"/>
            </w:pPr>
            <w:r>
              <w:t xml:space="preserve">Host certificate (CA mode)</w:t>
            </w:r>
          </w:p>
        </w:tc>
        <w:tc>
          <w:tcPr/>
          <w:p>
            <w:pPr>
              <w:pStyle w:val="Compact"/>
              <w:jc w:val="left"/>
            </w:pPr>
            <w:r>
              <w:t xml:space="preserve">RSA/ECDSA CA</w:t>
            </w:r>
          </w:p>
        </w:tc>
        <w:tc>
          <w:tcPr/>
          <w:p>
            <w:pPr>
              <w:pStyle w:val="Compact"/>
              <w:jc w:val="left"/>
            </w:pPr>
            <w:r>
              <w:t xml:space="preserve">ML-DSA signing CA</w:t>
            </w:r>
          </w:p>
        </w:tc>
        <w:tc>
          <w:tcPr/>
          <w:p>
            <w:pPr>
              <w:pStyle w:val="Compact"/>
              <w:jc w:val="left"/>
            </w:pPr>
            <w:r>
              <w:t xml:space="preserve">PQC CA</w:t>
            </w:r>
          </w:p>
        </w:tc>
      </w:tr>
    </w:tbl>
    <w:p>
      <w:pPr>
        <w:pStyle w:val="BodyText"/>
      </w:pPr>
      <w:r>
        <w:t xml:space="preserve">OpenSSH’s release cadence drives much of enterprise SSH PQC readiness — track</w:t>
      </w:r>
      <w:r>
        <w:t xml:space="preserve"> </w:t>
      </w:r>
      <w:r>
        <w:rPr>
          <w:bCs/>
          <w:b/>
        </w:rPr>
        <w:t xml:space="preserve">OpenSSH release notes</w:t>
      </w:r>
      <w:r>
        <w:t xml:space="preserve"> </w:t>
      </w:r>
      <w:r>
        <w:t xml:space="preserve">and Linux distribution backport policies as CDG</w:t>
      </w:r>
      <w:r>
        <w:t xml:space="preserve"> </w:t>
      </w:r>
      <w:r>
        <w:rPr>
          <w:rStyle w:val="VerbatimChar"/>
        </w:rPr>
        <w:t xml:space="preserve">implements</w:t>
      </w:r>
      <w:r>
        <w:t xml:space="preserve"> </w:t>
      </w:r>
      <w:r>
        <w:t xml:space="preserve">attributes on bastion and jump hosts.</w:t>
      </w:r>
    </w:p>
    <w:bookmarkEnd w:id="52"/>
    <w:bookmarkStart w:id="53" w:name="Xca2282c5154a0a7f101b9fe2837021e3ca84ac5"/>
    <w:p>
      <w:pPr>
        <w:pStyle w:val="Heading3"/>
      </w:pPr>
      <w:r>
        <w:t xml:space="preserve">Parallel host keys versus in-place rotation</w:t>
      </w:r>
    </w:p>
    <w:p>
      <w:pPr>
        <w:pStyle w:val="FirstParagraph"/>
      </w:pPr>
      <w:r>
        <w:t xml:space="preserve">SSH clients cache host key fingerprints —</w:t>
      </w:r>
      <w:r>
        <w:t xml:space="preserve"> </w:t>
      </w:r>
      <w:r>
        <w:rPr>
          <w:bCs/>
          <w:b/>
        </w:rPr>
        <w:t xml:space="preserve">in-place algorithm change breaks automation</w:t>
      </w:r>
      <w:r>
        <w:t xml:space="preserve">:</w:t>
      </w:r>
    </w:p>
    <w:tbl>
      <w:tblPr>
        <w:tblStyle w:val="Table"/>
        <w:tblW w:type="pct" w:w="5000"/>
        <w:tblLook w:firstRow="1" w:lastRow="0" w:firstColumn="0" w:lastColumn="0" w:noHBand="0" w:noVBand="0" w:val="0020"/>
        <w:jc w:val="start"/>
      </w:tblPr>
      <w:tblGrid>
        <w:gridCol w:w="2400"/>
        <w:gridCol w:w="3120"/>
        <w:gridCol w:w="2400"/>
      </w:tblGrid>
      <w:tr>
        <w:trPr>
          <w:tblHeader w:val="true"/>
        </w:trPr>
        <w:tc>
          <w:tcPr/>
          <w:p>
            <w:pPr>
              <w:pStyle w:val="Compact"/>
              <w:jc w:val="left"/>
            </w:pPr>
            <w:r>
              <w:t xml:space="preserve">Strategy</w:t>
            </w:r>
          </w:p>
        </w:tc>
        <w:tc>
          <w:tcPr/>
          <w:p>
            <w:pPr>
              <w:pStyle w:val="Compact"/>
              <w:jc w:val="left"/>
            </w:pPr>
            <w:r>
              <w:t xml:space="preserve">Description</w:t>
            </w:r>
          </w:p>
        </w:tc>
        <w:tc>
          <w:tcPr/>
          <w:p>
            <w:pPr>
              <w:pStyle w:val="Compact"/>
              <w:jc w:val="left"/>
            </w:pPr>
            <w:r>
              <w:t xml:space="preserve">Use when</w:t>
            </w:r>
          </w:p>
        </w:tc>
      </w:tr>
      <w:tr>
        <w:tc>
          <w:tcPr/>
          <w:p>
            <w:pPr>
              <w:pStyle w:val="Compact"/>
              <w:jc w:val="left"/>
            </w:pPr>
            <w:r>
              <w:rPr>
                <w:bCs/>
                <w:b/>
              </w:rPr>
              <w:t xml:space="preserve">Parallel host keys</w:t>
            </w:r>
          </w:p>
        </w:tc>
        <w:tc>
          <w:tcPr/>
          <w:p>
            <w:pPr>
              <w:pStyle w:val="Compact"/>
              <w:jc w:val="left"/>
            </w:pPr>
            <w:r>
              <w:t xml:space="preserve">Server offers classical and PQC host keys simultaneously</w:t>
            </w:r>
          </w:p>
        </w:tc>
        <w:tc>
          <w:tcPr/>
          <w:p>
            <w:pPr>
              <w:pStyle w:val="Compact"/>
              <w:jc w:val="left"/>
            </w:pPr>
            <w:r>
              <w:t xml:space="preserve">Large automation estate; H1 default</w:t>
            </w:r>
          </w:p>
        </w:tc>
      </w:tr>
      <w:tr>
        <w:tc>
          <w:tcPr/>
          <w:p>
            <w:pPr>
              <w:pStyle w:val="Compact"/>
              <w:jc w:val="left"/>
            </w:pPr>
            <w:r>
              <w:rPr>
                <w:bCs/>
                <w:b/>
              </w:rPr>
              <w:t xml:space="preserve">Staged rotation</w:t>
            </w:r>
          </w:p>
        </w:tc>
        <w:tc>
          <w:tcPr/>
          <w:p>
            <w:pPr>
              <w:pStyle w:val="Compact"/>
              <w:jc w:val="left"/>
            </w:pPr>
            <w:r>
              <w:rPr>
                <w:rStyle w:val="VerbatimChar"/>
              </w:rPr>
              <w:t xml:space="preserve">ssh-keygen -R</w:t>
            </w:r>
            <w:r>
              <w:t xml:space="preserve"> </w:t>
            </w:r>
            <w:r>
              <w:t xml:space="preserve">campaign; updated known_hosts</w:t>
            </w:r>
          </w:p>
        </w:tc>
        <w:tc>
          <w:tcPr/>
          <w:p>
            <w:pPr>
              <w:pStyle w:val="Compact"/>
              <w:jc w:val="left"/>
            </w:pPr>
            <w:r>
              <w:t xml:space="preserve">Small controlled fleet</w:t>
            </w:r>
          </w:p>
        </w:tc>
      </w:tr>
      <w:tr>
        <w:tc>
          <w:tcPr/>
          <w:p>
            <w:pPr>
              <w:pStyle w:val="Compact"/>
              <w:jc w:val="left"/>
            </w:pPr>
            <w:r>
              <w:rPr>
                <w:bCs/>
                <w:b/>
              </w:rPr>
              <w:t xml:space="preserve">SSH certificates</w:t>
            </w:r>
          </w:p>
        </w:tc>
        <w:tc>
          <w:tcPr/>
          <w:p>
            <w:pPr>
              <w:pStyle w:val="Compact"/>
              <w:jc w:val="left"/>
            </w:pPr>
            <w:r>
              <w:t xml:space="preserve">CA-signed host certs reduce known_hosts dependency</w:t>
            </w:r>
          </w:p>
        </w:tc>
        <w:tc>
          <w:tcPr/>
          <w:p>
            <w:pPr>
              <w:pStyle w:val="Compact"/>
              <w:jc w:val="left"/>
            </w:pPr>
            <w:r>
              <w:t xml:space="preserve">Mature SSH CA programme</w:t>
            </w:r>
          </w:p>
        </w:tc>
      </w:tr>
      <w:tr>
        <w:tc>
          <w:tcPr/>
          <w:p>
            <w:pPr>
              <w:pStyle w:val="Compact"/>
              <w:jc w:val="left"/>
            </w:pPr>
            <w:r>
              <w:rPr>
                <w:bCs/>
                <w:b/>
              </w:rPr>
              <w:t xml:space="preserve">ProxyCommand tunnel</w:t>
            </w:r>
          </w:p>
        </w:tc>
        <w:tc>
          <w:tcPr/>
          <w:p>
            <w:pPr>
              <w:pStyle w:val="Compact"/>
              <w:jc w:val="left"/>
            </w:pPr>
            <w:r>
              <w:t xml:space="preserve">Bastion terminates SSH — inner algorithm isolated</w:t>
            </w:r>
          </w:p>
        </w:tc>
        <w:tc>
          <w:tcPr/>
          <w:p>
            <w:pPr>
              <w:pStyle w:val="Compact"/>
              <w:jc w:val="left"/>
            </w:pPr>
            <w:r>
              <w:t xml:space="preserve">Legacy clients on outer hop only</w:t>
            </w:r>
          </w:p>
        </w:tc>
      </w:tr>
    </w:tbl>
    <w:p>
      <w:pPr>
        <w:pStyle w:val="BodyText"/>
      </w:pPr>
      <w:r>
        <w:t xml:space="preserve">Apex maintained</w:t>
      </w:r>
      <w:r>
        <w:t xml:space="preserve"> </w:t>
      </w:r>
      <w:r>
        <w:rPr>
          <w:bCs/>
          <w:b/>
        </w:rPr>
        <w:t xml:space="preserve">parallel host keys</w:t>
      </w:r>
      <w:r>
        <w:t xml:space="preserve"> </w:t>
      </w:r>
      <w:r>
        <w:t xml:space="preserve">on administrative bastions — classical Ed25519 and ML-DSA host keys during NSS accreditation review of PQC administrative channels. Corporate IT adopted SSH certificate mode to reduce known_hosts churn across</w:t>
      </w:r>
      <w:r>
        <w:t xml:space="preserve"> </w:t>
      </w:r>
      <w:r>
        <w:rPr>
          <w:bCs/>
          <w:b/>
        </w:rPr>
        <w:t xml:space="preserve">14,000</w:t>
      </w:r>
      <w:r>
        <w:t xml:space="preserve"> </w:t>
      </w:r>
      <w:r>
        <w:t xml:space="preserve">ephemeral build agents.</w:t>
      </w:r>
    </w:p>
    <w:bookmarkEnd w:id="53"/>
    <w:bookmarkStart w:id="54" w:name="ssh-certificate-authority-transition"/>
    <w:p>
      <w:pPr>
        <w:pStyle w:val="Heading3"/>
      </w:pPr>
      <w:r>
        <w:t xml:space="preserve">SSH certificate authority transition</w:t>
      </w:r>
    </w:p>
    <w:p>
      <w:pPr>
        <w:pStyle w:val="FirstParagraph"/>
      </w:pPr>
      <w:r>
        <w:t xml:space="preserve">Organisations using SSH-CA (Vault, step-ca, commercial PaaS) must migrate</w:t>
      </w:r>
      <w:r>
        <w:t xml:space="preserve"> </w:t>
      </w:r>
      <w:r>
        <w:rPr>
          <w:bCs/>
          <w:b/>
        </w:rPr>
        <w:t xml:space="preserve">CA signing key</w:t>
      </w:r>
      <w:r>
        <w:t xml:space="preserve"> </w:t>
      </w:r>
      <w:r>
        <w:t xml:space="preserve">before host certificates:</w:t>
      </w:r>
    </w:p>
    <w:p>
      <w:pPr>
        <w:pStyle w:val="SourceCode"/>
      </w:pPr>
      <w:r>
        <w:rPr>
          <w:rStyle w:val="VerbatimChar"/>
        </w:rPr>
        <w:t xml:space="preserve">Migration sequence (SSH-CA mode):</w:t>
      </w:r>
      <w:r>
        <w:br/>
      </w:r>
      <w:r>
        <w:rPr>
          <w:rStyle w:val="VerbatimChar"/>
        </w:rPr>
        <w:t xml:space="preserve">1. Deploy PQC-capable SSH-CA signing key (H1 dual-CA or hybrid)</w:t>
      </w:r>
      <w:r>
        <w:br/>
      </w:r>
      <w:r>
        <w:rPr>
          <w:rStyle w:val="VerbatimChar"/>
        </w:rPr>
        <w:t xml:space="preserve">2. Issue host certs with PQC-capable signature algorithm</w:t>
      </w:r>
      <w:r>
        <w:br/>
      </w:r>
      <w:r>
        <w:rPr>
          <w:rStyle w:val="VerbatimChar"/>
        </w:rPr>
        <w:t xml:space="preserve">3. Update client trust anchor to PQC CA</w:t>
      </w:r>
      <w:r>
        <w:br/>
      </w:r>
      <w:r>
        <w:rPr>
          <w:rStyle w:val="VerbatimChar"/>
        </w:rPr>
        <w:t xml:space="preserve">4. Retire classical CA after automation estate migration</w:t>
      </w:r>
    </w:p>
    <w:p>
      <w:pPr>
        <w:pStyle w:val="FirstParagraph"/>
      </w:pPr>
      <w:r>
        <w:t xml:space="preserve">Skipping step 1 and issuing ML-DSA host certs from a classical CA produces</w:t>
      </w:r>
      <w:r>
        <w:t xml:space="preserve"> </w:t>
      </w:r>
      <w:r>
        <w:rPr>
          <w:bCs/>
          <w:b/>
        </w:rPr>
        <w:t xml:space="preserve">valid certificates with a quantum-vulnerable trust anchor</w:t>
      </w:r>
      <w:r>
        <w:t xml:space="preserve"> </w:t>
      </w:r>
      <w:r>
        <w:t xml:space="preserve">— CDG</w:t>
      </w:r>
      <w:r>
        <w:t xml:space="preserve"> </w:t>
      </w:r>
      <w:r>
        <w:rPr>
          <w:rStyle w:val="VerbatimChar"/>
        </w:rPr>
        <w:t xml:space="preserve">trusts</w:t>
      </w:r>
      <w:r>
        <w:t xml:space="preserve"> </w:t>
      </w:r>
      <w:r>
        <w:t xml:space="preserve">edge remains classical.</w:t>
      </w:r>
    </w:p>
    <w:bookmarkEnd w:id="54"/>
    <w:bookmarkStart w:id="55" w:name="ssh-operational-controls"/>
    <w:p>
      <w:pPr>
        <w:pStyle w:val="Heading3"/>
      </w:pPr>
      <w:r>
        <w:t xml:space="preserve">SSH operational controls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Control</w:t>
            </w:r>
          </w:p>
        </w:tc>
        <w:tc>
          <w:tcPr/>
          <w:p>
            <w:pPr>
              <w:pStyle w:val="Compact"/>
              <w:jc w:val="left"/>
            </w:pPr>
            <w:r>
              <w:t xml:space="preserve">Purpose</w:t>
            </w:r>
          </w:p>
        </w:tc>
      </w:tr>
      <w:tr>
        <w:tc>
          <w:tcPr/>
          <w:p>
            <w:pPr>
              <w:pStyle w:val="Compact"/>
              <w:jc w:val="left"/>
            </w:pPr>
            <w:r>
              <w:rPr>
                <w:rStyle w:val="VerbatimChar"/>
              </w:rPr>
              <w:t xml:space="preserve">CASignatureAlgorithms</w:t>
            </w:r>
            <w:r>
              <w:t xml:space="preserve"> </w:t>
            </w:r>
            <w:r>
              <w:t xml:space="preserve">allow-list</w:t>
            </w:r>
          </w:p>
        </w:tc>
        <w:tc>
          <w:tcPr/>
          <w:p>
            <w:pPr>
              <w:pStyle w:val="Compact"/>
              <w:jc w:val="left"/>
            </w:pPr>
            <w:r>
              <w:t xml:space="preserve">Enforce approved host cert algorithms</w:t>
            </w:r>
          </w:p>
        </w:tc>
      </w:tr>
      <w:tr>
        <w:tc>
          <w:tcPr/>
          <w:p>
            <w:pPr>
              <w:pStyle w:val="Compact"/>
              <w:jc w:val="left"/>
            </w:pPr>
            <w:r>
              <w:rPr>
                <w:rStyle w:val="VerbatimChar"/>
              </w:rPr>
              <w:t xml:space="preserve">HostKeyAlgorithms</w:t>
            </w:r>
            <w:r>
              <w:t xml:space="preserve"> </w:t>
            </w:r>
            <w:r>
              <w:t xml:space="preserve">ordering</w:t>
            </w:r>
          </w:p>
        </w:tc>
        <w:tc>
          <w:tcPr/>
          <w:p>
            <w:pPr>
              <w:pStyle w:val="Compact"/>
              <w:jc w:val="left"/>
            </w:pPr>
            <w:r>
              <w:t xml:space="preserve">Prefer PQC without breaking legacy</w:t>
            </w:r>
          </w:p>
        </w:tc>
      </w:tr>
      <w:tr>
        <w:tc>
          <w:tcPr/>
          <w:p>
            <w:pPr>
              <w:pStyle w:val="Compact"/>
              <w:jc w:val="left"/>
            </w:pPr>
            <w:r>
              <w:t xml:space="preserve">Centralised known_hosts distribution</w:t>
            </w:r>
          </w:p>
        </w:tc>
        <w:tc>
          <w:tcPr/>
          <w:p>
            <w:pPr>
              <w:pStyle w:val="Compact"/>
              <w:jc w:val="left"/>
            </w:pPr>
            <w:r>
              <w:t xml:space="preserve">Ansible/Chef-managed fingerprint updates</w:t>
            </w:r>
          </w:p>
        </w:tc>
      </w:tr>
      <w:tr>
        <w:tc>
          <w:tcPr/>
          <w:p>
            <w:pPr>
              <w:pStyle w:val="Compact"/>
              <w:jc w:val="left"/>
            </w:pPr>
            <w:r>
              <w:t xml:space="preserve">Session logging during transition</w:t>
            </w:r>
          </w:p>
        </w:tc>
        <w:tc>
          <w:tcPr/>
          <w:p>
            <w:pPr>
              <w:pStyle w:val="Compact"/>
              <w:jc w:val="left"/>
            </w:pPr>
            <w:r>
              <w:t xml:space="preserve">Detect algorithm downgrade attacks</w:t>
            </w:r>
          </w:p>
        </w:tc>
      </w:tr>
      <w:tr>
        <w:tc>
          <w:tcPr/>
          <w:p>
            <w:pPr>
              <w:pStyle w:val="Compact"/>
              <w:jc w:val="left"/>
            </w:pPr>
            <w:r>
              <w:t xml:space="preserve">Bastion inventory in CBOM</w:t>
            </w:r>
          </w:p>
        </w:tc>
        <w:tc>
          <w:tcPr/>
          <w:p>
            <w:pPr>
              <w:pStyle w:val="Compact"/>
              <w:jc w:val="left"/>
            </w:pPr>
            <w:r>
              <w:t xml:space="preserve">Jump hosts are high fan-in blocking nodes</w:t>
            </w:r>
          </w:p>
        </w:tc>
      </w:tr>
    </w:tbl>
    <w:p>
      <w:pPr>
        <w:pStyle w:val="BodyText"/>
      </w:pPr>
      <w:r>
        <w:t xml:space="preserve">Meridian restricted PQC SSH host keys to</w:t>
      </w:r>
      <w:r>
        <w:t xml:space="preserve"> </w:t>
      </w:r>
      <w:r>
        <w:rPr>
          <w:bCs/>
          <w:b/>
        </w:rPr>
        <w:t xml:space="preserve">Tier A administrative hosts</w:t>
      </w:r>
      <w:r>
        <w:t xml:space="preserve"> </w:t>
      </w:r>
      <w:r>
        <w:t xml:space="preserve">until security operations validated SIEM parsing of enlarged host key material — an observability gate easy to overlook.</w:t>
      </w:r>
    </w:p>
    <w:p>
      <w:r>
        <w:pict>
          <v:rect style="width:0;height:1.5pt" o:hralign="center" o:hrstd="t" o:hr="t"/>
        </w:pict>
      </w:r>
    </w:p>
    <w:bookmarkEnd w:id="55"/>
    <w:bookmarkEnd w:id="56"/>
    <w:bookmarkStart w:id="60" w:name="X261b7b702796148b9f042c567c97386a479c5c5"/>
    <w:p>
      <w:pPr>
        <w:pStyle w:val="Heading2"/>
      </w:pPr>
      <w:r>
        <w:t xml:space="preserve">12.9 Messaging Protocols: Kafka, AMQP, and Event Backbones</w:t>
      </w:r>
    </w:p>
    <w:p>
      <w:pPr>
        <w:pStyle w:val="FirstParagraph"/>
      </w:pPr>
      <w:r>
        <w:t xml:space="preserve">Event backbones and message queues carry</w:t>
      </w:r>
      <w:r>
        <w:t xml:space="preserve"> </w:t>
      </w:r>
      <w:r>
        <w:rPr>
          <w:bCs/>
          <w:b/>
        </w:rPr>
        <w:t xml:space="preserve">authentication credentials, personally identifiable information, and financial events</w:t>
      </w:r>
      <w:r>
        <w:t xml:space="preserve"> </w:t>
      </w:r>
      <w:r>
        <w:t xml:space="preserve">— often with TLS termination configurations distinct from public APIs.</w:t>
      </w:r>
    </w:p>
    <w:bookmarkStart w:id="57" w:name="kafka-tls-transition"/>
    <w:p>
      <w:pPr>
        <w:pStyle w:val="Heading3"/>
      </w:pPr>
      <w:r>
        <w:t xml:space="preserve">Kafka TLS transition</w:t>
      </w:r>
    </w:p>
    <w:p>
      <w:pPr>
        <w:pStyle w:val="FirstParagraph"/>
      </w:pPr>
      <w:r>
        <w:t xml:space="preserve">Apache Kafka and managed equivalents (Confluent Cloud, MSK, Event Hubs) typically use</w:t>
      </w:r>
      <w:r>
        <w:t xml:space="preserve"> </w:t>
      </w:r>
      <w:r>
        <w:rPr>
          <w:bCs/>
          <w:b/>
        </w:rPr>
        <w:t xml:space="preserve">TLS for broker and client channels</w:t>
      </w:r>
      <w:r>
        <w:t xml:space="preserve">, sometimes with mutual TLS for client authentication.</w:t>
      </w:r>
    </w:p>
    <w:tbl>
      <w:tblPr>
        <w:tblStyle w:val="Table"/>
        <w:tblW w:type="pct" w:w="5000"/>
        <w:tblLook w:firstRow="1" w:lastRow="0" w:firstColumn="0" w:lastColumn="0" w:noHBand="0" w:noVBand="0" w:val="0020"/>
        <w:jc w:val="start"/>
      </w:tblPr>
      <w:tblGrid>
        <w:gridCol w:w="1732"/>
        <w:gridCol w:w="6187"/>
      </w:tblGrid>
      <w:tr>
        <w:trPr>
          <w:tblHeader w:val="true"/>
        </w:trPr>
        <w:tc>
          <w:tcPr/>
          <w:p>
            <w:pPr>
              <w:pStyle w:val="Compact"/>
              <w:jc w:val="left"/>
            </w:pPr>
            <w:r>
              <w:t xml:space="preserve">Layer</w:t>
            </w:r>
          </w:p>
        </w:tc>
        <w:tc>
          <w:tcPr/>
          <w:p>
            <w:pPr>
              <w:pStyle w:val="Compact"/>
              <w:jc w:val="left"/>
            </w:pPr>
            <w:r>
              <w:t xml:space="preserve">Transition consideration</w:t>
            </w:r>
          </w:p>
        </w:tc>
      </w:tr>
      <w:tr>
        <w:tc>
          <w:tcPr/>
          <w:p>
            <w:pPr>
              <w:pStyle w:val="Compact"/>
              <w:jc w:val="left"/>
            </w:pPr>
            <w:r>
              <w:rPr>
                <w:bCs/>
                <w:b/>
              </w:rPr>
              <w:t xml:space="preserve">Broker listener TLS</w:t>
            </w:r>
          </w:p>
        </w:tc>
        <w:tc>
          <w:tcPr/>
          <w:p>
            <w:pPr>
              <w:pStyle w:val="Compact"/>
              <w:jc w:val="left"/>
            </w:pPr>
            <w:r>
              <w:t xml:space="preserve">Hybrid groups on</w:t>
            </w:r>
            <w:r>
              <w:t xml:space="preserve"> </w:t>
            </w:r>
            <w:r>
              <w:rPr>
                <w:rStyle w:val="VerbatimChar"/>
              </w:rPr>
              <w:t xml:space="preserve">SSL</w:t>
            </w:r>
            <w:r>
              <w:t xml:space="preserve"> </w:t>
            </w:r>
            <w:r>
              <w:t xml:space="preserve">listeners; inter-broker protocol version alignment</w:t>
            </w:r>
          </w:p>
        </w:tc>
      </w:tr>
      <w:tr>
        <w:tc>
          <w:tcPr/>
          <w:p>
            <w:pPr>
              <w:pStyle w:val="Compact"/>
              <w:jc w:val="left"/>
            </w:pPr>
            <w:r>
              <w:rPr>
                <w:bCs/>
                <w:b/>
              </w:rPr>
              <w:t xml:space="preserve">Client library</w:t>
            </w:r>
          </w:p>
        </w:tc>
        <w:tc>
          <w:tcPr/>
          <w:p>
            <w:pPr>
              <w:pStyle w:val="Compact"/>
              <w:jc w:val="left"/>
            </w:pPr>
            <w:r>
              <w:t xml:space="preserve">librdkafka, Java client, .NET client — each binds cryptographic stack</w:t>
            </w:r>
          </w:p>
        </w:tc>
      </w:tr>
      <w:tr>
        <w:tc>
          <w:tcPr/>
          <w:p>
            <w:pPr>
              <w:pStyle w:val="Compact"/>
              <w:jc w:val="left"/>
            </w:pPr>
            <w:r>
              <w:rPr>
                <w:bCs/>
                <w:b/>
              </w:rPr>
              <w:t xml:space="preserve">ZooKeeper / KRaft</w:t>
            </w:r>
          </w:p>
        </w:tc>
        <w:tc>
          <w:tcPr/>
          <w:p>
            <w:pPr>
              <w:pStyle w:val="Compact"/>
              <w:jc w:val="left"/>
            </w:pPr>
            <w:r>
              <w:t xml:space="preserve">Metadata channel encryption separate from broker listener</w:t>
            </w:r>
          </w:p>
        </w:tc>
      </w:tr>
      <w:tr>
        <w:tc>
          <w:tcPr/>
          <w:p>
            <w:pPr>
              <w:pStyle w:val="Compact"/>
              <w:jc w:val="left"/>
            </w:pPr>
            <w:r>
              <w:rPr>
                <w:bCs/>
                <w:b/>
              </w:rPr>
              <w:t xml:space="preserve">Schema Registry</w:t>
            </w:r>
          </w:p>
        </w:tc>
        <w:tc>
          <w:tcPr/>
          <w:p>
            <w:pPr>
              <w:pStyle w:val="Compact"/>
              <w:jc w:val="left"/>
            </w:pPr>
            <w:r>
              <w:t xml:space="preserve">HTTPS with independent TLS policy</w:t>
            </w:r>
          </w:p>
        </w:tc>
      </w:tr>
      <w:tr>
        <w:tc>
          <w:tcPr/>
          <w:p>
            <w:pPr>
              <w:pStyle w:val="Compact"/>
              <w:jc w:val="left"/>
            </w:pPr>
            <w:r>
              <w:rPr>
                <w:bCs/>
                <w:b/>
              </w:rPr>
              <w:t xml:space="preserve">Connect workers</w:t>
            </w:r>
          </w:p>
        </w:tc>
        <w:tc>
          <w:tcPr/>
          <w:p>
            <w:pPr>
              <w:pStyle w:val="Compact"/>
              <w:jc w:val="left"/>
            </w:pPr>
            <w:r>
              <w:t xml:space="preserve">Distributed worker TLS and plugin isolation</w:t>
            </w:r>
          </w:p>
        </w:tc>
      </w:tr>
    </w:tbl>
    <w:p>
      <w:pPr>
        <w:pStyle w:val="BodyText"/>
      </w:pPr>
      <w:r>
        <w:rPr>
          <w:bCs/>
          <w:b/>
        </w:rPr>
        <w:t xml:space="preserve">GlobalSync Kafka programme:</w:t>
      </w:r>
    </w:p>
    <w:p>
      <w:pPr>
        <w:numPr>
          <w:ilvl w:val="0"/>
          <w:numId w:val="1007"/>
        </w:numPr>
        <w:pStyle w:val="Compact"/>
      </w:pPr>
      <w:r>
        <w:rPr>
          <w:bCs/>
          <w:b/>
        </w:rPr>
        <w:t xml:space="preserve">Wave 2</w:t>
      </w:r>
      <w:r>
        <w:t xml:space="preserve"> </w:t>
      </w:r>
      <w:r>
        <w:t xml:space="preserve">scope — after Wave 0 PKI and Wave 1 public API TLS H1</w:t>
      </w:r>
    </w:p>
    <w:p>
      <w:pPr>
        <w:numPr>
          <w:ilvl w:val="0"/>
          <w:numId w:val="1007"/>
        </w:numPr>
        <w:pStyle w:val="Compact"/>
      </w:pPr>
      <w:r>
        <w:t xml:space="preserve">Inter-broker traffic: classical TLS until all brokers on OpenSSL 3.5+ image (</w:t>
      </w:r>
      <w:r>
        <w:rPr>
          <w:bCs/>
          <w:b/>
        </w:rPr>
        <w:t xml:space="preserve">homogeneous fleet rule</w:t>
      </w:r>
      <w:r>
        <w:t xml:space="preserve">)</w:t>
      </w:r>
    </w:p>
    <w:p>
      <w:pPr>
        <w:numPr>
          <w:ilvl w:val="0"/>
          <w:numId w:val="1007"/>
        </w:numPr>
        <w:pStyle w:val="Compact"/>
      </w:pPr>
      <w:r>
        <w:t xml:space="preserve">Client-facing listeners: hybrid H1 on</w:t>
      </w:r>
      <w:r>
        <w:t xml:space="preserve"> </w:t>
      </w:r>
      <w:r>
        <w:rPr>
          <w:rStyle w:val="VerbatimChar"/>
        </w:rPr>
        <w:t xml:space="preserve">kafka-tenant-pqc</w:t>
      </w:r>
      <w:r>
        <w:t xml:space="preserve"> </w:t>
      </w:r>
      <w:r>
        <w:t xml:space="preserve">listener; classical listener retained for Tier C connectors</w:t>
      </w:r>
    </w:p>
    <w:p>
      <w:pPr>
        <w:numPr>
          <w:ilvl w:val="0"/>
          <w:numId w:val="1007"/>
        </w:numPr>
        <w:pStyle w:val="Compact"/>
      </w:pPr>
      <w:r>
        <w:t xml:space="preserve">CBOM row per cluster with</w:t>
      </w:r>
      <w:r>
        <w:t xml:space="preserve"> </w:t>
      </w:r>
      <w:r>
        <w:rPr>
          <w:rStyle w:val="VerbatimChar"/>
        </w:rPr>
        <w:t xml:space="preserve">protocol_class: kafka-tls</w:t>
      </w:r>
      <w:r>
        <w:t xml:space="preserve"> </w:t>
      </w:r>
      <w:r>
        <w:t xml:space="preserve">and</w:t>
      </w:r>
      <w:r>
        <w:t xml:space="preserve"> </w:t>
      </w:r>
      <w:r>
        <w:rPr>
          <w:rStyle w:val="VerbatimChar"/>
        </w:rPr>
        <w:t xml:space="preserve">hlm_phase</w:t>
      </w:r>
      <w:r>
        <w:t xml:space="preserve"> </w:t>
      </w:r>
      <w:r>
        <w:t xml:space="preserve">independent of API tier</w:t>
      </w:r>
    </w:p>
    <w:p>
      <w:pPr>
        <w:pStyle w:val="FirstParagraph"/>
      </w:pPr>
      <w:r>
        <w:t xml:space="preserve">Homogeneous broker fleet requirement prevented partial hybrid — one classical-only broker in a three-broker cluster forced cluster-wide classical until remediated.</w:t>
      </w:r>
    </w:p>
    <w:bookmarkEnd w:id="57"/>
    <w:bookmarkStart w:id="58" w:name="amqp-and-rabbitmq"/>
    <w:p>
      <w:pPr>
        <w:pStyle w:val="Heading3"/>
      </w:pPr>
      <w:r>
        <w:t xml:space="preserve">AMQP and RabbitMQ</w:t>
      </w:r>
    </w:p>
    <w:p>
      <w:pPr>
        <w:pStyle w:val="FirstParagraph"/>
      </w:pPr>
      <w:r>
        <w:t xml:space="preserve">AMQP 1.0 implementations (RabbitMQ, Qpid, Azure Service Bus) use TLS similarly to HTTPS but with</w:t>
      </w:r>
      <w:r>
        <w:t xml:space="preserve"> </w:t>
      </w:r>
      <w:r>
        <w:rPr>
          <w:bCs/>
          <w:b/>
        </w:rPr>
        <w:t xml:space="preserve">long-lived connections</w:t>
      </w:r>
      <w:r>
        <w:t xml:space="preserve"> </w:t>
      </w:r>
      <w:r>
        <w:t xml:space="preserve">and</w:t>
      </w:r>
      <w:r>
        <w:t xml:space="preserve"> </w:t>
      </w:r>
      <w:r>
        <w:rPr>
          <w:bCs/>
          <w:b/>
        </w:rPr>
        <w:t xml:space="preserve">less middlebox interference</w:t>
      </w:r>
      <w:r>
        <w:t xml:space="preserve">:</w:t>
      </w:r>
    </w:p>
    <w:tbl>
      <w:tblPr>
        <w:tblStyle w:val="Table"/>
        <w:tblW w:type="pct" w:w="5000"/>
        <w:tblLook w:firstRow="1" w:lastRow="0" w:firstColumn="0" w:lastColumn="0" w:noHBand="0" w:noVBand="0" w:val="0020"/>
        <w:jc w:val="start"/>
      </w:tblPr>
      <w:tblGrid>
        <w:gridCol w:w="1980"/>
        <w:gridCol w:w="1732"/>
        <w:gridCol w:w="4207"/>
      </w:tblGrid>
      <w:tr>
        <w:trPr>
          <w:tblHeader w:val="true"/>
        </w:trPr>
        <w:tc>
          <w:tcPr/>
          <w:p>
            <w:pPr>
              <w:pStyle w:val="Compact"/>
              <w:jc w:val="left"/>
            </w:pPr>
            <w:r>
              <w:t xml:space="preserve">Factor</w:t>
            </w:r>
          </w:p>
        </w:tc>
        <w:tc>
          <w:tcPr/>
          <w:p>
            <w:pPr>
              <w:pStyle w:val="Compact"/>
              <w:jc w:val="left"/>
            </w:pPr>
            <w:r>
              <w:t xml:space="preserve">Kafka</w:t>
            </w:r>
          </w:p>
        </w:tc>
        <w:tc>
          <w:tcPr/>
          <w:p>
            <w:pPr>
              <w:pStyle w:val="Compact"/>
              <w:jc w:val="left"/>
            </w:pPr>
            <w:r>
              <w:t xml:space="preserve">AMQP (RabbitMQ)</w:t>
            </w:r>
          </w:p>
        </w:tc>
      </w:tr>
      <w:tr>
        <w:tc>
          <w:tcPr/>
          <w:p>
            <w:pPr>
              <w:pStyle w:val="Compact"/>
              <w:jc w:val="left"/>
            </w:pPr>
            <w:r>
              <w:t xml:space="preserve">Connection pattern</w:t>
            </w:r>
          </w:p>
        </w:tc>
        <w:tc>
          <w:tcPr/>
          <w:p>
            <w:pPr>
              <w:pStyle w:val="Compact"/>
              <w:jc w:val="left"/>
            </w:pPr>
            <w:r>
              <w:t xml:space="preserve">Long-lived TCP</w:t>
            </w:r>
          </w:p>
        </w:tc>
        <w:tc>
          <w:tcPr/>
          <w:p>
            <w:pPr>
              <w:pStyle w:val="Compact"/>
              <w:jc w:val="left"/>
            </w:pPr>
            <w:r>
              <w:t xml:space="preserve">Long-lived TCP</w:t>
            </w:r>
          </w:p>
        </w:tc>
      </w:tr>
      <w:tr>
        <w:tc>
          <w:tcPr/>
          <w:p>
            <w:pPr>
              <w:pStyle w:val="Compact"/>
              <w:jc w:val="left"/>
            </w:pPr>
            <w:r>
              <w:t xml:space="preserve">Client diversity</w:t>
            </w:r>
          </w:p>
        </w:tc>
        <w:tc>
          <w:tcPr/>
          <w:p>
            <w:pPr>
              <w:pStyle w:val="Compact"/>
              <w:jc w:val="left"/>
            </w:pPr>
            <w:r>
              <w:t xml:space="preserve">Internal microservices</w:t>
            </w:r>
          </w:p>
        </w:tc>
        <w:tc>
          <w:tcPr/>
          <w:p>
            <w:pPr>
              <w:pStyle w:val="Compact"/>
              <w:jc w:val="left"/>
            </w:pPr>
            <w:r>
              <w:t xml:space="preserve">Internal + some partner integrations</w:t>
            </w:r>
          </w:p>
        </w:tc>
      </w:tr>
      <w:tr>
        <w:tc>
          <w:tcPr/>
          <w:p>
            <w:pPr>
              <w:pStyle w:val="Compact"/>
              <w:jc w:val="left"/>
            </w:pPr>
            <w:r>
              <w:t xml:space="preserve">Certificate rotation</w:t>
            </w:r>
          </w:p>
        </w:tc>
        <w:tc>
          <w:tcPr/>
          <w:p>
            <w:pPr>
              <w:pStyle w:val="Compact"/>
              <w:jc w:val="left"/>
            </w:pPr>
            <w:r>
              <w:t xml:space="preserve">Rolling broker restart</w:t>
            </w:r>
          </w:p>
        </w:tc>
        <w:tc>
          <w:tcPr/>
          <w:p>
            <w:pPr>
              <w:pStyle w:val="Compact"/>
              <w:jc w:val="left"/>
            </w:pPr>
            <w:r>
              <w:t xml:space="preserve">Queue depth during restart</w:t>
            </w:r>
          </w:p>
        </w:tc>
      </w:tr>
      <w:tr>
        <w:tc>
          <w:tcPr/>
          <w:p>
            <w:pPr>
              <w:pStyle w:val="Compact"/>
              <w:jc w:val="left"/>
            </w:pPr>
            <w:r>
              <w:t xml:space="preserve">Policy enforcement</w:t>
            </w:r>
          </w:p>
        </w:tc>
        <w:tc>
          <w:tcPr/>
          <w:p>
            <w:pPr>
              <w:pStyle w:val="Compact"/>
              <w:jc w:val="left"/>
            </w:pPr>
            <w:r>
              <w:t xml:space="preserve">ACLs + TLS</w:t>
            </w:r>
          </w:p>
        </w:tc>
        <w:tc>
          <w:tcPr/>
          <w:p>
            <w:pPr>
              <w:pStyle w:val="Compact"/>
              <w:jc w:val="left"/>
            </w:pPr>
            <w:r>
              <w:t xml:space="preserve">SASL + TLS</w:t>
            </w:r>
          </w:p>
        </w:tc>
      </w:tr>
    </w:tbl>
    <w:p>
      <w:pPr>
        <w:pStyle w:val="BodyText"/>
      </w:pPr>
      <w:r>
        <w:t xml:space="preserve">Meridian’s payment notification bus (RabbitMQ) migrated in</w:t>
      </w:r>
      <w:r>
        <w:t xml:space="preserve"> </w:t>
      </w:r>
      <w:r>
        <w:rPr>
          <w:bCs/>
          <w:b/>
        </w:rPr>
        <w:t xml:space="preserve">lockstep with internal mesh CA</w:t>
      </w:r>
      <w:r>
        <w:t xml:space="preserve"> </w:t>
      </w:r>
      <w:r>
        <w:t xml:space="preserve">— AMQP TLS policy inherited</w:t>
      </w:r>
      <w:r>
        <w:t xml:space="preserve"> </w:t>
      </w:r>
      <w:r>
        <w:rPr>
          <w:rStyle w:val="VerbatimChar"/>
        </w:rPr>
        <w:t xml:space="preserve">trusts</w:t>
      </w:r>
      <w:r>
        <w:t xml:space="preserve"> </w:t>
      </w:r>
      <w:r>
        <w:t xml:space="preserve">edge from mesh root migration; attempting AMQP-first migration failed CDG review because client certs chained to unreleased ML-DSA intermediate.</w:t>
      </w:r>
    </w:p>
    <w:bookmarkEnd w:id="58"/>
    <w:bookmarkStart w:id="59" w:name="mqtt-and-iot-messaging-brief"/>
    <w:p>
      <w:pPr>
        <w:pStyle w:val="Heading3"/>
      </w:pPr>
      <w:r>
        <w:t xml:space="preserve">MQTT and IoT messaging (brief)</w:t>
      </w:r>
    </w:p>
    <w:p>
      <w:pPr>
        <w:pStyle w:val="FirstParagraph"/>
      </w:pPr>
      <w:r>
        <w:t xml:space="preserve">MQTT over TLS appears in IoT and OT gateways — often on</w:t>
      </w:r>
      <w:r>
        <w:t xml:space="preserve"> </w:t>
      </w:r>
      <w:r>
        <w:rPr>
          <w:bCs/>
          <w:b/>
        </w:rPr>
        <w:t xml:space="preserve">constrained libraries</w:t>
      </w:r>
      <w:r>
        <w:t xml:space="preserve"> </w:t>
      </w:r>
      <w:r>
        <w:t xml:space="preserve">(mbedTLS, WolfSSL). Northfield’s OT gateway nodes carry</w:t>
      </w:r>
      <w:r>
        <w:t xml:space="preserve"> </w:t>
      </w:r>
      <w:r>
        <w:rPr>
          <w:rStyle w:val="VerbatimChar"/>
        </w:rPr>
        <w:t xml:space="preserve">protocol_class: mqtt-tls</w:t>
      </w:r>
      <w:r>
        <w:t xml:space="preserve"> </w:t>
      </w:r>
      <w:r>
        <w:t xml:space="preserve">with</w:t>
      </w:r>
      <w:r>
        <w:t xml:space="preserve"> </w:t>
      </w:r>
      <w:r>
        <w:rPr>
          <w:bCs/>
          <w:b/>
        </w:rPr>
        <w:t xml:space="preserve">vendor-gated</w:t>
      </w:r>
      <w:r>
        <w:t xml:space="preserve"> </w:t>
      </w:r>
      <w:r>
        <w:t xml:space="preserve">PQC timelines separate from WAN IPsec. Do not assume Kafka playbooks transfer to embedded MQTT without per-device CDG assessment.</w:t>
      </w:r>
    </w:p>
    <w:p>
      <w:r>
        <w:pict>
          <v:rect style="width:0;height:1.5pt" o:hralign="center" o:hrstd="t" o:hr="t"/>
        </w:pict>
      </w:r>
    </w:p>
    <w:bookmarkEnd w:id="59"/>
    <w:bookmarkEnd w:id="60"/>
    <w:bookmarkStart w:id="65" w:name="api-mutual-tls-recap-and-integration"/>
    <w:p>
      <w:pPr>
        <w:pStyle w:val="Heading2"/>
      </w:pPr>
      <w:r>
        <w:t xml:space="preserve">12.10 API Mutual TLS: Recap and Integration</w:t>
      </w:r>
    </w:p>
    <w:p>
      <w:pPr>
        <w:pStyle w:val="FirstParagraph"/>
      </w:pPr>
      <w:r>
        <w:t xml:space="preserve">Mutual TLS is TLS with</w:t>
      </w:r>
      <w:r>
        <w:t xml:space="preserve"> </w:t>
      </w:r>
      <w:r>
        <w:rPr>
          <w:bCs/>
          <w:b/>
        </w:rPr>
        <w:t xml:space="preserve">client certificate authentication</w:t>
      </w:r>
      <w:r>
        <w:t xml:space="preserve"> </w:t>
      </w:r>
      <w:r>
        <w:t xml:space="preserve">— doubling the certificate migration problem. Chapter 8 established partner mTLS policy as a canonical blocking node; this section consolidates</w:t>
      </w:r>
      <w:r>
        <w:t xml:space="preserve"> </w:t>
      </w:r>
      <w:r>
        <w:rPr>
          <w:bCs/>
          <w:b/>
        </w:rPr>
        <w:t xml:space="preserve">mTLS protocol transition</w:t>
      </w:r>
      <w:r>
        <w:t xml:space="preserve"> </w:t>
      </w:r>
      <w:r>
        <w:t xml:space="preserve">for readers executing Wave 0–2.</w:t>
      </w:r>
    </w:p>
    <w:bookmarkStart w:id="61" w:name="bidirectional-dependency-model"/>
    <w:p>
      <w:pPr>
        <w:pStyle w:val="Heading3"/>
      </w:pPr>
      <w:r>
        <w:t xml:space="preserve">Bidirectional dependency model</w:t>
      </w:r>
    </w:p>
    <w:p>
      <w:pPr>
        <w:pStyle w:val="FirstParagraph"/>
      </w:pPr>
      <w:r>
        <w:t xml:space="preserve">CDG must represent mTLS as</w:t>
      </w:r>
      <w:r>
        <w:t xml:space="preserve"> </w:t>
      </w:r>
      <w:r>
        <w:rPr>
          <w:bCs/>
          <w:b/>
        </w:rPr>
        <w:t xml:space="preserve">two trust chains</w:t>
      </w:r>
      <w:r>
        <w:t xml:space="preserve">:</w:t>
      </w:r>
    </w:p>
    <w:p>
      <w:pPr>
        <w:pStyle w:val="SourceCode"/>
      </w:pPr>
      <w:r>
        <w:rPr>
          <w:rStyle w:val="VerbatimChar"/>
        </w:rPr>
        <w:t xml:space="preserve">[Client] --presents--&gt; [Client cert] --chains-to--&gt; [Partner or tenant CA]</w:t>
      </w:r>
      <w:r>
        <w:br/>
      </w:r>
      <w:r>
        <w:rPr>
          <w:rStyle w:val="VerbatimChar"/>
        </w:rPr>
        <w:t xml:space="preserve">[Client] --verifies--&gt; [Server cert] --chains-to--&gt; [Enterprise issuing CA]</w:t>
      </w:r>
      <w:r>
        <w:br/>
      </w:r>
      <w:r>
        <w:rPr>
          <w:rStyle w:val="VerbatimChar"/>
        </w:rPr>
        <w:t xml:space="preserve">[Server] --verifies--&gt; [Client cert]</w:t>
      </w:r>
      <w:r>
        <w:br/>
      </w:r>
      <w:r>
        <w:rPr>
          <w:rStyle w:val="VerbatimChar"/>
        </w:rPr>
        <w:t xml:space="preserve">[Server] --presents--&gt; [Server cert]</w:t>
      </w:r>
    </w:p>
    <w:p>
      <w:pPr>
        <w:pStyle w:val="FirstParagraph"/>
      </w:pPr>
      <w:r>
        <w:t xml:space="preserve">Either chain blocking prevents mTLS transition — GlobalSync’s nine-month production block occurred because</w:t>
      </w:r>
      <w:r>
        <w:t xml:space="preserve"> </w:t>
      </w:r>
      <w:r>
        <w:rPr>
          <w:bCs/>
          <w:b/>
        </w:rPr>
        <w:t xml:space="preserve">partner client certificate policy</w:t>
      </w:r>
      <w:r>
        <w:t xml:space="preserve"> </w:t>
      </w:r>
      <w:r>
        <w:t xml:space="preserve">rejected ML-DSA while server-side hybrid TLS succeeded.</w:t>
      </w:r>
    </w:p>
    <w:bookmarkEnd w:id="61"/>
    <w:bookmarkStart w:id="62" w:name="meridian-mtls-transition"/>
    <w:p>
      <w:pPr>
        <w:pStyle w:val="Heading3"/>
      </w:pPr>
      <w:r>
        <w:t xml:space="preserve">Meridian mTLS transition</w:t>
      </w:r>
    </w:p>
    <w:p>
      <w:pPr>
        <w:pStyle w:val="FirstParagraph"/>
      </w:pPr>
      <w:r>
        <w:t xml:space="preserve">Meridian’s retail API pilot was</w:t>
      </w:r>
      <w:r>
        <w:t xml:space="preserve"> </w:t>
      </w:r>
      <w:r>
        <w:rPr>
          <w:bCs/>
          <w:b/>
        </w:rPr>
        <w:t xml:space="preserve">server-authenticated TLS</w:t>
      </w:r>
      <w:r>
        <w:t xml:space="preserve"> </w:t>
      </w:r>
      <w:r>
        <w:t xml:space="preserve">only. Meridian’s</w:t>
      </w:r>
      <w:r>
        <w:t xml:space="preserve"> </w:t>
      </w:r>
      <w:r>
        <w:rPr>
          <w:bCs/>
          <w:b/>
        </w:rPr>
        <w:t xml:space="preserve">corporate treasury mTLS</w:t>
      </w:r>
      <w:r>
        <w:t xml:space="preserve"> </w:t>
      </w:r>
      <w:r>
        <w:t xml:space="preserve">programme — higher TRADE Regulatory score — required:</w:t>
      </w:r>
    </w:p>
    <w:tbl>
      <w:tblPr>
        <w:tblStyle w:val="Table"/>
        <w:tblW w:type="pct" w:w="5000"/>
        <w:tblLook w:firstRow="1" w:lastRow="0" w:firstColumn="0" w:lastColumn="0" w:noHBand="0" w:noVBand="0" w:val="0020"/>
        <w:jc w:val="start"/>
      </w:tblPr>
      <w:tblGrid>
        <w:gridCol w:w="2795"/>
        <w:gridCol w:w="2795"/>
        <w:gridCol w:w="2329"/>
      </w:tblGrid>
      <w:tr>
        <w:trPr>
          <w:tblHeader w:val="true"/>
        </w:trPr>
        <w:tc>
          <w:tcPr/>
          <w:p>
            <w:pPr>
              <w:pStyle w:val="Compact"/>
              <w:jc w:val="left"/>
            </w:pPr>
            <w:r>
              <w:t xml:space="preserve">Workstream</w:t>
            </w:r>
          </w:p>
        </w:tc>
        <w:tc>
          <w:tcPr/>
          <w:p>
            <w:pPr>
              <w:pStyle w:val="Compact"/>
              <w:jc w:val="left"/>
            </w:pPr>
            <w:r>
              <w:t xml:space="preserve">Dependency</w:t>
            </w:r>
          </w:p>
        </w:tc>
        <w:tc>
          <w:tcPr/>
          <w:p>
            <w:pPr>
              <w:pStyle w:val="Compact"/>
              <w:jc w:val="left"/>
            </w:pPr>
            <w:r>
              <w:t xml:space="preserve">Timeline</w:t>
            </w:r>
          </w:p>
        </w:tc>
      </w:tr>
      <w:tr>
        <w:tc>
          <w:tcPr/>
          <w:p>
            <w:pPr>
              <w:pStyle w:val="Compact"/>
              <w:jc w:val="left"/>
            </w:pPr>
            <w:r>
              <w:t xml:space="preserve">Server hybrid TLS</w:t>
            </w:r>
          </w:p>
        </w:tc>
        <w:tc>
          <w:tcPr/>
          <w:p>
            <w:pPr>
              <w:pStyle w:val="Compact"/>
              <w:jc w:val="left"/>
            </w:pPr>
            <w:r>
              <w:t xml:space="preserve">Load balancer + OpenSSL 3.5</w:t>
            </w:r>
          </w:p>
        </w:tc>
        <w:tc>
          <w:tcPr/>
          <w:p>
            <w:pPr>
              <w:pStyle w:val="Compact"/>
              <w:jc w:val="left"/>
            </w:pPr>
            <w:r>
              <w:t xml:space="preserve">Completed H1 Q2 2026</w:t>
            </w:r>
          </w:p>
        </w:tc>
      </w:tr>
      <w:tr>
        <w:tc>
          <w:tcPr/>
          <w:p>
            <w:pPr>
              <w:pStyle w:val="Compact"/>
              <w:jc w:val="left"/>
            </w:pPr>
            <w:r>
              <w:t xml:space="preserve">Server ML-DSA certificate</w:t>
            </w:r>
          </w:p>
        </w:tc>
        <w:tc>
          <w:tcPr/>
          <w:p>
            <w:pPr>
              <w:pStyle w:val="Compact"/>
              <w:jc w:val="left"/>
            </w:pPr>
            <w:r>
              <w:t xml:space="preserve">Issuing CA profile (Chapter 13)</w:t>
            </w:r>
          </w:p>
        </w:tc>
        <w:tc>
          <w:tcPr/>
          <w:p>
            <w:pPr>
              <w:pStyle w:val="Compact"/>
              <w:jc w:val="left"/>
            </w:pPr>
            <w:r>
              <w:t xml:space="preserve">Blocked until CA migration wave</w:t>
            </w:r>
          </w:p>
        </w:tc>
      </w:tr>
      <w:tr>
        <w:tc>
          <w:tcPr/>
          <w:p>
            <w:pPr>
              <w:pStyle w:val="Compact"/>
              <w:jc w:val="left"/>
            </w:pPr>
            <w:r>
              <w:t xml:space="preserve">Client cert issuance (corporate)</w:t>
            </w:r>
          </w:p>
        </w:tc>
        <w:tc>
          <w:tcPr/>
          <w:p>
            <w:pPr>
              <w:pStyle w:val="Compact"/>
              <w:jc w:val="left"/>
            </w:pPr>
            <w:r>
              <w:t xml:space="preserve">Internal PKI ML-DSA profiles</w:t>
            </w:r>
          </w:p>
        </w:tc>
        <w:tc>
          <w:tcPr/>
          <w:p>
            <w:pPr>
              <w:pStyle w:val="Compact"/>
              <w:jc w:val="left"/>
            </w:pPr>
            <w:r>
              <w:t xml:space="preserve">Parallel to server</w:t>
            </w:r>
          </w:p>
        </w:tc>
      </w:tr>
      <w:tr>
        <w:tc>
          <w:tcPr/>
          <w:p>
            <w:pPr>
              <w:pStyle w:val="Compact"/>
              <w:jc w:val="left"/>
            </w:pPr>
            <w:r>
              <w:t xml:space="preserve">Partner bank mTLS</w:t>
            </w:r>
          </w:p>
        </w:tc>
        <w:tc>
          <w:tcPr/>
          <w:p>
            <w:pPr>
              <w:pStyle w:val="Compact"/>
              <w:jc w:val="left"/>
            </w:pPr>
            <w:r>
              <w:t xml:space="preserve">External trust policy</w:t>
            </w:r>
          </w:p>
        </w:tc>
        <w:tc>
          <w:tcPr/>
          <w:p>
            <w:pPr>
              <w:pStyle w:val="Compact"/>
              <w:jc w:val="left"/>
            </w:pPr>
            <w:r>
              <w:rPr>
                <w:bCs/>
                <w:b/>
              </w:rPr>
              <w:t xml:space="preserve">Slowest partner: 14-month negotiation</w:t>
            </w:r>
          </w:p>
        </w:tc>
      </w:tr>
    </w:tbl>
    <w:p>
      <w:pPr>
        <w:pStyle w:val="BodyText"/>
      </w:pPr>
      <w:r>
        <w:t xml:space="preserve">Meridian’s CDG showed</w:t>
      </w:r>
      <w:r>
        <w:t xml:space="preserve"> </w:t>
      </w:r>
      <w:r>
        <w:rPr>
          <w:bCs/>
          <w:b/>
        </w:rPr>
        <w:t xml:space="preserve">one partner bank</w:t>
      </w:r>
      <w:r>
        <w:t xml:space="preserve"> </w:t>
      </w:r>
      <w:r>
        <w:t xml:space="preserve">with fourteen downstream workflows — that partner’s migration timeline set the programme pace for treasury mTLS, not Meridian’s internal readiness.</w:t>
      </w:r>
    </w:p>
    <w:bookmarkEnd w:id="62"/>
    <w:bookmarkStart w:id="63" w:name="globalsync-partner-mtls-synchronisation"/>
    <w:p>
      <w:pPr>
        <w:pStyle w:val="Heading3"/>
      </w:pPr>
      <w:r>
        <w:t xml:space="preserve">GlobalSync partner mTLS synchronisation</w:t>
      </w:r>
    </w:p>
    <w:p>
      <w:pPr>
        <w:pStyle w:val="FirstParagraph"/>
      </w:pPr>
      <w:r>
        <w:t xml:space="preserve">Marcus Chen’s partner programme contacted</w:t>
      </w:r>
      <w:r>
        <w:t xml:space="preserve"> </w:t>
      </w:r>
      <w:r>
        <w:rPr>
          <w:bCs/>
          <w:b/>
        </w:rPr>
        <w:t xml:space="preserve">400 partners</w:t>
      </w:r>
      <w:r>
        <w:t xml:space="preserve">;</w:t>
      </w:r>
      <w:r>
        <w:t xml:space="preserve"> </w:t>
      </w:r>
      <w:r>
        <w:rPr>
          <w:bCs/>
          <w:b/>
        </w:rPr>
        <w:t xml:space="preserve">200</w:t>
      </w:r>
      <w:r>
        <w:t xml:space="preserve"> </w:t>
      </w:r>
      <w:r>
        <w:t xml:space="preserve">actively integrated;</w:t>
      </w:r>
      <w:r>
        <w:t xml:space="preserve"> </w:t>
      </w:r>
      <w:r>
        <w:rPr>
          <w:bCs/>
          <w:b/>
        </w:rPr>
        <w:t xml:space="preserve">85</w:t>
      </w:r>
      <w:r>
        <w:t xml:space="preserve"> </w:t>
      </w:r>
      <w:r>
        <w:t xml:space="preserve">accepted pilot hybrid profiles by month nine. Production policy:</w:t>
      </w:r>
    </w:p>
    <w:p>
      <w:pPr>
        <w:numPr>
          <w:ilvl w:val="0"/>
          <w:numId w:val="1008"/>
        </w:numPr>
        <w:pStyle w:val="Compact"/>
      </w:pPr>
      <w:r>
        <w:t xml:space="preserve">No hybrid</w:t>
      </w:r>
      <w:r>
        <w:t xml:space="preserve"> </w:t>
      </w:r>
      <w:r>
        <w:rPr>
          <w:bCs/>
          <w:b/>
        </w:rPr>
        <w:t xml:space="preserve">client</w:t>
      </w:r>
      <w:r>
        <w:t xml:space="preserve"> </w:t>
      </w:r>
      <w:r>
        <w:t xml:space="preserve">certificates until</w:t>
      </w:r>
      <w:r>
        <w:t xml:space="preserve"> </w:t>
      </w:r>
      <w:r>
        <w:rPr>
          <w:rStyle w:val="VerbatimChar"/>
        </w:rPr>
        <w:t xml:space="preserve">partner_acceptance_pct</w:t>
      </w:r>
      <w:r>
        <w:t xml:space="preserve"> </w:t>
      </w:r>
      <w:r>
        <w:t xml:space="preserve">exceeded</w:t>
      </w:r>
      <w:r>
        <w:t xml:space="preserve"> </w:t>
      </w:r>
      <w:r>
        <w:rPr>
          <w:bCs/>
          <w:b/>
        </w:rPr>
        <w:t xml:space="preserve">85%</w:t>
      </w:r>
      <w:r>
        <w:t xml:space="preserve"> </w:t>
      </w:r>
      <w:r>
        <w:t xml:space="preserve">on CDG node</w:t>
      </w:r>
      <w:r>
        <w:t xml:space="preserve"> </w:t>
      </w:r>
      <w:r>
        <w:rPr>
          <w:rStyle w:val="VerbatimChar"/>
        </w:rPr>
        <w:t xml:space="preserve">partner-mtls-policy-v3</w:t>
      </w:r>
    </w:p>
    <w:p>
      <w:pPr>
        <w:numPr>
          <w:ilvl w:val="0"/>
          <w:numId w:val="1008"/>
        </w:numPr>
        <w:pStyle w:val="Compact"/>
      </w:pPr>
      <w:r>
        <w:t xml:space="preserve">Parallel policy profiles:</w:t>
      </w:r>
      <w:r>
        <w:t xml:space="preserve"> </w:t>
      </w:r>
      <w:r>
        <w:rPr>
          <w:rStyle w:val="VerbatimChar"/>
        </w:rPr>
        <w:t xml:space="preserve">gs-partner-mtls-v2</w:t>
      </w:r>
      <w:r>
        <w:t xml:space="preserve"> </w:t>
      </w:r>
      <w:r>
        <w:t xml:space="preserve">(classical) and</w:t>
      </w:r>
      <w:r>
        <w:t xml:space="preserve"> </w:t>
      </w:r>
      <w:r>
        <w:rPr>
          <w:rStyle w:val="VerbatimChar"/>
        </w:rPr>
        <w:t xml:space="preserve">gs-partner-mtls-v3</w:t>
      </w:r>
      <w:r>
        <w:t xml:space="preserve"> </w:t>
      </w:r>
      <w:r>
        <w:t xml:space="preserve">(hybrid-capable)</w:t>
      </w:r>
    </w:p>
    <w:p>
      <w:pPr>
        <w:numPr>
          <w:ilvl w:val="0"/>
          <w:numId w:val="1008"/>
        </w:numPr>
        <w:pStyle w:val="Compact"/>
      </w:pPr>
      <w:r>
        <w:t xml:space="preserve">Microservices consumed</w:t>
      </w:r>
      <w:r>
        <w:t xml:space="preserve"> </w:t>
      </w:r>
      <w:r>
        <w:rPr>
          <w:bCs/>
          <w:b/>
        </w:rPr>
        <w:t xml:space="preserve">central negotiation policy</w:t>
      </w:r>
      <w:r>
        <w:t xml:space="preserve"> </w:t>
      </w:r>
      <w:r>
        <w:t xml:space="preserve">— not per-service algorithm choice (Chapter 10)</w:t>
      </w:r>
    </w:p>
    <w:bookmarkEnd w:id="63"/>
    <w:bookmarkStart w:id="64" w:name="mtls-transition-checklist"/>
    <w:p>
      <w:pPr>
        <w:pStyle w:val="Heading3"/>
      </w:pPr>
      <w:r>
        <w:t xml:space="preserve">mTLS transition checklist</w:t>
      </w:r>
    </w:p>
    <w:tbl>
      <w:tblPr>
        <w:tblStyle w:val="Table"/>
        <w:tblW w:type="pct" w:w="5000"/>
        <w:tblLook w:firstRow="1" w:lastRow="0" w:firstColumn="0" w:lastColumn="0" w:noHBand="0" w:noVBand="0" w:val="0020"/>
        <w:jc w:val="start"/>
      </w:tblPr>
      <w:tblGrid>
        <w:gridCol w:w="2376"/>
        <w:gridCol w:w="5544"/>
      </w:tblGrid>
      <w:tr>
        <w:trPr>
          <w:tblHeader w:val="true"/>
        </w:trPr>
        <w:tc>
          <w:tcPr/>
          <w:p>
            <w:pPr>
              <w:pStyle w:val="Compact"/>
              <w:jc w:val="left"/>
            </w:pPr>
            <w:r>
              <w:t xml:space="preserve">Step</w:t>
            </w:r>
          </w:p>
        </w:tc>
        <w:tc>
          <w:tcPr/>
          <w:p>
            <w:pPr>
              <w:pStyle w:val="Compact"/>
              <w:jc w:val="left"/>
            </w:pPr>
            <w:r>
              <w:t xml:space="preserve">Verification</w:t>
            </w:r>
          </w:p>
        </w:tc>
      </w:tr>
      <w:tr>
        <w:tc>
          <w:tcPr/>
          <w:p>
            <w:pPr>
              <w:pStyle w:val="Compact"/>
              <w:jc w:val="left"/>
            </w:pPr>
            <w:r>
              <w:t xml:space="preserve">Server hybrid TLS operational</w:t>
            </w:r>
          </w:p>
        </w:tc>
        <w:tc>
          <w:tcPr/>
          <w:p>
            <w:pPr>
              <w:pStyle w:val="Compact"/>
              <w:jc w:val="left"/>
            </w:pPr>
            <w:r>
              <w:t xml:space="preserve">Telemetry on</w:t>
            </w:r>
            <w:r>
              <w:t xml:space="preserve"> </w:t>
            </w:r>
            <w:r>
              <w:rPr>
                <w:rStyle w:val="VerbatimChar"/>
              </w:rPr>
              <w:t xml:space="preserve">hybrid_negotiation_rate</w:t>
            </w:r>
          </w:p>
        </w:tc>
      </w:tr>
      <w:tr>
        <w:tc>
          <w:tcPr/>
          <w:p>
            <w:pPr>
              <w:pStyle w:val="Compact"/>
              <w:jc w:val="left"/>
            </w:pPr>
            <w:r>
              <w:t xml:space="preserve">Server ML-DSA cert deployed</w:t>
            </w:r>
          </w:p>
        </w:tc>
        <w:tc>
          <w:tcPr/>
          <w:p>
            <w:pPr>
              <w:pStyle w:val="Compact"/>
              <w:jc w:val="left"/>
            </w:pPr>
            <w:r>
              <w:t xml:space="preserve">Chain validation from partner network</w:t>
            </w:r>
          </w:p>
        </w:tc>
      </w:tr>
      <w:tr>
        <w:tc>
          <w:tcPr/>
          <w:p>
            <w:pPr>
              <w:pStyle w:val="Compact"/>
              <w:jc w:val="left"/>
            </w:pPr>
            <w:r>
              <w:t xml:space="preserve">Partner trust store accepts ML-DSA issuers</w:t>
            </w:r>
          </w:p>
        </w:tc>
        <w:tc>
          <w:tcPr/>
          <w:p>
            <w:pPr>
              <w:pStyle w:val="Compact"/>
              <w:jc w:val="left"/>
            </w:pPr>
            <w:r>
              <w:t xml:space="preserve">Partner-signed test report</w:t>
            </w:r>
          </w:p>
        </w:tc>
      </w:tr>
      <w:tr>
        <w:tc>
          <w:tcPr/>
          <w:p>
            <w:pPr>
              <w:pStyle w:val="Compact"/>
              <w:jc w:val="left"/>
            </w:pPr>
            <w:r>
              <w:t xml:space="preserve">Client ML-DSA certs issued</w:t>
            </w:r>
          </w:p>
        </w:tc>
        <w:tc>
          <w:tcPr/>
          <w:p>
            <w:pPr>
              <w:pStyle w:val="Compact"/>
              <w:jc w:val="left"/>
            </w:pPr>
            <w:r>
              <w:t xml:space="preserve">Provisioning pipeline updated</w:t>
            </w:r>
          </w:p>
        </w:tc>
      </w:tr>
      <w:tr>
        <w:tc>
          <w:tcPr/>
          <w:p>
            <w:pPr>
              <w:pStyle w:val="Compact"/>
              <w:jc w:val="left"/>
            </w:pPr>
            <w:r>
              <w:t xml:space="preserve">Partner client cert verification policy updated</w:t>
            </w:r>
          </w:p>
        </w:tc>
        <w:tc>
          <w:tcPr/>
          <w:p>
            <w:pPr>
              <w:pStyle w:val="Compact"/>
              <w:jc w:val="left"/>
            </w:pPr>
            <w:r>
              <w:t xml:space="preserve">Mutual test environment pass</w:t>
            </w:r>
          </w:p>
        </w:tc>
      </w:tr>
      <w:tr>
        <w:tc>
          <w:tcPr/>
          <w:p>
            <w:pPr>
              <w:pStyle w:val="Compact"/>
              <w:jc w:val="left"/>
            </w:pPr>
            <w:r>
              <w:t xml:space="preserve">Rollback to v2 policy tested</w:t>
            </w:r>
          </w:p>
        </w:tc>
        <w:tc>
          <w:tcPr/>
          <w:p>
            <w:pPr>
              <w:pStyle w:val="Compact"/>
              <w:jc w:val="left"/>
            </w:pPr>
            <w:r>
              <w:t xml:space="preserve">&lt; change window recovery</w:t>
            </w:r>
          </w:p>
        </w:tc>
      </w:tr>
    </w:tbl>
    <w:p>
      <w:pPr>
        <w:pStyle w:val="BlockText"/>
      </w:pPr>
      <w:r>
        <w:rPr>
          <w:bCs/>
          <w:b/>
        </w:rPr>
        <w:t xml:space="preserve">Regulatory Lens</w:t>
      </w:r>
    </w:p>
    <w:p>
      <w:pPr>
        <w:pStyle w:val="BlockText"/>
      </w:pPr>
      <w:r>
        <w:rPr>
          <w:bCs/>
          <w:b/>
        </w:rPr>
        <w:t xml:space="preserve">DORA third-party ICT risk (Articles 28–30)</w:t>
      </w:r>
      <w:r>
        <w:t xml:space="preserve"> </w:t>
      </w:r>
      <w:r>
        <w:t xml:space="preserve">applies to partner mTLS cryptography. Meridian documented partner migration timelines in the third-party risk register with CDG node references — supervisors evaluated</w:t>
      </w:r>
      <w:r>
        <w:t xml:space="preserve"> </w:t>
      </w:r>
      <w:r>
        <w:rPr>
          <w:bCs/>
          <w:b/>
        </w:rPr>
        <w:t xml:space="preserve">process and evidence</w:t>
      </w:r>
      <w:r>
        <w:t xml:space="preserve">, not per-partner algorithm speed. GlobalSync’s</w:t>
      </w:r>
      <w:r>
        <w:t xml:space="preserve"> </w:t>
      </w:r>
      <w:r>
        <w:rPr>
          <w:rStyle w:val="VerbatimChar"/>
        </w:rPr>
        <w:t xml:space="preserve">partner_acceptance_pct</w:t>
      </w:r>
      <w:r>
        <w:t xml:space="preserve"> </w:t>
      </w:r>
      <w:r>
        <w:t xml:space="preserve">metric appeared in quarterly ICT risk reporting.</w:t>
      </w:r>
    </w:p>
    <w:p>
      <w:r>
        <w:pict>
          <v:rect style="width:0;height:1.5pt" o:hralign="center" o:hrstd="t" o:hr="t"/>
        </w:pict>
      </w:r>
    </w:p>
    <w:bookmarkEnd w:id="64"/>
    <w:bookmarkEnd w:id="65"/>
    <w:bookmarkStart w:id="68" w:name="email-smime-and-pki-implications"/>
    <w:p>
      <w:pPr>
        <w:pStyle w:val="Heading2"/>
      </w:pPr>
      <w:r>
        <w:t xml:space="preserve">12.11 Email: S/MIME and PKI Implications</w:t>
      </w:r>
    </w:p>
    <w:p>
      <w:pPr>
        <w:pStyle w:val="FirstParagraph"/>
      </w:pPr>
      <w:r>
        <w:t xml:space="preserve">Email encryption and signing lag TLS in ecosystem readiness but carry</w:t>
      </w:r>
      <w:r>
        <w:t xml:space="preserve"> </w:t>
      </w:r>
      <w:r>
        <w:rPr>
          <w:bCs/>
          <w:b/>
        </w:rPr>
        <w:t xml:space="preserve">long archival verification horizons</w:t>
      </w:r>
      <w:r>
        <w:t xml:space="preserve"> </w:t>
      </w:r>
      <w:r>
        <w:t xml:space="preserve">— legal hold and regulatory archive requirements extend certificate trust decades.</w:t>
      </w:r>
    </w:p>
    <w:bookmarkStart w:id="66" w:name="smime-transition-posture-brief"/>
    <w:p>
      <w:pPr>
        <w:pStyle w:val="Heading3"/>
      </w:pPr>
      <w:r>
        <w:t xml:space="preserve">S/MIME transition posture (brief)</w:t>
      </w:r>
    </w:p>
    <w:tbl>
      <w:tblPr>
        <w:tblStyle w:val="Table"/>
        <w:tblW w:type="pct" w:w="5000"/>
        <w:tblLook w:firstRow="1" w:lastRow="0" w:firstColumn="0" w:lastColumn="0" w:noHBand="0" w:noVBand="0" w:val="0020"/>
        <w:jc w:val="start"/>
      </w:tblPr>
      <w:tblGrid>
        <w:gridCol w:w="1875"/>
        <w:gridCol w:w="2709"/>
        <w:gridCol w:w="3334"/>
      </w:tblGrid>
      <w:tr>
        <w:trPr>
          <w:tblHeader w:val="true"/>
        </w:trPr>
        <w:tc>
          <w:tcPr/>
          <w:p>
            <w:pPr>
              <w:pStyle w:val="Compact"/>
              <w:jc w:val="left"/>
            </w:pPr>
            <w:r>
              <w:t xml:space="preserve">Element</w:t>
            </w:r>
          </w:p>
        </w:tc>
        <w:tc>
          <w:tcPr/>
          <w:p>
            <w:pPr>
              <w:pStyle w:val="Compact"/>
              <w:jc w:val="left"/>
            </w:pPr>
            <w:r>
              <w:t xml:space="preserve">H1 approach</w:t>
            </w:r>
          </w:p>
        </w:tc>
        <w:tc>
          <w:tcPr/>
          <w:p>
            <w:pPr>
              <w:pStyle w:val="Compact"/>
              <w:jc w:val="left"/>
            </w:pPr>
            <w:r>
              <w:t xml:space="preserve">Programme note</w:t>
            </w:r>
          </w:p>
        </w:tc>
      </w:tr>
      <w:tr>
        <w:tc>
          <w:tcPr/>
          <w:p>
            <w:pPr>
              <w:pStyle w:val="Compact"/>
              <w:jc w:val="left"/>
            </w:pPr>
            <w:r>
              <w:t xml:space="preserve">Signing</w:t>
            </w:r>
          </w:p>
        </w:tc>
        <w:tc>
          <w:tcPr/>
          <w:p>
            <w:pPr>
              <w:pStyle w:val="Compact"/>
              <w:jc w:val="left"/>
            </w:pPr>
            <w:r>
              <w:t xml:space="preserve">Dual signature (classical + ML-DSA) or parallel signing keys</w:t>
            </w:r>
          </w:p>
        </w:tc>
        <w:tc>
          <w:tcPr/>
          <w:p>
            <w:pPr>
              <w:pStyle w:val="Compact"/>
              <w:jc w:val="left"/>
            </w:pPr>
            <w:r>
              <w:t xml:space="preserve">Mail gateway support gates production</w:t>
            </w:r>
          </w:p>
        </w:tc>
      </w:tr>
      <w:tr>
        <w:tc>
          <w:tcPr/>
          <w:p>
            <w:pPr>
              <w:pStyle w:val="Compact"/>
              <w:jc w:val="left"/>
            </w:pPr>
            <w:r>
              <w:t xml:space="preserve">Encryption</w:t>
            </w:r>
          </w:p>
        </w:tc>
        <w:tc>
          <w:tcPr/>
          <w:p>
            <w:pPr>
              <w:pStyle w:val="Compact"/>
              <w:jc w:val="left"/>
            </w:pPr>
            <w:r>
              <w:t xml:space="preserve">Classical encryption with ML-KEM key agreement when gateway ready</w:t>
            </w:r>
          </w:p>
        </w:tc>
        <w:tc>
          <w:tcPr/>
          <w:p>
            <w:pPr>
              <w:pStyle w:val="Compact"/>
              <w:jc w:val="left"/>
            </w:pPr>
            <w:r>
              <w:t xml:space="preserve">Often blocked on gateway vendor</w:t>
            </w:r>
          </w:p>
        </w:tc>
      </w:tr>
      <w:tr>
        <w:tc>
          <w:tcPr/>
          <w:p>
            <w:pPr>
              <w:pStyle w:val="Compact"/>
              <w:jc w:val="left"/>
            </w:pPr>
            <w:r>
              <w:t xml:space="preserve">Certificate profile</w:t>
            </w:r>
          </w:p>
        </w:tc>
        <w:tc>
          <w:tcPr/>
          <w:p>
            <w:pPr>
              <w:pStyle w:val="Compact"/>
              <w:jc w:val="left"/>
            </w:pPr>
            <w:r>
              <w:t xml:space="preserve">ML-DSA user certificates</w:t>
            </w:r>
          </w:p>
        </w:tc>
        <w:tc>
          <w:tcPr/>
          <w:p>
            <w:pPr>
              <w:pStyle w:val="Compact"/>
              <w:jc w:val="left"/>
            </w:pPr>
            <w:r>
              <w:t xml:space="preserve">Larger cert size — mail system limits</w:t>
            </w:r>
          </w:p>
        </w:tc>
      </w:tr>
      <w:tr>
        <w:tc>
          <w:tcPr/>
          <w:p>
            <w:pPr>
              <w:pStyle w:val="Compact"/>
              <w:jc w:val="left"/>
            </w:pPr>
            <w:r>
              <w:t xml:space="preserve">Archival verification</w:t>
            </w:r>
          </w:p>
        </w:tc>
        <w:tc>
          <w:tcPr/>
          <w:p>
            <w:pPr>
              <w:pStyle w:val="Compact"/>
              <w:jc w:val="left"/>
            </w:pPr>
            <w:r>
              <w:t xml:space="preserve">Retain classical CA trust for historical messages</w:t>
            </w:r>
          </w:p>
        </w:tc>
        <w:tc>
          <w:tcPr/>
          <w:p>
            <w:pPr>
              <w:pStyle w:val="Compact"/>
              <w:jc w:val="left"/>
            </w:pPr>
            <w:r>
              <w:t xml:space="preserve">CDG</w:t>
            </w:r>
            <w:r>
              <w:t xml:space="preserve"> </w:t>
            </w:r>
            <w:r>
              <w:rPr>
                <w:rStyle w:val="VerbatimChar"/>
              </w:rPr>
              <w:t xml:space="preserve">verifies</w:t>
            </w:r>
            <w:r>
              <w:t xml:space="preserve"> </w:t>
            </w:r>
            <w:r>
              <w:t xml:space="preserve">edges to retired CAs</w:t>
            </w:r>
          </w:p>
        </w:tc>
      </w:tr>
      <w:tr>
        <w:tc>
          <w:tcPr/>
          <w:p>
            <w:pPr>
              <w:pStyle w:val="Compact"/>
              <w:jc w:val="left"/>
            </w:pPr>
            <w:r>
              <w:t xml:space="preserve">Gateway appliances</w:t>
            </w:r>
          </w:p>
        </w:tc>
        <w:tc>
          <w:tcPr/>
          <w:p>
            <w:pPr>
              <w:pStyle w:val="Compact"/>
              <w:jc w:val="left"/>
            </w:pPr>
            <w:r>
              <w:t xml:space="preserve">Proofpoint, Mimecast, Microsoft 365</w:t>
            </w:r>
          </w:p>
        </w:tc>
        <w:tc>
          <w:tcPr/>
          <w:p>
            <w:pPr>
              <w:pStyle w:val="Compact"/>
              <w:jc w:val="left"/>
            </w:pPr>
            <w:r>
              <w:t xml:space="preserve">Vendor roadmap is blocking node</w:t>
            </w:r>
          </w:p>
        </w:tc>
      </w:tr>
    </w:tbl>
    <w:p>
      <w:pPr>
        <w:pStyle w:val="BodyText"/>
      </w:pPr>
      <w:r>
        <w:t xml:space="preserve">Meridian legal hold archives required verifying</w:t>
      </w:r>
      <w:r>
        <w:t xml:space="preserve"> </w:t>
      </w:r>
      <w:r>
        <w:rPr>
          <w:bCs/>
          <w:b/>
        </w:rPr>
        <w:t xml:space="preserve">ten-year-old S/MIME signatures</w:t>
      </w:r>
      <w:r>
        <w:t xml:space="preserve"> </w:t>
      </w:r>
      <w:r>
        <w:t xml:space="preserve">— CDG</w:t>
      </w:r>
      <w:r>
        <w:t xml:space="preserve"> </w:t>
      </w:r>
      <w:r>
        <w:rPr>
          <w:rStyle w:val="VerbatimChar"/>
        </w:rPr>
        <w:t xml:space="preserve">verifies</w:t>
      </w:r>
      <w:r>
        <w:t xml:space="preserve"> </w:t>
      </w:r>
      <w:r>
        <w:t xml:space="preserve">edges from archive systems to retired CA nodes informed Wave 2 PKI planning (Chapter 8 §8.48). S/MIME transition is</w:t>
      </w:r>
      <w:r>
        <w:t xml:space="preserve"> </w:t>
      </w:r>
      <w:r>
        <w:rPr>
          <w:bCs/>
          <w:b/>
        </w:rPr>
        <w:t xml:space="preserve">Wave 2–3</w:t>
      </w:r>
      <w:r>
        <w:t xml:space="preserve"> </w:t>
      </w:r>
      <w:r>
        <w:t xml:space="preserve">for most enterprises — not because email is unimportant, but because gateway ecosystem readiness trails TLS by years.</w:t>
      </w:r>
    </w:p>
    <w:bookmarkEnd w:id="66"/>
    <w:bookmarkStart w:id="67" w:name="practical-recommendation"/>
    <w:p>
      <w:pPr>
        <w:pStyle w:val="Heading3"/>
      </w:pPr>
      <w:r>
        <w:t xml:space="preserve">Practical recommendation</w:t>
      </w:r>
    </w:p>
    <w:p>
      <w:pPr>
        <w:numPr>
          <w:ilvl w:val="0"/>
          <w:numId w:val="1009"/>
        </w:numPr>
        <w:pStyle w:val="Compact"/>
      </w:pPr>
      <w:r>
        <w:t xml:space="preserve">Inventory S/MIME usage in CBOM — often discovered only through mail gateway logs</w:t>
      </w:r>
    </w:p>
    <w:p>
      <w:pPr>
        <w:numPr>
          <w:ilvl w:val="0"/>
          <w:numId w:val="1009"/>
        </w:numPr>
        <w:pStyle w:val="Compact"/>
      </w:pPr>
      <w:r>
        <w:t xml:space="preserve">Coordinate with Chapter 13 PKI user certificate profiles before gateway cutover</w:t>
      </w:r>
    </w:p>
    <w:p>
      <w:pPr>
        <w:numPr>
          <w:ilvl w:val="0"/>
          <w:numId w:val="1009"/>
        </w:numPr>
        <w:pStyle w:val="Compact"/>
      </w:pPr>
      <w:r>
        <w:t xml:space="preserve">Do not retire classical CA trust anchors until archival verification horizon expires</w:t>
      </w:r>
    </w:p>
    <w:p>
      <w:pPr>
        <w:numPr>
          <w:ilvl w:val="0"/>
          <w:numId w:val="1009"/>
        </w:numPr>
        <w:pStyle w:val="Compact"/>
      </w:pPr>
      <w:r>
        <w:t xml:space="preserve">Executive communications may justify earlier H1 dual-sign — scope narrowly, not enterprise-wide</w:t>
      </w:r>
    </w:p>
    <w:p>
      <w:r>
        <w:pict>
          <v:rect style="width:0;height:1.5pt" o:hralign="center" o:hrstd="t" o:hr="t"/>
        </w:pict>
      </w:r>
    </w:p>
    <w:bookmarkEnd w:id="67"/>
    <w:bookmarkEnd w:id="68"/>
    <w:bookmarkStart w:id="71" w:name="apex-defense-nss-protocol-requirements"/>
    <w:p>
      <w:pPr>
        <w:pStyle w:val="Heading2"/>
      </w:pPr>
      <w:r>
        <w:t xml:space="preserve">12.12 Apex Defense: NSS Protocol Requirements</w:t>
      </w:r>
    </w:p>
    <w:p>
      <w:pPr>
        <w:pStyle w:val="FirstParagraph"/>
      </w:pPr>
      <w:r>
        <w:t xml:space="preserve">Apex Defense Technologies operates</w:t>
      </w:r>
      <w:r>
        <w:t xml:space="preserve"> </w:t>
      </w:r>
      <w:r>
        <w:rPr>
          <w:bCs/>
          <w:b/>
        </w:rPr>
        <w:t xml:space="preserve">dual-track protocol policy</w:t>
      </w:r>
      <w:r>
        <w:t xml:space="preserve"> </w:t>
      </w:r>
      <w:r>
        <w:t xml:space="preserve">— NSS workloads under CNSA 2.0; corporate IT under NIST IR 8547 (Chapter 5 §5.13). Protocol transition adds</w:t>
      </w:r>
      <w:r>
        <w:t xml:space="preserve"> </w:t>
      </w:r>
      <w:r>
        <w:rPr>
          <w:bCs/>
          <w:b/>
        </w:rPr>
        <w:t xml:space="preserve">accreditation and classification boundaries</w:t>
      </w:r>
      <w:r>
        <w:t xml:space="preserve"> </w:t>
      </w:r>
      <w:r>
        <w:t xml:space="preserve">absent from commercial programmes.</w:t>
      </w:r>
    </w:p>
    <w:bookmarkStart w:id="69" w:name="nss-protocol-overlays"/>
    <w:p>
      <w:pPr>
        <w:pStyle w:val="Heading3"/>
      </w:pPr>
      <w:r>
        <w:t xml:space="preserve">NSS protocol overlays</w:t>
      </w:r>
    </w:p>
    <w:tbl>
      <w:tblPr>
        <w:tblStyle w:val="Table"/>
        <w:tblW w:type="pct" w:w="5000"/>
        <w:tblLook w:firstRow="1" w:lastRow="0" w:firstColumn="0" w:lastColumn="0" w:noHBand="0" w:noVBand="0" w:val="0020"/>
        <w:jc w:val="start"/>
      </w:tblPr>
      <w:tblGrid>
        <w:gridCol w:w="1257"/>
        <w:gridCol w:w="4022"/>
        <w:gridCol w:w="2640"/>
      </w:tblGrid>
      <w:tr>
        <w:trPr>
          <w:tblHeader w:val="true"/>
        </w:trPr>
        <w:tc>
          <w:tcPr/>
          <w:p>
            <w:pPr>
              <w:pStyle w:val="Compact"/>
              <w:jc w:val="left"/>
            </w:pPr>
            <w:r>
              <w:t xml:space="preserve">Protocol</w:t>
            </w:r>
          </w:p>
        </w:tc>
        <w:tc>
          <w:tcPr/>
          <w:p>
            <w:pPr>
              <w:pStyle w:val="Compact"/>
              <w:jc w:val="left"/>
            </w:pPr>
            <w:r>
              <w:t xml:space="preserve">CNSA 2.0 posture (illustrative)</w:t>
            </w:r>
          </w:p>
        </w:tc>
        <w:tc>
          <w:tcPr/>
          <w:p>
            <w:pPr>
              <w:pStyle w:val="Compact"/>
              <w:jc w:val="left"/>
            </w:pPr>
            <w:r>
              <w:t xml:space="preserve">Apex programme note</w:t>
            </w:r>
          </w:p>
        </w:tc>
      </w:tr>
      <w:tr>
        <w:tc>
          <w:tcPr/>
          <w:p>
            <w:pPr>
              <w:pStyle w:val="Compact"/>
              <w:jc w:val="left"/>
            </w:pPr>
            <w:r>
              <w:t xml:space="preserve">TLS</w:t>
            </w:r>
          </w:p>
        </w:tc>
        <w:tc>
          <w:tcPr/>
          <w:p>
            <w:pPr>
              <w:pStyle w:val="Compact"/>
              <w:jc w:val="left"/>
            </w:pPr>
            <w:r>
              <w:t xml:space="preserve">ML-KEM-1024 / ML-DSA-87 profiles for NSS</w:t>
            </w:r>
          </w:p>
        </w:tc>
        <w:tc>
          <w:tcPr/>
          <w:p>
            <w:pPr>
              <w:pStyle w:val="Compact"/>
              <w:jc w:val="left"/>
            </w:pPr>
            <w:r>
              <w:t xml:space="preserve">Accelerated H2 vs corporate</w:t>
            </w:r>
          </w:p>
        </w:tc>
      </w:tr>
      <w:tr>
        <w:tc>
          <w:tcPr/>
          <w:p>
            <w:pPr>
              <w:pStyle w:val="Compact"/>
              <w:jc w:val="left"/>
            </w:pPr>
            <w:r>
              <w:t xml:space="preserve">IPsec</w:t>
            </w:r>
          </w:p>
        </w:tc>
        <w:tc>
          <w:tcPr/>
          <w:p>
            <w:pPr>
              <w:pStyle w:val="Compact"/>
              <w:jc w:val="left"/>
            </w:pPr>
            <w:r>
              <w:t xml:space="preserve">NSA-approved IKE profiles when published</w:t>
            </w:r>
          </w:p>
        </w:tc>
        <w:tc>
          <w:tcPr/>
          <w:p>
            <w:pPr>
              <w:pStyle w:val="Compact"/>
              <w:jc w:val="left"/>
            </w:pPr>
            <w:r>
              <w:t xml:space="preserve">Separate from Northfield commercial vendor path</w:t>
            </w:r>
          </w:p>
        </w:tc>
      </w:tr>
      <w:tr>
        <w:tc>
          <w:tcPr/>
          <w:p>
            <w:pPr>
              <w:pStyle w:val="Compact"/>
              <w:jc w:val="left"/>
            </w:pPr>
            <w:r>
              <w:t xml:space="preserve">SSH</w:t>
            </w:r>
          </w:p>
        </w:tc>
        <w:tc>
          <w:tcPr/>
          <w:p>
            <w:pPr>
              <w:pStyle w:val="Compact"/>
              <w:jc w:val="left"/>
            </w:pPr>
            <w:r>
              <w:t xml:space="preserve">NSS bastion requirements</w:t>
            </w:r>
          </w:p>
        </w:tc>
        <w:tc>
          <w:tcPr/>
          <w:p>
            <w:pPr>
              <w:pStyle w:val="Compact"/>
              <w:jc w:val="left"/>
            </w:pPr>
            <w:r>
              <w:t xml:space="preserve">Parallel host keys during accreditation</w:t>
            </w:r>
          </w:p>
        </w:tc>
      </w:tr>
      <w:tr>
        <w:tc>
          <w:tcPr/>
          <w:p>
            <w:pPr>
              <w:pStyle w:val="Compact"/>
              <w:jc w:val="left"/>
            </w:pPr>
            <w:r>
              <w:t xml:space="preserve">Code signing</w:t>
            </w:r>
          </w:p>
        </w:tc>
        <w:tc>
          <w:tcPr/>
          <w:p>
            <w:pPr>
              <w:pStyle w:val="Compact"/>
              <w:jc w:val="left"/>
            </w:pPr>
            <w:r>
              <w:t xml:space="preserve">Dual signature H1 mandatory</w:t>
            </w:r>
          </w:p>
        </w:tc>
        <w:tc>
          <w:tcPr/>
          <w:p>
            <w:pPr>
              <w:pStyle w:val="Compact"/>
              <w:jc w:val="left"/>
            </w:pPr>
            <w:r>
              <w:t xml:space="preserve">Chapter 6; distinct from channel protocols</w:t>
            </w:r>
          </w:p>
        </w:tc>
      </w:tr>
      <w:tr>
        <w:tc>
          <w:tcPr/>
          <w:p>
            <w:pPr>
              <w:pStyle w:val="Compact"/>
              <w:jc w:val="left"/>
            </w:pPr>
            <w:r>
              <w:t xml:space="preserve">Cross-domain guards</w:t>
            </w:r>
          </w:p>
        </w:tc>
        <w:tc>
          <w:tcPr/>
          <w:p>
            <w:pPr>
              <w:pStyle w:val="Compact"/>
              <w:jc w:val="left"/>
            </w:pPr>
            <w:r>
              <w:t xml:space="preserve">Fixed crypto modules</w:t>
            </w:r>
          </w:p>
        </w:tc>
        <w:tc>
          <w:tcPr/>
          <w:p>
            <w:pPr>
              <w:pStyle w:val="Compact"/>
              <w:jc w:val="left"/>
            </w:pPr>
            <w:r>
              <w:rPr>
                <w:rStyle w:val="VerbatimChar"/>
              </w:rPr>
              <w:t xml:space="preserve">accreditation_id</w:t>
            </w:r>
            <w:r>
              <w:t xml:space="preserve"> </w:t>
            </w:r>
            <w:r>
              <w:t xml:space="preserve">on CDG nodes</w:t>
            </w:r>
          </w:p>
        </w:tc>
      </w:tr>
    </w:tbl>
    <w:p>
      <w:pPr>
        <w:pStyle w:val="BodyText"/>
      </w:pPr>
      <w:r>
        <w:t xml:space="preserve">Priya Nair’s wave plan</w:t>
      </w:r>
      <w:r>
        <w:t xml:space="preserve"> </w:t>
      </w:r>
      <w:r>
        <w:rPr>
          <w:bCs/>
          <w:b/>
        </w:rPr>
        <w:t xml:space="preserve">sequenced NSS protocol transitions against contract renewal cycles</w:t>
      </w:r>
      <w:r>
        <w:t xml:space="preserve"> </w:t>
      </w:r>
      <w:r>
        <w:t xml:space="preserve">— a $4.2M renewal linked to vendor firmware signing milestone on CDG node</w:t>
      </w:r>
      <w:r>
        <w:t xml:space="preserve"> </w:t>
      </w:r>
      <w:r>
        <w:rPr>
          <w:rStyle w:val="VerbatimChar"/>
        </w:rPr>
        <w:t xml:space="preserve">nss-fw-sign-v4</w:t>
      </w:r>
      <w:r>
        <w:t xml:space="preserve"> </w:t>
      </w:r>
      <w:r>
        <w:t xml:space="preserve">(Chapter 8 §8.20).</w:t>
      </w:r>
    </w:p>
    <w:bookmarkEnd w:id="69"/>
    <w:bookmarkStart w:id="70" w:name="classified-boundary-constraints"/>
    <w:p>
      <w:pPr>
        <w:pStyle w:val="Heading3"/>
      </w:pPr>
      <w:r>
        <w:t xml:space="preserve">Classified boundary constraints</w:t>
      </w:r>
    </w:p>
    <w:p>
      <w:pPr>
        <w:pStyle w:val="FirstParagraph"/>
      </w:pPr>
      <w:r>
        <w:t xml:space="preserve">Corporate CBOM rows do not automatically merge into NSS CDG —</w:t>
      </w:r>
      <w:r>
        <w:t xml:space="preserve"> </w:t>
      </w:r>
      <w:r>
        <w:rPr>
          <w:rStyle w:val="VerbatimChar"/>
        </w:rPr>
        <w:t xml:space="preserve">boundary_tag: nss</w:t>
      </w:r>
      <w:r>
        <w:t xml:space="preserve"> </w:t>
      </w:r>
      <w:r>
        <w:t xml:space="preserve">prevents unreviewed algorithm policy leakage across classification levels. Protocol transition playbooks exist in</w:t>
      </w:r>
      <w:r>
        <w:t xml:space="preserve"> </w:t>
      </w:r>
      <w:r>
        <w:rPr>
          <w:bCs/>
          <w:b/>
        </w:rPr>
        <w:t xml:space="preserve">two versions</w:t>
      </w:r>
      <w:r>
        <w:t xml:space="preserve">: unclassified reference architecture and controlled NSS variant with CNSA parameter profiles.</w:t>
      </w:r>
    </w:p>
    <w:p>
      <w:pPr>
        <w:pStyle w:val="BlockText"/>
      </w:pPr>
      <w:r>
        <w:rPr>
          <w:bCs/>
          <w:b/>
        </w:rPr>
        <w:t xml:space="preserve">Architect’s Decision</w:t>
      </w:r>
    </w:p>
    <w:p>
      <w:pPr>
        <w:pStyle w:val="BlockText"/>
      </w:pPr>
      <w:r>
        <w:rPr>
          <w:bCs/>
          <w:b/>
        </w:rPr>
        <w:t xml:space="preserve">Do not unify NSS and corporate protocol timelines in executive reporting.</w:t>
      </w:r>
      <w:r>
        <w:t xml:space="preserve"> </w:t>
      </w:r>
      <w:r>
        <w:t xml:space="preserve">Apex’s corporate TLS may reach H2 while NSS SSH remains H1 pending accreditation — accurate per-track reporting prevents false enterprise-wide claims and audit findings.</w:t>
      </w:r>
    </w:p>
    <w:p>
      <w:r>
        <w:pict>
          <v:rect style="width:0;height:1.5pt" o:hralign="center" o:hrstd="t" o:hr="t"/>
        </w:pict>
      </w:r>
    </w:p>
    <w:bookmarkEnd w:id="70"/>
    <w:bookmarkEnd w:id="71"/>
    <w:bookmarkStart w:id="76" w:name="Xcfa658c609339518c1e2c944c8a48a391c21508"/>
    <w:p>
      <w:pPr>
        <w:pStyle w:val="Heading2"/>
      </w:pPr>
      <w:r>
        <w:t xml:space="preserve">12.13 Partner Synchronisation: The Slowest Critical Partner Sets Pace</w:t>
      </w:r>
    </w:p>
    <w:p>
      <w:pPr>
        <w:pStyle w:val="FirstParagraph"/>
      </w:pPr>
      <w:r>
        <w:t xml:space="preserve">Protocol transition across organisational boundaries follows</w:t>
      </w:r>
      <w:r>
        <w:t xml:space="preserve"> </w:t>
      </w:r>
      <w:r>
        <w:rPr>
          <w:bCs/>
          <w:b/>
        </w:rPr>
        <w:t xml:space="preserve">synchronisation logic</w:t>
      </w:r>
      <w:r>
        <w:t xml:space="preserve">, not internal project velocity. Chapter 1 introduced the synchronisation problem; protocol transition is where it becomes measurable weekly.</w:t>
      </w:r>
    </w:p>
    <w:bookmarkStart w:id="72" w:name="the-globalsync-principle"/>
    <w:p>
      <w:pPr>
        <w:pStyle w:val="Heading3"/>
      </w:pPr>
      <w:r>
        <w:t xml:space="preserve">The GlobalSync principle</w:t>
      </w:r>
    </w:p>
    <w:p>
      <w:pPr>
        <w:pStyle w:val="FirstParagraph"/>
      </w:pPr>
      <w:r>
        <w:t xml:space="preserve">Marcus Chen articulated the operating rule GlobalSync adopted enterprise-wide:</w:t>
      </w:r>
    </w:p>
    <w:p>
      <w:pPr>
        <w:pStyle w:val="BlockText"/>
      </w:pPr>
      <w:r>
        <w:rPr>
          <w:bCs/>
          <w:b/>
        </w:rPr>
        <w:t xml:space="preserve">Production protocol policy advances to the slowest critical partner — or the slowest critical tenant cohort — not to engineering completion date.</w:t>
      </w:r>
    </w:p>
    <w:tbl>
      <w:tblPr>
        <w:tblStyle w:val="Table"/>
        <w:tblW w:type="pct" w:w="5000"/>
        <w:tblLook w:firstRow="1" w:lastRow="0" w:firstColumn="0" w:lastColumn="0" w:noHBand="0" w:noVBand="0" w:val="0020"/>
        <w:jc w:val="start"/>
      </w:tblPr>
      <w:tblGrid>
        <w:gridCol w:w="1545"/>
        <w:gridCol w:w="2318"/>
        <w:gridCol w:w="4056"/>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GlobalSync threshold</w:t>
            </w:r>
          </w:p>
        </w:tc>
      </w:tr>
      <w:tr>
        <w:tc>
          <w:tcPr/>
          <w:p>
            <w:pPr>
              <w:pStyle w:val="Compact"/>
              <w:jc w:val="left"/>
            </w:pPr>
            <w:r>
              <w:rPr>
                <w:rStyle w:val="VerbatimChar"/>
              </w:rPr>
              <w:t xml:space="preserve">partner_acceptance_pct</w:t>
            </w:r>
          </w:p>
        </w:tc>
        <w:tc>
          <w:tcPr/>
          <w:p>
            <w:pPr>
              <w:pStyle w:val="Compact"/>
              <w:jc w:val="left"/>
            </w:pPr>
            <w:r>
              <w:t xml:space="preserve">Partners accepting target profile / integrated partners</w:t>
            </w:r>
          </w:p>
        </w:tc>
        <w:tc>
          <w:tcPr/>
          <w:p>
            <w:pPr>
              <w:pStyle w:val="Compact"/>
              <w:jc w:val="left"/>
            </w:pPr>
            <w:r>
              <w:t xml:space="preserve">85% for client cert hybrid</w:t>
            </w:r>
          </w:p>
        </w:tc>
      </w:tr>
      <w:tr>
        <w:tc>
          <w:tcPr/>
          <w:p>
            <w:pPr>
              <w:pStyle w:val="Compact"/>
              <w:jc w:val="left"/>
            </w:pPr>
            <w:r>
              <w:rPr>
                <w:rStyle w:val="VerbatimChar"/>
              </w:rPr>
              <w:t xml:space="preserve">tenant_cohort_pqc_pct</w:t>
            </w:r>
          </w:p>
        </w:tc>
        <w:tc>
          <w:tcPr/>
          <w:p>
            <w:pPr>
              <w:pStyle w:val="Compact"/>
              <w:jc w:val="left"/>
            </w:pPr>
            <w:r>
              <w:t xml:space="preserve">Tenants on PQC-capable integration tier</w:t>
            </w:r>
          </w:p>
        </w:tc>
        <w:tc>
          <w:tcPr/>
          <w:p>
            <w:pPr>
              <w:pStyle w:val="Compact"/>
              <w:jc w:val="left"/>
            </w:pPr>
            <w:r>
              <w:t xml:space="preserve">90% for default endpoint switch</w:t>
            </w:r>
          </w:p>
        </w:tc>
      </w:tr>
      <w:tr>
        <w:tc>
          <w:tcPr/>
          <w:p>
            <w:pPr>
              <w:pStyle w:val="Compact"/>
              <w:jc w:val="left"/>
            </w:pPr>
            <w:r>
              <w:rPr>
                <w:rStyle w:val="VerbatimChar"/>
              </w:rPr>
              <w:t xml:space="preserve">slowest_partner_id</w:t>
            </w:r>
          </w:p>
        </w:tc>
        <w:tc>
          <w:tcPr/>
          <w:p>
            <w:pPr>
              <w:pStyle w:val="Compact"/>
              <w:jc w:val="left"/>
            </w:pPr>
            <w:r>
              <w:t xml:space="preserve">Partner with latest contractual migration date</w:t>
            </w:r>
          </w:p>
        </w:tc>
        <w:tc>
          <w:tcPr/>
          <w:p>
            <w:pPr>
              <w:pStyle w:val="Compact"/>
              <w:jc w:val="left"/>
            </w:pPr>
            <w:r>
              <w:t xml:space="preserve">Drives Wave 0 exit</w:t>
            </w:r>
          </w:p>
        </w:tc>
      </w:tr>
      <w:tr>
        <w:tc>
          <w:tcPr/>
          <w:p>
            <w:pPr>
              <w:pStyle w:val="Compact"/>
              <w:jc w:val="left"/>
            </w:pPr>
            <w:r>
              <w:rPr>
                <w:rStyle w:val="VerbatimChar"/>
              </w:rPr>
              <w:t xml:space="preserve">blocking_partner_fan_in</w:t>
            </w:r>
          </w:p>
        </w:tc>
        <w:tc>
          <w:tcPr/>
          <w:p>
            <w:pPr>
              <w:pStyle w:val="Compact"/>
              <w:jc w:val="left"/>
            </w:pPr>
            <w:r>
              <w:t xml:space="preserve">CDG fan-in count of slowest partner node</w:t>
            </w:r>
          </w:p>
        </w:tc>
        <w:tc>
          <w:tcPr/>
          <w:p>
            <w:pPr>
              <w:pStyle w:val="Compact"/>
              <w:jc w:val="left"/>
            </w:pPr>
            <w:r>
              <w:t xml:space="preserve">Executive visibility</w:t>
            </w:r>
          </w:p>
        </w:tc>
      </w:tr>
    </w:tbl>
    <w:bookmarkEnd w:id="72"/>
    <w:bookmarkStart w:id="73" w:name="partner-programme-structure"/>
    <w:p>
      <w:pPr>
        <w:pStyle w:val="Heading3"/>
      </w:pPr>
      <w:r>
        <w:t xml:space="preserve">Partner programme structure</w:t>
      </w:r>
    </w:p>
    <w:tbl>
      <w:tblPr>
        <w:tblStyle w:val="Table"/>
        <w:tblW w:type="pct" w:w="5000"/>
        <w:tblLook w:firstRow="1" w:lastRow="0" w:firstColumn="0" w:lastColumn="0" w:noHBand="0" w:noVBand="0" w:val="0020"/>
        <w:jc w:val="start"/>
      </w:tblPr>
      <w:tblGrid>
        <w:gridCol w:w="3168"/>
        <w:gridCol w:w="2640"/>
        <w:gridCol w:w="2112"/>
      </w:tblGrid>
      <w:tr>
        <w:trPr>
          <w:tblHeader w:val="true"/>
        </w:trPr>
        <w:tc>
          <w:tcPr/>
          <w:p>
            <w:pPr>
              <w:pStyle w:val="Compact"/>
              <w:jc w:val="left"/>
            </w:pPr>
            <w:r>
              <w:t xml:space="preserve">Workstream</w:t>
            </w:r>
          </w:p>
        </w:tc>
        <w:tc>
          <w:tcPr/>
          <w:p>
            <w:pPr>
              <w:pStyle w:val="Compact"/>
              <w:jc w:val="left"/>
            </w:pPr>
            <w:r>
              <w:t xml:space="preserve">Activity</w:t>
            </w:r>
          </w:p>
        </w:tc>
        <w:tc>
          <w:tcPr/>
          <w:p>
            <w:pPr>
              <w:pStyle w:val="Compact"/>
              <w:jc w:val="left"/>
            </w:pPr>
            <w:r>
              <w:t xml:space="preserve">Output</w:t>
            </w:r>
          </w:p>
        </w:tc>
      </w:tr>
      <w:tr>
        <w:tc>
          <w:tcPr/>
          <w:p>
            <w:pPr>
              <w:pStyle w:val="Compact"/>
              <w:jc w:val="left"/>
            </w:pPr>
            <w:r>
              <w:rPr>
                <w:bCs/>
                <w:b/>
              </w:rPr>
              <w:t xml:space="preserve">Inventory</w:t>
            </w:r>
          </w:p>
        </w:tc>
        <w:tc>
          <w:tcPr/>
          <w:p>
            <w:pPr>
              <w:pStyle w:val="Compact"/>
              <w:jc w:val="left"/>
            </w:pPr>
            <w:r>
              <w:t xml:space="preserve">Partner cryptographic contact; integration type</w:t>
            </w:r>
          </w:p>
        </w:tc>
        <w:tc>
          <w:tcPr/>
          <w:p>
            <w:pPr>
              <w:pStyle w:val="Compact"/>
              <w:jc w:val="left"/>
            </w:pPr>
            <w:r>
              <w:t xml:space="preserve">Partner CDG subgraph</w:t>
            </w:r>
          </w:p>
        </w:tc>
      </w:tr>
      <w:tr>
        <w:tc>
          <w:tcPr/>
          <w:p>
            <w:pPr>
              <w:pStyle w:val="Compact"/>
              <w:jc w:val="left"/>
            </w:pPr>
            <w:r>
              <w:rPr>
                <w:bCs/>
                <w:b/>
              </w:rPr>
              <w:t xml:space="preserve">Outreach</w:t>
            </w:r>
          </w:p>
        </w:tc>
        <w:tc>
          <w:tcPr/>
          <w:p>
            <w:pPr>
              <w:pStyle w:val="Compact"/>
              <w:jc w:val="left"/>
            </w:pPr>
            <w:r>
              <w:t xml:space="preserve">Migration guide; test environment access</w:t>
            </w:r>
          </w:p>
        </w:tc>
        <w:tc>
          <w:tcPr/>
          <w:p>
            <w:pPr>
              <w:pStyle w:val="Compact"/>
              <w:jc w:val="left"/>
            </w:pPr>
            <w:r>
              <w:t xml:space="preserve">Partner test report template</w:t>
            </w:r>
          </w:p>
        </w:tc>
      </w:tr>
      <w:tr>
        <w:tc>
          <w:tcPr/>
          <w:p>
            <w:pPr>
              <w:pStyle w:val="Compact"/>
              <w:jc w:val="left"/>
            </w:pPr>
            <w:r>
              <w:rPr>
                <w:bCs/>
                <w:b/>
              </w:rPr>
              <w:t xml:space="preserve">Pilot</w:t>
            </w:r>
          </w:p>
        </w:tc>
        <w:tc>
          <w:tcPr/>
          <w:p>
            <w:pPr>
              <w:pStyle w:val="Compact"/>
              <w:jc w:val="left"/>
            </w:pPr>
            <w:r>
              <w:t xml:space="preserve">Limited production traffic on hybrid profile</w:t>
            </w:r>
          </w:p>
        </w:tc>
        <w:tc>
          <w:tcPr/>
          <w:p>
            <w:pPr>
              <w:pStyle w:val="Compact"/>
              <w:jc w:val="left"/>
            </w:pPr>
            <w:r>
              <w:t xml:space="preserve">Signed partner acceptance</w:t>
            </w:r>
          </w:p>
        </w:tc>
      </w:tr>
      <w:tr>
        <w:tc>
          <w:tcPr/>
          <w:p>
            <w:pPr>
              <w:pStyle w:val="Compact"/>
              <w:jc w:val="left"/>
            </w:pPr>
            <w:r>
              <w:rPr>
                <w:bCs/>
                <w:b/>
              </w:rPr>
              <w:t xml:space="preserve">Production</w:t>
            </w:r>
          </w:p>
        </w:tc>
        <w:tc>
          <w:tcPr/>
          <w:p>
            <w:pPr>
              <w:pStyle w:val="Compact"/>
              <w:jc w:val="left"/>
            </w:pPr>
            <w:r>
              <w:t xml:space="preserve">Policy version bump (</w:t>
            </w:r>
            <w:r>
              <w:rPr>
                <w:rStyle w:val="VerbatimChar"/>
              </w:rPr>
              <w:t xml:space="preserve">v2</w:t>
            </w:r>
            <w:r>
              <w:t xml:space="preserve"> </w:t>
            </w:r>
            <w:r>
              <w:t xml:space="preserve">→</w:t>
            </w:r>
            <w:r>
              <w:t xml:space="preserve"> </w:t>
            </w:r>
            <w:r>
              <w:rPr>
                <w:rStyle w:val="VerbatimChar"/>
              </w:rPr>
              <w:t xml:space="preserve">v3</w:t>
            </w:r>
            <w:r>
              <w:t xml:space="preserve">)</w:t>
            </w:r>
          </w:p>
        </w:tc>
        <w:tc>
          <w:tcPr/>
          <w:p>
            <w:pPr>
              <w:pStyle w:val="Compact"/>
              <w:jc w:val="left"/>
            </w:pPr>
            <w:r>
              <w:t xml:space="preserve">CBOM policy node update</w:t>
            </w:r>
          </w:p>
        </w:tc>
      </w:tr>
      <w:tr>
        <w:tc>
          <w:tcPr/>
          <w:p>
            <w:pPr>
              <w:pStyle w:val="Compact"/>
              <w:jc w:val="left"/>
            </w:pPr>
            <w:r>
              <w:rPr>
                <w:bCs/>
                <w:b/>
              </w:rPr>
              <w:t xml:space="preserve">Exception</w:t>
            </w:r>
          </w:p>
        </w:tc>
        <w:tc>
          <w:tcPr/>
          <w:p>
            <w:pPr>
              <w:pStyle w:val="Compact"/>
              <w:jc w:val="left"/>
            </w:pPr>
            <w:r>
              <w:t xml:space="preserve">Tier C partner risk acceptance</w:t>
            </w:r>
          </w:p>
        </w:tc>
        <w:tc>
          <w:tcPr/>
          <w:p>
            <w:pPr>
              <w:pStyle w:val="Compact"/>
              <w:jc w:val="left"/>
            </w:pPr>
            <w:r>
              <w:rPr>
                <w:rStyle w:val="VerbatimChar"/>
              </w:rPr>
              <w:t xml:space="preserve">exception_id</w:t>
            </w:r>
            <w:r>
              <w:t xml:space="preserve"> </w:t>
            </w:r>
            <w:r>
              <w:t xml:space="preserve">linked</w:t>
            </w:r>
          </w:p>
        </w:tc>
      </w:tr>
    </w:tbl>
    <w:p>
      <w:pPr>
        <w:pStyle w:val="BodyText"/>
      </w:pPr>
      <w:r>
        <w:t xml:space="preserve">GlobalSync held</w:t>
      </w:r>
      <w:r>
        <w:t xml:space="preserve"> </w:t>
      </w:r>
      <w:r>
        <w:rPr>
          <w:bCs/>
          <w:b/>
        </w:rPr>
        <w:t xml:space="preserve">200 microservices</w:t>
      </w:r>
      <w:r>
        <w:t xml:space="preserve"> </w:t>
      </w:r>
      <w:r>
        <w:t xml:space="preserve">in</w:t>
      </w:r>
      <w:r>
        <w:t xml:space="preserve"> </w:t>
      </w:r>
      <w:r>
        <w:t xml:space="preserve">“</w:t>
      </w:r>
      <w:r>
        <w:t xml:space="preserve">engineering complete / production blocked</w:t>
      </w:r>
      <w:r>
        <w:t xml:space="preserve">”</w:t>
      </w:r>
      <w:r>
        <w:t xml:space="preserve"> </w:t>
      </w:r>
      <w:r>
        <w:t xml:space="preserve">for nine months — correct posture when CDG blocking node remained classical-only. Engineering velocity without partner synchronisation produces</w:t>
      </w:r>
      <w:r>
        <w:t xml:space="preserve"> </w:t>
      </w:r>
      <w:r>
        <w:rPr>
          <w:bCs/>
          <w:b/>
        </w:rPr>
        <w:t xml:space="preserve">rework</w:t>
      </w:r>
      <w:r>
        <w:t xml:space="preserve">, not progress.</w:t>
      </w:r>
    </w:p>
    <w:bookmarkEnd w:id="73"/>
    <w:bookmarkStart w:id="74" w:name="tenant-cohort-routing"/>
    <w:p>
      <w:pPr>
        <w:pStyle w:val="Heading3"/>
      </w:pPr>
      <w:r>
        <w:t xml:space="preserve">Tenant cohort routing</w:t>
      </w:r>
    </w:p>
    <w:p>
      <w:pPr>
        <w:pStyle w:val="FirstParagraph"/>
      </w:pPr>
      <w:r>
        <w:t xml:space="preserve">GlobalSync extended Meridian’s tiered endpoint pattern with</w:t>
      </w:r>
      <w:r>
        <w:t xml:space="preserve"> </w:t>
      </w:r>
      <w:r>
        <w:rPr>
          <w:bCs/>
          <w:b/>
        </w:rPr>
        <w:t xml:space="preserve">tenant cohort routing</w:t>
      </w:r>
      <w:r>
        <w:t xml:space="preserve">:</w:t>
      </w:r>
    </w:p>
    <w:tbl>
      <w:tblPr>
        <w:tblStyle w:val="Table"/>
        <w:tblW w:type="pct" w:w="5000"/>
        <w:tblLook w:firstRow="1" w:lastRow="0" w:firstColumn="0" w:lastColumn="0" w:noHBand="0" w:noVBand="0" w:val="0020"/>
        <w:jc w:val="start"/>
      </w:tblPr>
      <w:tblGrid>
        <w:gridCol w:w="2262"/>
        <w:gridCol w:w="2545"/>
        <w:gridCol w:w="3111"/>
      </w:tblGrid>
      <w:tr>
        <w:trPr>
          <w:tblHeader w:val="true"/>
        </w:trPr>
        <w:tc>
          <w:tcPr/>
          <w:p>
            <w:pPr>
              <w:pStyle w:val="Compact"/>
              <w:jc w:val="left"/>
            </w:pPr>
            <w:r>
              <w:t xml:space="preserve">Cohort</w:t>
            </w:r>
          </w:p>
        </w:tc>
        <w:tc>
          <w:tcPr/>
          <w:p>
            <w:pPr>
              <w:pStyle w:val="Compact"/>
              <w:jc w:val="left"/>
            </w:pPr>
            <w:r>
              <w:t xml:space="preserve">Routing</w:t>
            </w:r>
          </w:p>
        </w:tc>
        <w:tc>
          <w:tcPr/>
          <w:p>
            <w:pPr>
              <w:pStyle w:val="Compact"/>
              <w:jc w:val="left"/>
            </w:pPr>
            <w:r>
              <w:t xml:space="preserve">HLM phase</w:t>
            </w:r>
          </w:p>
        </w:tc>
      </w:tr>
      <w:tr>
        <w:tc>
          <w:tcPr/>
          <w:p>
            <w:pPr>
              <w:pStyle w:val="Compact"/>
              <w:jc w:val="left"/>
            </w:pPr>
            <w:r>
              <w:rPr>
                <w:bCs/>
                <w:b/>
              </w:rPr>
              <w:t xml:space="preserve">Early adopters</w:t>
            </w:r>
          </w:p>
        </w:tc>
        <w:tc>
          <w:tcPr/>
          <w:p>
            <w:pPr>
              <w:pStyle w:val="Compact"/>
              <w:jc w:val="left"/>
            </w:pPr>
            <w:r>
              <w:rPr>
                <w:rStyle w:val="VerbatimChar"/>
              </w:rPr>
              <w:t xml:space="preserve">api-pqc.globalsync.example</w:t>
            </w:r>
            <w:r>
              <w:t xml:space="preserve"> </w:t>
            </w:r>
            <w:r>
              <w:t xml:space="preserve">default</w:t>
            </w:r>
          </w:p>
        </w:tc>
        <w:tc>
          <w:tcPr/>
          <w:p>
            <w:pPr>
              <w:pStyle w:val="Compact"/>
              <w:jc w:val="left"/>
            </w:pPr>
            <w:r>
              <w:t xml:space="preserve">H2 eligible</w:t>
            </w:r>
          </w:p>
        </w:tc>
      </w:tr>
      <w:tr>
        <w:tc>
          <w:tcPr/>
          <w:p>
            <w:pPr>
              <w:pStyle w:val="Compact"/>
              <w:jc w:val="left"/>
            </w:pPr>
            <w:r>
              <w:rPr>
                <w:bCs/>
                <w:b/>
              </w:rPr>
              <w:t xml:space="preserve">Standard</w:t>
            </w:r>
          </w:p>
        </w:tc>
        <w:tc>
          <w:tcPr/>
          <w:p>
            <w:pPr>
              <w:pStyle w:val="Compact"/>
              <w:jc w:val="left"/>
            </w:pPr>
            <w:r>
              <w:t xml:space="preserve">Hybrid default after 90% tenant notification</w:t>
            </w:r>
          </w:p>
        </w:tc>
        <w:tc>
          <w:tcPr/>
          <w:p>
            <w:pPr>
              <w:pStyle w:val="Compact"/>
              <w:jc w:val="left"/>
            </w:pPr>
            <w:r>
              <w:t xml:space="preserve">H1</w:t>
            </w:r>
          </w:p>
        </w:tc>
      </w:tr>
      <w:tr>
        <w:tc>
          <w:tcPr/>
          <w:p>
            <w:pPr>
              <w:pStyle w:val="Compact"/>
              <w:jc w:val="left"/>
            </w:pPr>
            <w:r>
              <w:rPr>
                <w:bCs/>
                <w:b/>
              </w:rPr>
              <w:t xml:space="preserve">Legacy SLA</w:t>
            </w:r>
          </w:p>
        </w:tc>
        <w:tc>
          <w:tcPr/>
          <w:p>
            <w:pPr>
              <w:pStyle w:val="Compact"/>
              <w:jc w:val="left"/>
            </w:pPr>
            <w:r>
              <w:t xml:space="preserve">Classical endpoint until contract amendment</w:t>
            </w:r>
          </w:p>
        </w:tc>
        <w:tc>
          <w:tcPr/>
          <w:p>
            <w:pPr>
              <w:pStyle w:val="Compact"/>
              <w:jc w:val="left"/>
            </w:pPr>
            <w:r>
              <w:t xml:space="preserve">H1 exception</w:t>
            </w:r>
          </w:p>
        </w:tc>
      </w:tr>
      <w:tr>
        <w:tc>
          <w:tcPr/>
          <w:p>
            <w:pPr>
              <w:pStyle w:val="Compact"/>
              <w:jc w:val="left"/>
            </w:pPr>
            <w:r>
              <w:rPr>
                <w:bCs/>
                <w:b/>
              </w:rPr>
              <w:t xml:space="preserve">Embedded logistics terminals</w:t>
            </w:r>
          </w:p>
        </w:tc>
        <w:tc>
          <w:tcPr/>
          <w:p>
            <w:pPr>
              <w:pStyle w:val="Compact"/>
              <w:jc w:val="left"/>
            </w:pPr>
            <w:r>
              <w:t xml:space="preserve">Fixed firmware — classical until hardware refresh</w:t>
            </w:r>
          </w:p>
        </w:tc>
        <w:tc>
          <w:tcPr/>
          <w:p>
            <w:pPr>
              <w:pStyle w:val="Compact"/>
              <w:jc w:val="left"/>
            </w:pPr>
            <w:r>
              <w:t xml:space="preserve">Tier C</w:t>
            </w:r>
          </w:p>
        </w:tc>
      </w:tr>
    </w:tbl>
    <w:p>
      <w:pPr>
        <w:pStyle w:val="BodyText"/>
      </w:pPr>
      <w:r>
        <w:rPr>
          <w:bCs/>
          <w:b/>
        </w:rPr>
        <w:t xml:space="preserve">Table 12.4 — GlobalSync Tenant Cohort Strategy (Illustrative)</w:t>
      </w:r>
    </w:p>
    <w:tbl>
      <w:tblPr>
        <w:tblStyle w:val="Table"/>
        <w:tblW w:type="pct" w:w="5000"/>
        <w:tblLook w:firstRow="1" w:lastRow="0" w:firstColumn="0" w:lastColumn="0" w:noHBand="0" w:noVBand="0" w:val="0020"/>
        <w:jc w:val="start"/>
      </w:tblPr>
      <w:tblGrid>
        <w:gridCol w:w="856"/>
        <w:gridCol w:w="1391"/>
        <w:gridCol w:w="1926"/>
        <w:gridCol w:w="1498"/>
        <w:gridCol w:w="2247"/>
      </w:tblGrid>
      <w:tr>
        <w:trPr>
          <w:tblHeader w:val="true"/>
        </w:trPr>
        <w:tc>
          <w:tcPr/>
          <w:p>
            <w:pPr>
              <w:pStyle w:val="Compact"/>
              <w:jc w:val="left"/>
            </w:pPr>
            <w:r>
              <w:t xml:space="preserve">Cohort</w:t>
            </w:r>
          </w:p>
        </w:tc>
        <w:tc>
          <w:tcPr/>
          <w:p>
            <w:pPr>
              <w:pStyle w:val="Compact"/>
              <w:jc w:val="left"/>
            </w:pPr>
            <w:r>
              <w:t xml:space="preserve">Tenant count</w:t>
            </w:r>
          </w:p>
        </w:tc>
        <w:tc>
          <w:tcPr/>
          <w:p>
            <w:pPr>
              <w:pStyle w:val="Compact"/>
              <w:jc w:val="left"/>
            </w:pPr>
            <w:r>
              <w:t xml:space="preserve">Integration type</w:t>
            </w:r>
          </w:p>
        </w:tc>
        <w:tc>
          <w:tcPr/>
          <w:p>
            <w:pPr>
              <w:pStyle w:val="Compact"/>
              <w:jc w:val="left"/>
            </w:pPr>
            <w:r>
              <w:t xml:space="preserve">PQC endpoint</w:t>
            </w:r>
          </w:p>
        </w:tc>
        <w:tc>
          <w:tcPr/>
          <w:p>
            <w:pPr>
              <w:pStyle w:val="Compact"/>
              <w:jc w:val="left"/>
            </w:pPr>
            <w:r>
              <w:t xml:space="preserve">Notification status</w:t>
            </w:r>
          </w:p>
        </w:tc>
      </w:tr>
      <w:tr>
        <w:tc>
          <w:tcPr/>
          <w:p>
            <w:pPr>
              <w:pStyle w:val="Compact"/>
              <w:jc w:val="left"/>
            </w:pPr>
            <w:r>
              <w:t xml:space="preserve">A — Cloud-native</w:t>
            </w:r>
          </w:p>
        </w:tc>
        <w:tc>
          <w:tcPr/>
          <w:p>
            <w:pPr>
              <w:pStyle w:val="Compact"/>
              <w:jc w:val="left"/>
            </w:pPr>
            <w:r>
              <w:t xml:space="preserve">1,240</w:t>
            </w:r>
          </w:p>
        </w:tc>
        <w:tc>
          <w:tcPr/>
          <w:p>
            <w:pPr>
              <w:pStyle w:val="Compact"/>
              <w:jc w:val="left"/>
            </w:pPr>
            <w:r>
              <w:t xml:space="preserve">REST / webhooks</w:t>
            </w:r>
          </w:p>
        </w:tc>
        <w:tc>
          <w:tcPr/>
          <w:p>
            <w:pPr>
              <w:pStyle w:val="Compact"/>
              <w:jc w:val="left"/>
            </w:pPr>
            <w:r>
              <w:t xml:space="preserve">Hybrid default</w:t>
            </w:r>
          </w:p>
        </w:tc>
        <w:tc>
          <w:tcPr/>
          <w:p>
            <w:pPr>
              <w:pStyle w:val="Compact"/>
              <w:jc w:val="left"/>
            </w:pPr>
            <w:r>
              <w:t xml:space="preserve">Complete</w:t>
            </w:r>
          </w:p>
        </w:tc>
      </w:tr>
      <w:tr>
        <w:tc>
          <w:tcPr/>
          <w:p>
            <w:pPr>
              <w:pStyle w:val="Compact"/>
              <w:jc w:val="left"/>
            </w:pPr>
            <w:r>
              <w:t xml:space="preserve">B — EDI partners</w:t>
            </w:r>
          </w:p>
        </w:tc>
        <w:tc>
          <w:tcPr/>
          <w:p>
            <w:pPr>
              <w:pStyle w:val="Compact"/>
              <w:jc w:val="left"/>
            </w:pPr>
            <w:r>
              <w:t xml:space="preserve">380</w:t>
            </w:r>
          </w:p>
        </w:tc>
        <w:tc>
          <w:tcPr/>
          <w:p>
            <w:pPr>
              <w:pStyle w:val="Compact"/>
              <w:jc w:val="left"/>
            </w:pPr>
            <w:r>
              <w:t xml:space="preserve">AS2 / custom mTLS</w:t>
            </w:r>
          </w:p>
        </w:tc>
        <w:tc>
          <w:tcPr/>
          <w:p>
            <w:pPr>
              <w:pStyle w:val="Compact"/>
              <w:jc w:val="left"/>
            </w:pPr>
            <w:r>
              <w:t xml:space="preserve">Hybrid opt-in</w:t>
            </w:r>
          </w:p>
        </w:tc>
        <w:tc>
          <w:tcPr/>
          <w:p>
            <w:pPr>
              <w:pStyle w:val="Compact"/>
              <w:jc w:val="left"/>
            </w:pPr>
            <w:r>
              <w:t xml:space="preserve">78% complete</w:t>
            </w:r>
          </w:p>
        </w:tc>
      </w:tr>
      <w:tr>
        <w:tc>
          <w:tcPr/>
          <w:p>
            <w:pPr>
              <w:pStyle w:val="Compact"/>
              <w:jc w:val="left"/>
            </w:pPr>
            <w:r>
              <w:t xml:space="preserve">C — Legacy SLA</w:t>
            </w:r>
          </w:p>
        </w:tc>
        <w:tc>
          <w:tcPr/>
          <w:p>
            <w:pPr>
              <w:pStyle w:val="Compact"/>
              <w:jc w:val="left"/>
            </w:pPr>
            <w:r>
              <w:t xml:space="preserve">45</w:t>
            </w:r>
          </w:p>
        </w:tc>
        <w:tc>
          <w:tcPr/>
          <w:p>
            <w:pPr>
              <w:pStyle w:val="Compact"/>
              <w:jc w:val="left"/>
            </w:pPr>
            <w:r>
              <w:t xml:space="preserve">Fixed client</w:t>
            </w:r>
          </w:p>
        </w:tc>
        <w:tc>
          <w:tcPr/>
          <w:p>
            <w:pPr>
              <w:pStyle w:val="Compact"/>
              <w:jc w:val="left"/>
            </w:pPr>
            <w:r>
              <w:t xml:space="preserve">Classical exception</w:t>
            </w:r>
          </w:p>
        </w:tc>
        <w:tc>
          <w:tcPr/>
          <w:p>
            <w:pPr>
              <w:pStyle w:val="Compact"/>
              <w:jc w:val="left"/>
            </w:pPr>
            <w:r>
              <w:t xml:space="preserve">Contract renegotiation</w:t>
            </w:r>
          </w:p>
        </w:tc>
      </w:tr>
      <w:tr>
        <w:tc>
          <w:tcPr/>
          <w:p>
            <w:pPr>
              <w:pStyle w:val="Compact"/>
              <w:jc w:val="left"/>
            </w:pPr>
            <w:r>
              <w:t xml:space="preserve">D — Terminal fleet</w:t>
            </w:r>
          </w:p>
        </w:tc>
        <w:tc>
          <w:tcPr/>
          <w:p>
            <w:pPr>
              <w:pStyle w:val="Compact"/>
              <w:jc w:val="left"/>
            </w:pPr>
            <w:r>
              <w:t xml:space="preserve">12,000 devices</w:t>
            </w:r>
          </w:p>
        </w:tc>
        <w:tc>
          <w:tcPr/>
          <w:p>
            <w:pPr>
              <w:pStyle w:val="Compact"/>
              <w:jc w:val="left"/>
            </w:pPr>
            <w:r>
              <w:t xml:space="preserve">Embedded</w:t>
            </w:r>
          </w:p>
        </w:tc>
        <w:tc>
          <w:tcPr/>
          <w:p>
            <w:pPr>
              <w:pStyle w:val="Compact"/>
              <w:jc w:val="left"/>
            </w:pPr>
            <w:r>
              <w:t xml:space="preserve">Hardware refresh 2028</w:t>
            </w:r>
          </w:p>
        </w:tc>
        <w:tc>
          <w:tcPr/>
          <w:p>
            <w:pPr>
              <w:pStyle w:val="Compact"/>
              <w:jc w:val="left"/>
            </w:pPr>
            <w:r>
              <w:t xml:space="preserve">Capital programme</w:t>
            </w:r>
          </w:p>
        </w:tc>
      </w:tr>
    </w:tbl>
    <w:bookmarkEnd w:id="74"/>
    <w:bookmarkStart w:id="75" w:name="X61de2bb67930425d3e5aacb812a6e31b13a992d"/>
    <w:p>
      <w:pPr>
        <w:pStyle w:val="Heading3"/>
      </w:pPr>
      <w:r>
        <w:t xml:space="preserve">Internal synchronisation mirrors external</w:t>
      </w:r>
    </w:p>
    <w:p>
      <w:pPr>
        <w:pStyle w:val="FirstParagraph"/>
      </w:pPr>
      <w:r>
        <w:t xml:space="preserve">Partner synchronisation logic applies</w:t>
      </w:r>
      <w:r>
        <w:t xml:space="preserve"> </w:t>
      </w:r>
      <w:r>
        <w:rPr>
          <w:bCs/>
          <w:b/>
        </w:rPr>
        <w:t xml:space="preserve">internally</w:t>
      </w:r>
      <w:r>
        <w:t xml:space="preserve"> </w:t>
      </w:r>
      <w:r>
        <w:t xml:space="preserve">across business units:</w:t>
      </w:r>
    </w:p>
    <w:p>
      <w:pPr>
        <w:numPr>
          <w:ilvl w:val="0"/>
          <w:numId w:val="1010"/>
        </w:numPr>
        <w:pStyle w:val="Compact"/>
      </w:pPr>
      <w:r>
        <w:t xml:space="preserve">Slowest business unit’s OT gateway firmware sets WAN IPsec pace (Northfield)</w:t>
      </w:r>
    </w:p>
    <w:p>
      <w:pPr>
        <w:numPr>
          <w:ilvl w:val="0"/>
          <w:numId w:val="1010"/>
        </w:numPr>
        <w:pStyle w:val="Compact"/>
      </w:pPr>
      <w:r>
        <w:t xml:space="preserve">Slowest issuing CA profile sets mTLS server certificate pace (Meridian)</w:t>
      </w:r>
    </w:p>
    <w:p>
      <w:pPr>
        <w:numPr>
          <w:ilvl w:val="0"/>
          <w:numId w:val="1010"/>
        </w:numPr>
        <w:pStyle w:val="Compact"/>
      </w:pPr>
      <w:r>
        <w:t xml:space="preserve">Slowest HSM validation sets payment channel pace (Meridian)</w:t>
      </w:r>
    </w:p>
    <w:p>
      <w:pPr>
        <w:pStyle w:val="FirstParagraph"/>
      </w:pPr>
      <w:r>
        <w:t xml:space="preserve">CDG fan-in analysis identifies which slowest node is</w:t>
      </w:r>
      <w:r>
        <w:t xml:space="preserve"> </w:t>
      </w:r>
      <w:r>
        <w:rPr>
          <w:bCs/>
          <w:b/>
        </w:rPr>
        <w:t xml:space="preserve">actually critical</w:t>
      </w:r>
      <w:r>
        <w:t xml:space="preserve"> </w:t>
      </w:r>
      <w:r>
        <w:t xml:space="preserve">— not which is loudest in steering committee.</w:t>
      </w:r>
    </w:p>
    <w:p>
      <w:r>
        <w:pict>
          <v:rect style="width:0;height:1.5pt" o:hralign="center" o:hrstd="t" o:hr="t"/>
        </w:pict>
      </w:r>
    </w:p>
    <w:bookmarkEnd w:id="75"/>
    <w:bookmarkEnd w:id="76"/>
    <w:bookmarkStart w:id="77" w:name="protocol-algorithm-readiness-matrix"/>
    <w:p>
      <w:pPr>
        <w:pStyle w:val="Heading2"/>
      </w:pPr>
      <w:r>
        <w:t xml:space="preserve">12.14 Protocol × Algorithm × Readiness Matrix</w:t>
      </w:r>
    </w:p>
    <w:p>
      <w:pPr>
        <w:pStyle w:val="FirstParagraph"/>
      </w:pPr>
      <w:r>
        <w:rPr>
          <w:bCs/>
          <w:b/>
        </w:rPr>
        <w:t xml:space="preserve">Table 12.5 — Protocol × Algorithm × Readiness Matrix (June 2026 Enterprise View)</w:t>
      </w:r>
    </w:p>
    <w:tbl>
      <w:tblPr>
        <w:tblStyle w:val="Table"/>
        <w:tblW w:type="pct" w:w="5000"/>
        <w:tblLook w:firstRow="1" w:lastRow="0" w:firstColumn="0" w:lastColumn="0" w:noHBand="0" w:noVBand="0" w:val="0020"/>
        <w:jc w:val="start"/>
      </w:tblPr>
      <w:tblGrid>
        <w:gridCol w:w="524"/>
        <w:gridCol w:w="1049"/>
        <w:gridCol w:w="891"/>
        <w:gridCol w:w="1521"/>
        <w:gridCol w:w="1678"/>
        <w:gridCol w:w="1153"/>
        <w:gridCol w:w="1101"/>
      </w:tblGrid>
      <w:tr>
        <w:trPr>
          <w:tblHeader w:val="true"/>
        </w:trPr>
        <w:tc>
          <w:tcPr/>
          <w:p>
            <w:pPr>
              <w:pStyle w:val="Compact"/>
              <w:jc w:val="left"/>
            </w:pPr>
            <w:r>
              <w:t xml:space="preserve">Protocol</w:t>
            </w:r>
          </w:p>
        </w:tc>
        <w:tc>
          <w:tcPr/>
          <w:p>
            <w:pPr>
              <w:pStyle w:val="Compact"/>
              <w:jc w:val="left"/>
            </w:pPr>
            <w:r>
              <w:t xml:space="preserve">Algorithm component</w:t>
            </w:r>
          </w:p>
        </w:tc>
        <w:tc>
          <w:tcPr/>
          <w:p>
            <w:pPr>
              <w:pStyle w:val="Compact"/>
              <w:jc w:val="left"/>
            </w:pPr>
            <w:r>
              <w:t xml:space="preserve">H1 construction</w:t>
            </w:r>
          </w:p>
        </w:tc>
        <w:tc>
          <w:tcPr/>
          <w:p>
            <w:pPr>
              <w:pStyle w:val="Compact"/>
              <w:jc w:val="left"/>
            </w:pPr>
            <w:r>
              <w:t xml:space="preserve">Library / platform readiness</w:t>
            </w:r>
          </w:p>
        </w:tc>
        <w:tc>
          <w:tcPr/>
          <w:p>
            <w:pPr>
              <w:pStyle w:val="Compact"/>
              <w:jc w:val="left"/>
            </w:pPr>
            <w:r>
              <w:t xml:space="preserve">Ecosystem readiness (TRADE E)</w:t>
            </w:r>
          </w:p>
        </w:tc>
        <w:tc>
          <w:tcPr/>
          <w:p>
            <w:pPr>
              <w:pStyle w:val="Compact"/>
              <w:jc w:val="left"/>
            </w:pPr>
            <w:r>
              <w:t xml:space="preserve">Typical blocking node</w:t>
            </w:r>
          </w:p>
        </w:tc>
        <w:tc>
          <w:tcPr/>
          <w:p>
            <w:pPr>
              <w:pStyle w:val="Compact"/>
              <w:jc w:val="left"/>
            </w:pPr>
            <w:r>
              <w:t xml:space="preserve">Teaching org example</w:t>
            </w:r>
          </w:p>
        </w:tc>
      </w:tr>
      <w:tr>
        <w:tc>
          <w:tcPr/>
          <w:p>
            <w:pPr>
              <w:pStyle w:val="Compact"/>
              <w:jc w:val="left"/>
            </w:pPr>
            <w:r>
              <w:t xml:space="preserve">TLS 1.3 (external)</w:t>
            </w:r>
          </w:p>
        </w:tc>
        <w:tc>
          <w:tcPr/>
          <w:p>
            <w:pPr>
              <w:pStyle w:val="Compact"/>
              <w:jc w:val="left"/>
            </w:pPr>
            <w:r>
              <w:t xml:space="preserve">Key exchange</w:t>
            </w:r>
          </w:p>
        </w:tc>
        <w:tc>
          <w:tcPr/>
          <w:p>
            <w:pPr>
              <w:pStyle w:val="Compact"/>
              <w:jc w:val="left"/>
            </w:pPr>
            <w:r>
              <w:t xml:space="preserve">X25519 + ML-KEM-768</w:t>
            </w:r>
          </w:p>
        </w:tc>
        <w:tc>
          <w:tcPr/>
          <w:p>
            <w:pPr>
              <w:pStyle w:val="Compact"/>
              <w:jc w:val="left"/>
            </w:pPr>
            <w:r>
              <w:t xml:space="preserve">OpenSSL 3.5+, CDN 2026 releases</w:t>
            </w:r>
          </w:p>
        </w:tc>
        <w:tc>
          <w:tcPr/>
          <w:p>
            <w:pPr>
              <w:pStyle w:val="Compact"/>
              <w:jc w:val="left"/>
            </w:pPr>
            <w:r>
              <w:t xml:space="preserve">4 — production viable with tiers</w:t>
            </w:r>
          </w:p>
        </w:tc>
        <w:tc>
          <w:tcPr/>
          <w:p>
            <w:pPr>
              <w:pStyle w:val="Compact"/>
              <w:jc w:val="left"/>
            </w:pPr>
            <w:r>
              <w:t xml:space="preserve">SSL inspection buffers</w:t>
            </w:r>
          </w:p>
        </w:tc>
        <w:tc>
          <w:tcPr/>
          <w:p>
            <w:pPr>
              <w:pStyle w:val="Compact"/>
              <w:jc w:val="left"/>
            </w:pPr>
            <w:r>
              <w:t xml:space="preserve">Meridian</w:t>
            </w:r>
          </w:p>
        </w:tc>
      </w:tr>
      <w:tr>
        <w:tc>
          <w:tcPr/>
          <w:p>
            <w:pPr>
              <w:pStyle w:val="Compact"/>
              <w:jc w:val="left"/>
            </w:pPr>
            <w:r>
              <w:t xml:space="preserve">TLS 1.3 (external)</w:t>
            </w:r>
          </w:p>
        </w:tc>
        <w:tc>
          <w:tcPr/>
          <w:p>
            <w:pPr>
              <w:pStyle w:val="Compact"/>
              <w:jc w:val="left"/>
            </w:pPr>
            <w:r>
              <w:t xml:space="preserve">Server cert signature</w:t>
            </w:r>
          </w:p>
        </w:tc>
        <w:tc>
          <w:tcPr/>
          <w:p>
            <w:pPr>
              <w:pStyle w:val="Compact"/>
              <w:jc w:val="left"/>
            </w:pPr>
            <w:r>
              <w:t xml:space="preserve">ML-DSA-65</w:t>
            </w:r>
          </w:p>
        </w:tc>
        <w:tc>
          <w:tcPr/>
          <w:p>
            <w:pPr>
              <w:pStyle w:val="Compact"/>
              <w:jc w:val="left"/>
            </w:pPr>
            <w:r>
              <w:t xml:space="preserve">OpenSSL 3.5+; CA platforms 2026–27</w:t>
            </w:r>
          </w:p>
        </w:tc>
        <w:tc>
          <w:tcPr/>
          <w:p>
            <w:pPr>
              <w:pStyle w:val="Compact"/>
              <w:jc w:val="left"/>
            </w:pPr>
            <w:r>
              <w:t xml:space="preserve">3 — CA-dependent</w:t>
            </w:r>
          </w:p>
        </w:tc>
        <w:tc>
          <w:tcPr/>
          <w:p>
            <w:pPr>
              <w:pStyle w:val="Compact"/>
              <w:jc w:val="left"/>
            </w:pPr>
            <w:r>
              <w:t xml:space="preserve">Issuing CA profile</w:t>
            </w:r>
          </w:p>
        </w:tc>
        <w:tc>
          <w:tcPr/>
          <w:p>
            <w:pPr>
              <w:pStyle w:val="Compact"/>
              <w:jc w:val="left"/>
            </w:pPr>
            <w:r>
              <w:t xml:space="preserve">Meridian</w:t>
            </w:r>
          </w:p>
        </w:tc>
      </w:tr>
      <w:tr>
        <w:tc>
          <w:tcPr/>
          <w:p>
            <w:pPr>
              <w:pStyle w:val="Compact"/>
              <w:jc w:val="left"/>
            </w:pPr>
            <w:r>
              <w:t xml:space="preserve">TLS 1.3 (mTLS)</w:t>
            </w:r>
          </w:p>
        </w:tc>
        <w:tc>
          <w:tcPr/>
          <w:p>
            <w:pPr>
              <w:pStyle w:val="Compact"/>
              <w:jc w:val="left"/>
            </w:pPr>
            <w:r>
              <w:t xml:space="preserve">Client cert</w:t>
            </w:r>
          </w:p>
        </w:tc>
        <w:tc>
          <w:tcPr/>
          <w:p>
            <w:pPr>
              <w:pStyle w:val="Compact"/>
              <w:jc w:val="left"/>
            </w:pPr>
            <w:r>
              <w:t xml:space="preserve">ML-DSA-65</w:t>
            </w:r>
          </w:p>
        </w:tc>
        <w:tc>
          <w:tcPr/>
          <w:p>
            <w:pPr>
              <w:pStyle w:val="Compact"/>
              <w:jc w:val="left"/>
            </w:pPr>
            <w:r>
              <w:t xml:space="preserve">Same as server</w:t>
            </w:r>
          </w:p>
        </w:tc>
        <w:tc>
          <w:tcPr/>
          <w:p>
            <w:pPr>
              <w:pStyle w:val="Compact"/>
              <w:jc w:val="left"/>
            </w:pPr>
            <w:r>
              <w:t xml:space="preserve">2–3 — partner-dependent</w:t>
            </w:r>
          </w:p>
        </w:tc>
        <w:tc>
          <w:tcPr/>
          <w:p>
            <w:pPr>
              <w:pStyle w:val="Compact"/>
              <w:jc w:val="left"/>
            </w:pPr>
            <w:r>
              <w:t xml:space="preserve">Partner mTLS policy</w:t>
            </w:r>
          </w:p>
        </w:tc>
        <w:tc>
          <w:tcPr/>
          <w:p>
            <w:pPr>
              <w:pStyle w:val="Compact"/>
              <w:jc w:val="left"/>
            </w:pPr>
            <w:r>
              <w:t xml:space="preserve">GlobalSync</w:t>
            </w:r>
          </w:p>
        </w:tc>
      </w:tr>
      <w:tr>
        <w:tc>
          <w:tcPr/>
          <w:p>
            <w:pPr>
              <w:pStyle w:val="Compact"/>
              <w:jc w:val="left"/>
            </w:pPr>
            <w:r>
              <w:t xml:space="preserve">TLS 1.3 (mesh)</w:t>
            </w:r>
          </w:p>
        </w:tc>
        <w:tc>
          <w:tcPr/>
          <w:p>
            <w:pPr>
              <w:pStyle w:val="Compact"/>
              <w:jc w:val="left"/>
            </w:pPr>
            <w:r>
              <w:t xml:space="preserve">Full stack</w:t>
            </w:r>
          </w:p>
        </w:tc>
        <w:tc>
          <w:tcPr/>
          <w:p>
            <w:pPr>
              <w:pStyle w:val="Compact"/>
              <w:jc w:val="left"/>
            </w:pPr>
            <w:r>
              <w:t xml:space="preserve">Hybrid + ML-DSA certs</w:t>
            </w:r>
          </w:p>
        </w:tc>
        <w:tc>
          <w:tcPr/>
          <w:p>
            <w:pPr>
              <w:pStyle w:val="Compact"/>
              <w:jc w:val="left"/>
            </w:pPr>
            <w:r>
              <w:t xml:space="preserve">Mesh proxy 2026+</w:t>
            </w:r>
          </w:p>
        </w:tc>
        <w:tc>
          <w:tcPr/>
          <w:p>
            <w:pPr>
              <w:pStyle w:val="Compact"/>
              <w:jc w:val="left"/>
            </w:pPr>
            <w:r>
              <w:t xml:space="preserve">3 — mesh CA migration</w:t>
            </w:r>
          </w:p>
        </w:tc>
        <w:tc>
          <w:tcPr/>
          <w:p>
            <w:pPr>
              <w:pStyle w:val="Compact"/>
              <w:jc w:val="left"/>
            </w:pPr>
            <w:r>
              <w:t xml:space="preserve">Mesh root CA</w:t>
            </w:r>
          </w:p>
        </w:tc>
        <w:tc>
          <w:tcPr/>
          <w:p>
            <w:pPr>
              <w:pStyle w:val="Compact"/>
              <w:jc w:val="left"/>
            </w:pPr>
            <w:r>
              <w:t xml:space="preserve">GlobalSync</w:t>
            </w:r>
          </w:p>
        </w:tc>
      </w:tr>
      <w:tr>
        <w:tc>
          <w:tcPr/>
          <w:p>
            <w:pPr>
              <w:pStyle w:val="Compact"/>
              <w:jc w:val="left"/>
            </w:pPr>
            <w:r>
              <w:t xml:space="preserve">IKEv2 / IPsec</w:t>
            </w:r>
          </w:p>
        </w:tc>
        <w:tc>
          <w:tcPr/>
          <w:p>
            <w:pPr>
              <w:pStyle w:val="Compact"/>
              <w:jc w:val="left"/>
            </w:pPr>
            <w:r>
              <w:t xml:space="preserve">Key exchange</w:t>
            </w:r>
          </w:p>
        </w:tc>
        <w:tc>
          <w:tcPr/>
          <w:p>
            <w:pPr>
              <w:pStyle w:val="Compact"/>
              <w:jc w:val="left"/>
            </w:pPr>
            <w:r>
              <w:t xml:space="preserve">ECDH + ML-KEM-768</w:t>
            </w:r>
          </w:p>
        </w:tc>
        <w:tc>
          <w:tcPr/>
          <w:p>
            <w:pPr>
              <w:pStyle w:val="Compact"/>
              <w:jc w:val="left"/>
            </w:pPr>
            <w:r>
              <w:t xml:space="preserve">strongSwan, vendor concentrator</w:t>
            </w:r>
          </w:p>
        </w:tc>
        <w:tc>
          <w:tcPr/>
          <w:p>
            <w:pPr>
              <w:pStyle w:val="Compact"/>
              <w:jc w:val="left"/>
            </w:pPr>
            <w:r>
              <w:t xml:space="preserve">2–3 — CPE firmware</w:t>
            </w:r>
          </w:p>
        </w:tc>
        <w:tc>
          <w:tcPr/>
          <w:p>
            <w:pPr>
              <w:pStyle w:val="Compact"/>
              <w:jc w:val="left"/>
            </w:pPr>
            <w:r>
              <w:t xml:space="preserve">CPE firmware build</w:t>
            </w:r>
          </w:p>
        </w:tc>
        <w:tc>
          <w:tcPr/>
          <w:p>
            <w:pPr>
              <w:pStyle w:val="Compact"/>
              <w:jc w:val="left"/>
            </w:pPr>
            <w:r>
              <w:t xml:space="preserve">Northfield</w:t>
            </w:r>
          </w:p>
        </w:tc>
      </w:tr>
      <w:tr>
        <w:tc>
          <w:tcPr/>
          <w:p>
            <w:pPr>
              <w:pStyle w:val="Compact"/>
              <w:jc w:val="left"/>
            </w:pPr>
            <w:r>
              <w:t xml:space="preserve">IKEv2 / IPsec</w:t>
            </w:r>
          </w:p>
        </w:tc>
        <w:tc>
          <w:tcPr/>
          <w:p>
            <w:pPr>
              <w:pStyle w:val="Compact"/>
              <w:jc w:val="left"/>
            </w:pPr>
            <w:r>
              <w:t xml:space="preserve">IKE CERT</w:t>
            </w:r>
          </w:p>
        </w:tc>
        <w:tc>
          <w:tcPr/>
          <w:p>
            <w:pPr>
              <w:pStyle w:val="Compact"/>
              <w:jc w:val="left"/>
            </w:pPr>
            <w:r>
              <w:t xml:space="preserve">ML-DSA or ECDSA</w:t>
            </w:r>
          </w:p>
        </w:tc>
        <w:tc>
          <w:tcPr/>
          <w:p>
            <w:pPr>
              <w:pStyle w:val="Compact"/>
              <w:jc w:val="left"/>
            </w:pPr>
            <w:r>
              <w:t xml:space="preserve">PKI + vendor</w:t>
            </w:r>
          </w:p>
        </w:tc>
        <w:tc>
          <w:tcPr/>
          <w:p>
            <w:pPr>
              <w:pStyle w:val="Compact"/>
              <w:jc w:val="left"/>
            </w:pPr>
            <w:r>
              <w:t xml:space="preserve">3 — cert size / fragmentation</w:t>
            </w:r>
          </w:p>
        </w:tc>
        <w:tc>
          <w:tcPr/>
          <w:p>
            <w:pPr>
              <w:pStyle w:val="Compact"/>
              <w:jc w:val="left"/>
            </w:pPr>
            <w:r>
              <w:t xml:space="preserve">Internal CA + MTU</w:t>
            </w:r>
          </w:p>
        </w:tc>
        <w:tc>
          <w:tcPr/>
          <w:p>
            <w:pPr>
              <w:pStyle w:val="Compact"/>
              <w:jc w:val="left"/>
            </w:pPr>
            <w:r>
              <w:t xml:space="preserve">Northfield</w:t>
            </w:r>
          </w:p>
        </w:tc>
      </w:tr>
      <w:tr>
        <w:tc>
          <w:tcPr/>
          <w:p>
            <w:pPr>
              <w:pStyle w:val="Compact"/>
              <w:jc w:val="left"/>
            </w:pPr>
            <w:r>
              <w:t xml:space="preserve">SSH</w:t>
            </w:r>
          </w:p>
        </w:tc>
        <w:tc>
          <w:tcPr/>
          <w:p>
            <w:pPr>
              <w:pStyle w:val="Compact"/>
              <w:jc w:val="left"/>
            </w:pPr>
            <w:r>
              <w:t xml:space="preserve">Host key + KEX</w:t>
            </w:r>
          </w:p>
        </w:tc>
        <w:tc>
          <w:tcPr/>
          <w:p>
            <w:pPr>
              <w:pStyle w:val="Compact"/>
              <w:jc w:val="left"/>
            </w:pPr>
            <w:r>
              <w:t xml:space="preserve">Parallel keys; hybrid KEX</w:t>
            </w:r>
          </w:p>
        </w:tc>
        <w:tc>
          <w:tcPr/>
          <w:p>
            <w:pPr>
              <w:pStyle w:val="Compact"/>
              <w:jc w:val="left"/>
            </w:pPr>
            <w:r>
              <w:t xml:space="preserve">OpenSSH 9.x+ (track releases)</w:t>
            </w:r>
          </w:p>
        </w:tc>
        <w:tc>
          <w:tcPr/>
          <w:p>
            <w:pPr>
              <w:pStyle w:val="Compact"/>
              <w:jc w:val="left"/>
            </w:pPr>
            <w:r>
              <w:t xml:space="preserve">3 — automation estate</w:t>
            </w:r>
          </w:p>
        </w:tc>
        <w:tc>
          <w:tcPr/>
          <w:p>
            <w:pPr>
              <w:pStyle w:val="Compact"/>
              <w:jc w:val="left"/>
            </w:pPr>
            <w:r>
              <w:t xml:space="preserve">known_hosts / SSH CA</w:t>
            </w:r>
          </w:p>
        </w:tc>
        <w:tc>
          <w:tcPr/>
          <w:p>
            <w:pPr>
              <w:pStyle w:val="Compact"/>
              <w:jc w:val="left"/>
            </w:pPr>
            <w:r>
              <w:t xml:space="preserve">Apex</w:t>
            </w:r>
          </w:p>
        </w:tc>
      </w:tr>
      <w:tr>
        <w:tc>
          <w:tcPr/>
          <w:p>
            <w:pPr>
              <w:pStyle w:val="Compact"/>
              <w:jc w:val="left"/>
            </w:pPr>
            <w:r>
              <w:t xml:space="preserve">SSH</w:t>
            </w:r>
          </w:p>
        </w:tc>
        <w:tc>
          <w:tcPr/>
          <w:p>
            <w:pPr>
              <w:pStyle w:val="Compact"/>
              <w:jc w:val="left"/>
            </w:pPr>
            <w:r>
              <w:t xml:space="preserve">SSH-CA signature</w:t>
            </w:r>
          </w:p>
        </w:tc>
        <w:tc>
          <w:tcPr/>
          <w:p>
            <w:pPr>
              <w:pStyle w:val="Compact"/>
              <w:jc w:val="left"/>
            </w:pPr>
            <w:r>
              <w:t xml:space="preserve">ML-DSA CA</w:t>
            </w:r>
          </w:p>
        </w:tc>
        <w:tc>
          <w:tcPr/>
          <w:p>
            <w:pPr>
              <w:pStyle w:val="Compact"/>
              <w:jc w:val="left"/>
            </w:pPr>
            <w:r>
              <w:t xml:space="preserve">step-ca, Vault roadmap</w:t>
            </w:r>
          </w:p>
        </w:tc>
        <w:tc>
          <w:tcPr/>
          <w:p>
            <w:pPr>
              <w:pStyle w:val="Compact"/>
              <w:jc w:val="left"/>
            </w:pPr>
            <w:r>
              <w:t xml:space="preserve">3 — CA first</w:t>
            </w:r>
          </w:p>
        </w:tc>
        <w:tc>
          <w:tcPr/>
          <w:p>
            <w:pPr>
              <w:pStyle w:val="Compact"/>
              <w:jc w:val="left"/>
            </w:pPr>
            <w:r>
              <w:t xml:space="preserve">SSH CA signing key</w:t>
            </w:r>
          </w:p>
        </w:tc>
        <w:tc>
          <w:tcPr/>
          <w:p>
            <w:pPr>
              <w:pStyle w:val="Compact"/>
              <w:jc w:val="left"/>
            </w:pPr>
            <w:r>
              <w:t xml:space="preserve">Apex</w:t>
            </w:r>
          </w:p>
        </w:tc>
      </w:tr>
      <w:tr>
        <w:tc>
          <w:tcPr/>
          <w:p>
            <w:pPr>
              <w:pStyle w:val="Compact"/>
              <w:jc w:val="left"/>
            </w:pPr>
            <w:r>
              <w:t xml:space="preserve">Kafka TLS</w:t>
            </w:r>
          </w:p>
        </w:tc>
        <w:tc>
          <w:tcPr/>
          <w:p>
            <w:pPr>
              <w:pStyle w:val="Compact"/>
              <w:jc w:val="left"/>
            </w:pPr>
            <w:r>
              <w:t xml:space="preserve">Broker listener</w:t>
            </w:r>
          </w:p>
        </w:tc>
        <w:tc>
          <w:tcPr/>
          <w:p>
            <w:pPr>
              <w:pStyle w:val="Compact"/>
              <w:jc w:val="left"/>
            </w:pPr>
            <w:r>
              <w:t xml:space="preserve">Same as TLS hybrid</w:t>
            </w:r>
          </w:p>
        </w:tc>
        <w:tc>
          <w:tcPr/>
          <w:p>
            <w:pPr>
              <w:pStyle w:val="Compact"/>
              <w:jc w:val="left"/>
            </w:pPr>
            <w:r>
              <w:t xml:space="preserve">librdkafka + broker image</w:t>
            </w:r>
          </w:p>
        </w:tc>
        <w:tc>
          <w:tcPr/>
          <w:p>
            <w:pPr>
              <w:pStyle w:val="Compact"/>
              <w:jc w:val="left"/>
            </w:pPr>
            <w:r>
              <w:t xml:space="preserve">4 — internal homogeneous</w:t>
            </w:r>
          </w:p>
        </w:tc>
        <w:tc>
          <w:tcPr/>
          <w:p>
            <w:pPr>
              <w:pStyle w:val="Compact"/>
              <w:jc w:val="left"/>
            </w:pPr>
            <w:r>
              <w:t xml:space="preserve">Broker image version</w:t>
            </w:r>
          </w:p>
        </w:tc>
        <w:tc>
          <w:tcPr/>
          <w:p>
            <w:pPr>
              <w:pStyle w:val="Compact"/>
              <w:jc w:val="left"/>
            </w:pPr>
            <w:r>
              <w:t xml:space="preserve">GlobalSync</w:t>
            </w:r>
          </w:p>
        </w:tc>
      </w:tr>
      <w:tr>
        <w:tc>
          <w:tcPr/>
          <w:p>
            <w:pPr>
              <w:pStyle w:val="Compact"/>
              <w:jc w:val="left"/>
            </w:pPr>
            <w:r>
              <w:t xml:space="preserve">AMQP TLS</w:t>
            </w:r>
          </w:p>
        </w:tc>
        <w:tc>
          <w:tcPr/>
          <w:p>
            <w:pPr>
              <w:pStyle w:val="Compact"/>
              <w:jc w:val="left"/>
            </w:pPr>
            <w:r>
              <w:t xml:space="preserve">Broker listener</w:t>
            </w:r>
          </w:p>
        </w:tc>
        <w:tc>
          <w:tcPr/>
          <w:p>
            <w:pPr>
              <w:pStyle w:val="Compact"/>
              <w:jc w:val="left"/>
            </w:pPr>
            <w:r>
              <w:t xml:space="preserve">Inherit mesh policy</w:t>
            </w:r>
          </w:p>
        </w:tc>
        <w:tc>
          <w:tcPr/>
          <w:p>
            <w:pPr>
              <w:pStyle w:val="Compact"/>
              <w:jc w:val="left"/>
            </w:pPr>
            <w:r>
              <w:t xml:space="preserve">RabbitMQ 3.13+</w:t>
            </w:r>
          </w:p>
        </w:tc>
        <w:tc>
          <w:tcPr/>
          <w:p>
            <w:pPr>
              <w:pStyle w:val="Compact"/>
              <w:jc w:val="left"/>
            </w:pPr>
            <w:r>
              <w:t xml:space="preserve">4 — internal</w:t>
            </w:r>
          </w:p>
        </w:tc>
        <w:tc>
          <w:tcPr/>
          <w:p>
            <w:pPr>
              <w:pStyle w:val="Compact"/>
              <w:jc w:val="left"/>
            </w:pPr>
            <w:r>
              <w:t xml:space="preserve">Mesh CA dependency</w:t>
            </w:r>
          </w:p>
        </w:tc>
        <w:tc>
          <w:tcPr/>
          <w:p>
            <w:pPr>
              <w:pStyle w:val="Compact"/>
              <w:jc w:val="left"/>
            </w:pPr>
            <w:r>
              <w:t xml:space="preserve">Meridian</w:t>
            </w:r>
          </w:p>
        </w:tc>
      </w:tr>
      <w:tr>
        <w:tc>
          <w:tcPr/>
          <w:p>
            <w:pPr>
              <w:pStyle w:val="Compact"/>
              <w:jc w:val="left"/>
            </w:pPr>
            <w:r>
              <w:t xml:space="preserve">gRPC mTLS</w:t>
            </w:r>
          </w:p>
        </w:tc>
        <w:tc>
          <w:tcPr/>
          <w:p>
            <w:pPr>
              <w:pStyle w:val="Compact"/>
              <w:jc w:val="left"/>
            </w:pPr>
            <w:r>
              <w:t xml:space="preserve">Channel + creds</w:t>
            </w:r>
          </w:p>
        </w:tc>
        <w:tc>
          <w:tcPr/>
          <w:p>
            <w:pPr>
              <w:pStyle w:val="Compact"/>
              <w:jc w:val="left"/>
            </w:pPr>
            <w:r>
              <w:t xml:space="preserve">TLS hybrid + ML-DSA certs</w:t>
            </w:r>
          </w:p>
        </w:tc>
        <w:tc>
          <w:tcPr/>
          <w:p>
            <w:pPr>
              <w:pStyle w:val="Compact"/>
              <w:jc w:val="left"/>
            </w:pPr>
            <w:r>
              <w:t xml:space="preserve">Mesh + protobuf stacks</w:t>
            </w:r>
          </w:p>
        </w:tc>
        <w:tc>
          <w:tcPr/>
          <w:p>
            <w:pPr>
              <w:pStyle w:val="Compact"/>
              <w:jc w:val="left"/>
            </w:pPr>
            <w:r>
              <w:t xml:space="preserve">3 — mesh + partner</w:t>
            </w:r>
          </w:p>
        </w:tc>
        <w:tc>
          <w:tcPr/>
          <w:p>
            <w:pPr>
              <w:pStyle w:val="Compact"/>
              <w:jc w:val="left"/>
            </w:pPr>
            <w:r>
              <w:t xml:space="preserve">Service mesh CA</w:t>
            </w:r>
          </w:p>
        </w:tc>
        <w:tc>
          <w:tcPr/>
          <w:p>
            <w:pPr>
              <w:pStyle w:val="Compact"/>
              <w:jc w:val="left"/>
            </w:pPr>
            <w:r>
              <w:t xml:space="preserve">GlobalSync</w:t>
            </w:r>
          </w:p>
        </w:tc>
      </w:tr>
      <w:tr>
        <w:tc>
          <w:tcPr/>
          <w:p>
            <w:pPr>
              <w:pStyle w:val="Compact"/>
              <w:jc w:val="left"/>
            </w:pPr>
            <w:r>
              <w:t xml:space="preserve">S/MIME</w:t>
            </w:r>
          </w:p>
        </w:tc>
        <w:tc>
          <w:tcPr/>
          <w:p>
            <w:pPr>
              <w:pStyle w:val="Compact"/>
              <w:jc w:val="left"/>
            </w:pPr>
            <w:r>
              <w:t xml:space="preserve">Sign + encrypt</w:t>
            </w:r>
          </w:p>
        </w:tc>
        <w:tc>
          <w:tcPr/>
          <w:p>
            <w:pPr>
              <w:pStyle w:val="Compact"/>
              <w:jc w:val="left"/>
            </w:pPr>
            <w:r>
              <w:t xml:space="preserve">Dual sign; classical encrypt interim</w:t>
            </w:r>
          </w:p>
        </w:tc>
        <w:tc>
          <w:tcPr/>
          <w:p>
            <w:pPr>
              <w:pStyle w:val="Compact"/>
              <w:jc w:val="left"/>
            </w:pPr>
            <w:r>
              <w:t xml:space="preserve">Mail gateway 2027+</w:t>
            </w:r>
          </w:p>
        </w:tc>
        <w:tc>
          <w:tcPr/>
          <w:p>
            <w:pPr>
              <w:pStyle w:val="Compact"/>
              <w:jc w:val="left"/>
            </w:pPr>
            <w:r>
              <w:t xml:space="preserve">2 — gateway vendor</w:t>
            </w:r>
          </w:p>
        </w:tc>
        <w:tc>
          <w:tcPr/>
          <w:p>
            <w:pPr>
              <w:pStyle w:val="Compact"/>
              <w:jc w:val="left"/>
            </w:pPr>
            <w:r>
              <w:t xml:space="preserve">Mail security appliance</w:t>
            </w:r>
          </w:p>
        </w:tc>
        <w:tc>
          <w:tcPr/>
          <w:p>
            <w:pPr>
              <w:pStyle w:val="Compact"/>
              <w:jc w:val="left"/>
            </w:pPr>
            <w:r>
              <w:t xml:space="preserve">Meridian</w:t>
            </w:r>
          </w:p>
        </w:tc>
      </w:tr>
      <w:tr>
        <w:tc>
          <w:tcPr/>
          <w:p>
            <w:pPr>
              <w:pStyle w:val="Compact"/>
              <w:jc w:val="left"/>
            </w:pPr>
            <w:r>
              <w:t xml:space="preserve">HTTPS webhooks</w:t>
            </w:r>
          </w:p>
        </w:tc>
        <w:tc>
          <w:tcPr/>
          <w:p>
            <w:pPr>
              <w:pStyle w:val="Compact"/>
              <w:jc w:val="left"/>
            </w:pPr>
            <w:r>
              <w:t xml:space="preserve">Payload signature</w:t>
            </w:r>
          </w:p>
        </w:tc>
        <w:tc>
          <w:tcPr/>
          <w:p>
            <w:pPr>
              <w:pStyle w:val="Compact"/>
              <w:jc w:val="left"/>
            </w:pPr>
            <w:r>
              <w:t xml:space="preserve">HMAC + ML-DSA (dual verify)</w:t>
            </w:r>
          </w:p>
        </w:tc>
        <w:tc>
          <w:tcPr/>
          <w:p>
            <w:pPr>
              <w:pStyle w:val="Compact"/>
              <w:jc w:val="left"/>
            </w:pPr>
            <w:r>
              <w:t xml:space="preserve">Application-layer</w:t>
            </w:r>
          </w:p>
        </w:tc>
        <w:tc>
          <w:tcPr/>
          <w:p>
            <w:pPr>
              <w:pStyle w:val="Compact"/>
              <w:jc w:val="left"/>
            </w:pPr>
            <w:r>
              <w:t xml:space="preserve">3 — partner verification</w:t>
            </w:r>
          </w:p>
        </w:tc>
        <w:tc>
          <w:tcPr/>
          <w:p>
            <w:pPr>
              <w:pStyle w:val="Compact"/>
              <w:jc w:val="left"/>
            </w:pPr>
            <w:r>
              <w:t xml:space="preserve">Partner webhook SDK</w:t>
            </w:r>
          </w:p>
        </w:tc>
        <w:tc>
          <w:tcPr/>
          <w:p>
            <w:pPr>
              <w:pStyle w:val="Compact"/>
              <w:jc w:val="left"/>
            </w:pPr>
            <w:r>
              <w:t xml:space="preserve">GlobalSync</w:t>
            </w:r>
          </w:p>
        </w:tc>
      </w:tr>
    </w:tbl>
    <w:p>
      <w:pPr>
        <w:pStyle w:val="BodyText"/>
      </w:pPr>
      <w:r>
        <w:rPr>
          <w:bCs/>
          <w:b/>
        </w:rPr>
        <w:t xml:space="preserve">Readiness legend:</w:t>
      </w:r>
      <w:r>
        <w:t xml:space="preserve"> </w:t>
      </w:r>
      <w:r>
        <w:t xml:space="preserve">TRADE E 1–2 = architect now, deploy later; 3 = pilot viable; 4 = production with exceptions; 5 = broad production. Scores are</w:t>
      </w:r>
      <w:r>
        <w:t xml:space="preserve"> </w:t>
      </w:r>
      <w:r>
        <w:rPr>
          <w:bCs/>
          <w:b/>
        </w:rPr>
        <w:t xml:space="preserve">organisation-specific</w:t>
      </w:r>
      <w:r>
        <w:t xml:space="preserve"> </w:t>
      </w:r>
      <w:r>
        <w:t xml:space="preserve">— populate from your CBOM and vendor evidence, not this illustrative table.</w:t>
      </w:r>
    </w:p>
    <w:p>
      <w:pPr>
        <w:pStyle w:val="BodyText"/>
      </w:pPr>
      <w:r>
        <w:t xml:space="preserve">Programme architects</w:t>
      </w:r>
      <w:r>
        <w:t xml:space="preserve"> </w:t>
      </w:r>
      <w:r>
        <w:rPr>
          <w:bCs/>
          <w:b/>
        </w:rPr>
        <w:t xml:space="preserve">copy Table 12.5 into the enterprise architecture repository</w:t>
      </w:r>
      <w:r>
        <w:t xml:space="preserve"> </w:t>
      </w:r>
      <w:r>
        <w:t xml:space="preserve">and refresh quarterly — tied to standards watch cadence and vendor roadmap reviews.</w:t>
      </w:r>
    </w:p>
    <w:p>
      <w:r>
        <w:pict>
          <v:rect style="width:0;height:1.5pt" o:hralign="center" o:hrstd="t" o:hr="t"/>
        </w:pict>
      </w:r>
    </w:p>
    <w:bookmarkEnd w:id="77"/>
    <w:bookmarkStart w:id="79" w:name="protocol-readiness-radar"/>
    <w:p>
      <w:pPr>
        <w:pStyle w:val="Heading2"/>
      </w:pPr>
      <w:r>
        <w:t xml:space="preserve">12.15 Protocol Readiness Radar</w:t>
      </w:r>
    </w:p>
    <w:p>
      <w:pPr>
        <w:pStyle w:val="FirstParagraph"/>
      </w:pPr>
      <w:r>
        <w:rPr>
          <w:bCs/>
          <w:b/>
        </w:rPr>
        <w:t xml:space="preserve">Figure 12.2 — Protocol Readiness Radar (Illustrative Enterprise)</w:t>
      </w:r>
    </w:p>
    <w:p>
      <w:pPr>
        <w:pStyle w:val="SourceCode"/>
      </w:pPr>
      <w:r>
        <w:rPr>
          <w:rStyle w:val="VerbatimChar"/>
        </w:rPr>
        <w:t xml:space="preserve">                    TLS external (3.8)</w:t>
      </w:r>
      <w:r>
        <w:br/>
      </w:r>
      <w:r>
        <w:rPr>
          <w:rStyle w:val="VerbatimChar"/>
        </w:rPr>
        <w:t xml:space="preserve">                         /\</w:t>
      </w:r>
      <w:r>
        <w:br/>
      </w:r>
      <w:r>
        <w:rPr>
          <w:rStyle w:val="VerbatimChar"/>
        </w:rPr>
        <w:t xml:space="preserve">                        /  \</w:t>
      </w:r>
      <w:r>
        <w:br/>
      </w:r>
      <w:r>
        <w:rPr>
          <w:rStyle w:val="VerbatimChar"/>
        </w:rPr>
        <w:t xml:space="preserve">           Kafka (4.2) /    \ S/MIME (2.1)</w:t>
      </w:r>
      <w:r>
        <w:br/>
      </w:r>
      <w:r>
        <w:rPr>
          <w:rStyle w:val="VerbatimChar"/>
        </w:rPr>
        <w:t xml:space="preserve">                      /      \</w:t>
      </w:r>
      <w:r>
        <w:br/>
      </w:r>
      <w:r>
        <w:rPr>
          <w:rStyle w:val="VerbatimChar"/>
        </w:rPr>
        <w:t xml:space="preserve">                     /        \</w:t>
      </w:r>
      <w:r>
        <w:br/>
      </w:r>
      <w:r>
        <w:rPr>
          <w:rStyle w:val="VerbatimChar"/>
        </w:rPr>
        <w:t xml:space="preserve">        AMQP (3.9) ---+-------- SSH (3.2)</w:t>
      </w:r>
      <w:r>
        <w:br/>
      </w:r>
      <w:r>
        <w:rPr>
          <w:rStyle w:val="VerbatimChar"/>
        </w:rPr>
        <w:t xml:space="preserve">                     \        /</w:t>
      </w:r>
      <w:r>
        <w:br/>
      </w:r>
      <w:r>
        <w:rPr>
          <w:rStyle w:val="VerbatimChar"/>
        </w:rPr>
        <w:t xml:space="preserve">                      \      /</w:t>
      </w:r>
      <w:r>
        <w:br/>
      </w:r>
      <w:r>
        <w:rPr>
          <w:rStyle w:val="VerbatimChar"/>
        </w:rPr>
        <w:t xml:space="preserve">           gRPC mTLS (3.5) \  / IKEv2 WAN (2.4)</w:t>
      </w:r>
      <w:r>
        <w:br/>
      </w:r>
      <w:r>
        <w:rPr>
          <w:rStyle w:val="VerbatimChar"/>
        </w:rPr>
        <w:t xml:space="preserve">                        \  /</w:t>
      </w:r>
      <w:r>
        <w:br/>
      </w:r>
      <w:r>
        <w:rPr>
          <w:rStyle w:val="VerbatimChar"/>
        </w:rPr>
        <w:t xml:space="preserve">                         \/</w:t>
      </w:r>
      <w:r>
        <w:br/>
      </w:r>
      <w:r>
        <w:rPr>
          <w:rStyle w:val="VerbatimChar"/>
        </w:rPr>
        <w:t xml:space="preserve">                  Partner mTLS (2.0)</w:t>
      </w:r>
    </w:p>
    <w:p>
      <w:pPr>
        <w:pStyle w:val="FirstParagraph"/>
      </w:pPr>
      <w:r>
        <w:rPr>
          <w:bCs/>
          <w:b/>
        </w:rPr>
        <w:t xml:space="preserve">Production brief — Figure 12.2:</w:t>
      </w:r>
      <w:r>
        <w:t xml:space="preserve"> </w:t>
      </w:r>
      <w:r>
        <w:t xml:space="preserve">Radar chart with six to eight protocol axes; plot TRADE E ecosystem score per axis; overlay target threshold line at E=4 for H2 eligibility; colour-code H1/H2/H3 phase per axis. Northfield example shows IKEv2 depressed due to CPE firmware; GlobalSync shows partner mTLS as lowest axis despite high Kafka score.</w:t>
      </w:r>
    </w:p>
    <w:bookmarkStart w:id="78" w:name="using-the-radar-in-governance"/>
    <w:p>
      <w:pPr>
        <w:pStyle w:val="Heading3"/>
      </w:pPr>
      <w:r>
        <w:t xml:space="preserve">Using the radar in governance</w:t>
      </w:r>
    </w:p>
    <w:tbl>
      <w:tblPr>
        <w:tblStyle w:val="Table"/>
        <w:tblW w:type="pct" w:w="5000"/>
        <w:tblLook w:firstRow="1" w:lastRow="0" w:firstColumn="0" w:lastColumn="0" w:noHBand="0" w:noVBand="0" w:val="0020"/>
        <w:jc w:val="start"/>
      </w:tblPr>
      <w:tblGrid>
        <w:gridCol w:w="3771"/>
        <w:gridCol w:w="4148"/>
      </w:tblGrid>
      <w:tr>
        <w:trPr>
          <w:tblHeader w:val="true"/>
        </w:trPr>
        <w:tc>
          <w:tcPr/>
          <w:p>
            <w:pPr>
              <w:pStyle w:val="Compact"/>
              <w:jc w:val="left"/>
            </w:pPr>
            <w:r>
              <w:t xml:space="preserve">Audience</w:t>
            </w:r>
          </w:p>
        </w:tc>
        <w:tc>
          <w:tcPr/>
          <w:p>
            <w:pPr>
              <w:pStyle w:val="Compact"/>
              <w:jc w:val="left"/>
            </w:pPr>
            <w:r>
              <w:t xml:space="preserve">Radar use</w:t>
            </w:r>
          </w:p>
        </w:tc>
      </w:tr>
      <w:tr>
        <w:tc>
          <w:tcPr/>
          <w:p>
            <w:pPr>
              <w:pStyle w:val="Compact"/>
              <w:jc w:val="left"/>
            </w:pPr>
            <w:r>
              <w:t xml:space="preserve">Steering committee</w:t>
            </w:r>
          </w:p>
        </w:tc>
        <w:tc>
          <w:tcPr/>
          <w:p>
            <w:pPr>
              <w:pStyle w:val="Compact"/>
              <w:jc w:val="left"/>
            </w:pPr>
            <w:r>
              <w:t xml:space="preserve">Visualise imbalance — high TLS, low partner mTLS</w:t>
            </w:r>
          </w:p>
        </w:tc>
      </w:tr>
      <w:tr>
        <w:tc>
          <w:tcPr/>
          <w:p>
            <w:pPr>
              <w:pStyle w:val="Compact"/>
              <w:jc w:val="left"/>
            </w:pPr>
            <w:r>
              <w:t xml:space="preserve">Engineering</w:t>
            </w:r>
          </w:p>
        </w:tc>
        <w:tc>
          <w:tcPr/>
          <w:p>
            <w:pPr>
              <w:pStyle w:val="Compact"/>
              <w:jc w:val="left"/>
            </w:pPr>
            <w:r>
              <w:t xml:space="preserve">Prioritise blocking node workstreams</w:t>
            </w:r>
          </w:p>
        </w:tc>
      </w:tr>
      <w:tr>
        <w:tc>
          <w:tcPr/>
          <w:p>
            <w:pPr>
              <w:pStyle w:val="Compact"/>
              <w:jc w:val="left"/>
            </w:pPr>
            <w:r>
              <w:t xml:space="preserve">Board</w:t>
            </w:r>
          </w:p>
        </w:tc>
        <w:tc>
          <w:tcPr/>
          <w:p>
            <w:pPr>
              <w:pStyle w:val="Compact"/>
              <w:jc w:val="left"/>
            </w:pPr>
            <w:r>
              <w:t xml:space="preserve">Counter</w:t>
            </w:r>
            <w:r>
              <w:t xml:space="preserve"> </w:t>
            </w:r>
            <w:r>
              <w:t xml:space="preserve">“</w:t>
            </w:r>
            <w:r>
              <w:t xml:space="preserve">we enabled PQC TLS</w:t>
            </w:r>
            <w:r>
              <w:t xml:space="preserve">”</w:t>
            </w:r>
            <w:r>
              <w:t xml:space="preserve"> </w:t>
            </w:r>
            <w:r>
              <w:t xml:space="preserve">narrative with full protocol picture</w:t>
            </w:r>
          </w:p>
        </w:tc>
      </w:tr>
      <w:tr>
        <w:tc>
          <w:tcPr/>
          <w:p>
            <w:pPr>
              <w:pStyle w:val="Compact"/>
              <w:jc w:val="left"/>
            </w:pPr>
            <w:r>
              <w:t xml:space="preserve">Audit</w:t>
            </w:r>
          </w:p>
        </w:tc>
        <w:tc>
          <w:tcPr/>
          <w:p>
            <w:pPr>
              <w:pStyle w:val="Compact"/>
              <w:jc w:val="left"/>
            </w:pPr>
            <w:r>
              <w:t xml:space="preserve">Demonstrate scope-aware transition, not checkbox compliance</w:t>
            </w:r>
          </w:p>
        </w:tc>
      </w:tr>
    </w:tbl>
    <w:p>
      <w:pPr>
        <w:pStyle w:val="BodyText"/>
      </w:pPr>
      <w:r>
        <w:t xml:space="preserve">Meridian presented protocol radar quarterly — replacing single-metric TLS dashboards that obscured treasury mTLS blockage.</w:t>
      </w:r>
    </w:p>
    <w:p>
      <w:r>
        <w:pict>
          <v:rect style="width:0;height:1.5pt" o:hralign="center" o:hrstd="t" o:hr="t"/>
        </w:pict>
      </w:r>
    </w:p>
    <w:bookmarkEnd w:id="78"/>
    <w:bookmarkEnd w:id="79"/>
    <w:bookmarkStart w:id="82" w:name="phased-protocol-rollout"/>
    <w:p>
      <w:pPr>
        <w:pStyle w:val="Heading2"/>
      </w:pPr>
      <w:r>
        <w:t xml:space="preserve">12.16 Phased Protocol Rollout</w:t>
      </w:r>
    </w:p>
    <w:p>
      <w:pPr>
        <w:pStyle w:val="FirstParagraph"/>
      </w:pPr>
      <w:r>
        <w:rPr>
          <w:bCs/>
          <w:b/>
        </w:rPr>
        <w:t xml:space="preserve">Figure 12.3 — Phased Protocol Rollout (CDG-Aligned)</w:t>
      </w:r>
    </w:p>
    <w:p>
      <w:pPr>
        <w:pStyle w:val="SourceCode"/>
      </w:pPr>
      <w:r>
        <w:rPr>
          <w:rStyle w:val="VerbatimChar"/>
        </w:rPr>
        <w:t xml:space="preserve">Timeline --&gt;</w:t>
      </w:r>
      <w:r>
        <w:br/>
      </w:r>
      <w:r>
        <w:rPr>
          <w:rStyle w:val="VerbatimChar"/>
        </w:rPr>
        <w:t xml:space="preserve">Q1-Q2        Q3-Q4        Y2 Q1-Q2       Y2 Q3+</w:t>
      </w:r>
      <w:r>
        <w:br/>
      </w:r>
      <w:r>
        <w:rPr>
          <w:rStyle w:val="VerbatimChar"/>
        </w:rPr>
        <w:t xml:space="preserve">─────────────────────────────────────────────────────</w:t>
      </w:r>
      <w:r>
        <w:br/>
      </w:r>
      <w:r>
        <w:rPr>
          <w:rStyle w:val="VerbatimChar"/>
        </w:rPr>
        <w:t xml:space="preserve">Wave 0       Wave 1       Wave 2         Wave 3</w:t>
      </w:r>
      <w:r>
        <w:br/>
      </w:r>
      <w:r>
        <w:rPr>
          <w:rStyle w:val="VerbatimChar"/>
        </w:rPr>
        <w:t xml:space="preserve">PKI + partner API TLS    Kafka +       S/MIME +</w:t>
      </w:r>
      <w:r>
        <w:br/>
      </w:r>
      <w:r>
        <w:rPr>
          <w:rStyle w:val="VerbatimChar"/>
        </w:rPr>
        <w:t xml:space="preserve">policy       hybrid H1    mesh mTLS     OT gateways</w:t>
      </w:r>
      <w:r>
        <w:br/>
      </w:r>
      <w:r>
        <w:rPr>
          <w:rStyle w:val="VerbatimChar"/>
        </w:rPr>
        <w:t xml:space="preserve">blocking     Northfield   AMQP          (vendor GA)</w:t>
      </w:r>
      <w:r>
        <w:br/>
      </w:r>
      <w:r>
        <w:rPr>
          <w:rStyle w:val="VerbatimChar"/>
        </w:rPr>
        <w:t xml:space="preserve">resolved     IPsec pilot  inherit       Northfield</w:t>
      </w:r>
      <w:r>
        <w:br/>
      </w:r>
      <w:r>
        <w:rPr>
          <w:rStyle w:val="VerbatimChar"/>
        </w:rPr>
        <w:t xml:space="preserve">             (lab)        mesh CA       IPsec prod</w:t>
      </w:r>
    </w:p>
    <w:p>
      <w:pPr>
        <w:pStyle w:val="FirstParagraph"/>
      </w:pPr>
      <w:r>
        <w:rPr>
          <w:bCs/>
          <w:b/>
        </w:rPr>
        <w:t xml:space="preserve">Production brief — Figure 12.3:</w:t>
      </w:r>
      <w:r>
        <w:t xml:space="preserve"> </w:t>
      </w:r>
      <w:r>
        <w:t xml:space="preserve">Gantt-style diagram with dependency arrows from Wave 0 PKI to all subsequent protocol bars; dashed bar for Northfield IPsec production contingent on</w:t>
      </w:r>
      <w:r>
        <w:t xml:space="preserve"> </w:t>
      </w:r>
      <w:r>
        <w:rPr>
          <w:rStyle w:val="VerbatimChar"/>
        </w:rPr>
        <w:t xml:space="preserve">vendor_pq_ga_date</w:t>
      </w:r>
      <w:r>
        <w:t xml:space="preserve">; critical path highlighted in red.</w:t>
      </w:r>
    </w:p>
    <w:bookmarkStart w:id="80" w:name="rollout-sequencing-rules"/>
    <w:p>
      <w:pPr>
        <w:pStyle w:val="Heading3"/>
      </w:pPr>
      <w:r>
        <w:t xml:space="preserve">Rollout sequencing rules</w:t>
      </w:r>
    </w:p>
    <w:p>
      <w:pPr>
        <w:numPr>
          <w:ilvl w:val="0"/>
          <w:numId w:val="1011"/>
        </w:numPr>
        <w:pStyle w:val="Compact"/>
      </w:pPr>
      <w:r>
        <w:rPr>
          <w:bCs/>
          <w:b/>
        </w:rPr>
        <w:t xml:space="preserve">Resolve CDG blocking nodes</w:t>
      </w:r>
      <w:r>
        <w:t xml:space="preserve"> </w:t>
      </w:r>
      <w:r>
        <w:t xml:space="preserve">(Wave 0) before protocol-class production at scale</w:t>
      </w:r>
    </w:p>
    <w:p>
      <w:pPr>
        <w:numPr>
          <w:ilvl w:val="0"/>
          <w:numId w:val="1011"/>
        </w:numPr>
        <w:pStyle w:val="Compact"/>
      </w:pPr>
      <w:r>
        <w:rPr>
          <w:bCs/>
          <w:b/>
        </w:rPr>
        <w:t xml:space="preserve">External TLS H1</w:t>
      </w:r>
      <w:r>
        <w:t xml:space="preserve"> </w:t>
      </w:r>
      <w:r>
        <w:t xml:space="preserve">may parallel Wave 0 only on tiered endpoints with documented exceptions — not default production URL</w:t>
      </w:r>
    </w:p>
    <w:p>
      <w:pPr>
        <w:numPr>
          <w:ilvl w:val="0"/>
          <w:numId w:val="1011"/>
        </w:numPr>
        <w:pStyle w:val="Compact"/>
      </w:pPr>
      <w:r>
        <w:rPr>
          <w:bCs/>
          <w:b/>
        </w:rPr>
        <w:t xml:space="preserve">Internal messaging</w:t>
      </w:r>
      <w:r>
        <w:t xml:space="preserve"> </w:t>
      </w:r>
      <w:r>
        <w:t xml:space="preserve">follows mesh / internal PKI — not public API schedule</w:t>
      </w:r>
    </w:p>
    <w:p>
      <w:pPr>
        <w:numPr>
          <w:ilvl w:val="0"/>
          <w:numId w:val="1011"/>
        </w:numPr>
        <w:pStyle w:val="Compact"/>
      </w:pPr>
      <w:r>
        <w:rPr>
          <w:bCs/>
          <w:b/>
        </w:rPr>
        <w:t xml:space="preserve">OT IPsec</w:t>
      </w:r>
      <w:r>
        <w:t xml:space="preserve"> </w:t>
      </w:r>
      <w:r>
        <w:t xml:space="preserve">follows CPE firmware — not cloud TLS schedule</w:t>
      </w:r>
    </w:p>
    <w:p>
      <w:pPr>
        <w:numPr>
          <w:ilvl w:val="0"/>
          <w:numId w:val="1011"/>
        </w:numPr>
        <w:pStyle w:val="Compact"/>
      </w:pPr>
      <w:r>
        <w:rPr>
          <w:bCs/>
          <w:b/>
        </w:rPr>
        <w:t xml:space="preserve">S/MIME and email</w:t>
      </w:r>
      <w:r>
        <w:t xml:space="preserve"> </w:t>
      </w:r>
      <w:r>
        <w:t xml:space="preserve">follow mail gateway — typically Wave 2–3</w:t>
      </w:r>
    </w:p>
    <w:p>
      <w:pPr>
        <w:numPr>
          <w:ilvl w:val="0"/>
          <w:numId w:val="1011"/>
        </w:numPr>
        <w:pStyle w:val="Compact"/>
      </w:pPr>
      <w:r>
        <w:rPr>
          <w:bCs/>
          <w:b/>
        </w:rPr>
        <w:t xml:space="preserve">Partner mTLS</w:t>
      </w:r>
      <w:r>
        <w:t xml:space="preserve"> </w:t>
      </w:r>
      <w:r>
        <w:t xml:space="preserve">follows slowest critical partner — may delay Wave 3 microservices indefinitely without tiered policy</w:t>
      </w:r>
    </w:p>
    <w:bookmarkEnd w:id="80"/>
    <w:bookmarkStart w:id="81" w:name="regional-and-cohort-phasing"/>
    <w:p>
      <w:pPr>
        <w:pStyle w:val="Heading3"/>
      </w:pPr>
      <w:r>
        <w:t xml:space="preserve">Regional and cohort phasing</w:t>
      </w:r>
    </w:p>
    <w:p>
      <w:pPr>
        <w:pStyle w:val="FirstParagraph"/>
      </w:pPr>
      <w:r>
        <w:t xml:space="preserve">GlobalSync rolled out hybrid TLS</w:t>
      </w:r>
      <w:r>
        <w:t xml:space="preserve"> </w:t>
      </w:r>
      <w:r>
        <w:rPr>
          <w:bCs/>
          <w:b/>
        </w:rPr>
        <w:t xml:space="preserve">by geographic CDN PoP</w:t>
      </w:r>
      <w:r>
        <w:t xml:space="preserve"> </w:t>
      </w:r>
      <w:r>
        <w:t xml:space="preserve">— APAC last due to partner concentration. Northfield phased IPsec by</w:t>
      </w:r>
      <w:r>
        <w:t xml:space="preserve"> </w:t>
      </w:r>
      <w:r>
        <w:rPr>
          <w:bCs/>
          <w:b/>
        </w:rPr>
        <w:t xml:space="preserve">concentrator model</w:t>
      </w:r>
      <w:r>
        <w:t xml:space="preserve"> </w:t>
      </w:r>
      <w:r>
        <w:t xml:space="preserve">— Model A regions before Model B hardware refresh. Apex phased NSS SSH separately from corporate — accreditation windows, not calendar quarters.</w:t>
      </w:r>
    </w:p>
    <w:p>
      <w:r>
        <w:pict>
          <v:rect style="width:0;height:1.5pt" o:hralign="center" o:hrstd="t" o:hr="t"/>
        </w:pict>
      </w:r>
    </w:p>
    <w:bookmarkEnd w:id="81"/>
    <w:bookmarkEnd w:id="82"/>
    <w:bookmarkStart w:id="85" w:name="observability-and-cbom-integration"/>
    <w:p>
      <w:pPr>
        <w:pStyle w:val="Heading2"/>
      </w:pPr>
      <w:r>
        <w:t xml:space="preserve">12.17 Observability and CBOM Integration</w:t>
      </w:r>
    </w:p>
    <w:p>
      <w:pPr>
        <w:pStyle w:val="FirstParagraph"/>
      </w:pPr>
      <w:r>
        <w:t xml:space="preserve">Protocol transition without telemetry reproduces pilot-production divergence — Meridian’s security architecture team’s laboratory success versus 11.3% handshake failure in production.</w:t>
      </w:r>
    </w:p>
    <w:bookmarkStart w:id="83" w:name="protocol-specific-metrics"/>
    <w:p>
      <w:pPr>
        <w:pStyle w:val="Heading3"/>
      </w:pPr>
      <w:r>
        <w:t xml:space="preserve">Protocol-specific metrics</w:t>
      </w:r>
    </w:p>
    <w:tbl>
      <w:tblPr>
        <w:tblStyle w:val="Table"/>
        <w:tblW w:type="pct" w:w="5000"/>
        <w:tblLook w:firstRow="1" w:lastRow="0" w:firstColumn="0" w:lastColumn="0" w:noHBand="0" w:noVBand="0" w:val="0020"/>
        <w:jc w:val="start"/>
      </w:tblPr>
      <w:tblGrid>
        <w:gridCol w:w="1494"/>
        <w:gridCol w:w="1195"/>
        <w:gridCol w:w="2689"/>
        <w:gridCol w:w="2540"/>
      </w:tblGrid>
      <w:tr>
        <w:trPr>
          <w:tblHeader w:val="true"/>
        </w:trPr>
        <w:tc>
          <w:tcPr/>
          <w:p>
            <w:pPr>
              <w:pStyle w:val="Compact"/>
              <w:jc w:val="left"/>
            </w:pPr>
            <w:r>
              <w:t xml:space="preserve">Protocol</w:t>
            </w:r>
          </w:p>
        </w:tc>
        <w:tc>
          <w:tcPr/>
          <w:p>
            <w:pPr>
              <w:pStyle w:val="Compact"/>
              <w:jc w:val="left"/>
            </w:pPr>
            <w:r>
              <w:t xml:space="preserve">Metric</w:t>
            </w:r>
          </w:p>
        </w:tc>
        <w:tc>
          <w:tcPr/>
          <w:p>
            <w:pPr>
              <w:pStyle w:val="Compact"/>
              <w:jc w:val="left"/>
            </w:pPr>
            <w:r>
              <w:t xml:space="preserve">Collection point</w:t>
            </w:r>
          </w:p>
        </w:tc>
        <w:tc>
          <w:tcPr/>
          <w:p>
            <w:pPr>
              <w:pStyle w:val="Compact"/>
              <w:jc w:val="left"/>
            </w:pPr>
            <w:r>
              <w:t xml:space="preserve">H1 exit example</w:t>
            </w:r>
          </w:p>
        </w:tc>
      </w:tr>
      <w:tr>
        <w:tc>
          <w:tcPr/>
          <w:p>
            <w:pPr>
              <w:pStyle w:val="Compact"/>
              <w:jc w:val="left"/>
            </w:pPr>
            <w:r>
              <w:t xml:space="preserve">TLS</w:t>
            </w:r>
          </w:p>
        </w:tc>
        <w:tc>
          <w:tcPr/>
          <w:p>
            <w:pPr>
              <w:pStyle w:val="Compact"/>
              <w:jc w:val="left"/>
            </w:pPr>
            <w:r>
              <w:rPr>
                <w:rStyle w:val="VerbatimChar"/>
              </w:rPr>
              <w:t xml:space="preserve">hybrid_negotiation_rate</w:t>
            </w:r>
          </w:p>
        </w:tc>
        <w:tc>
          <w:tcPr/>
          <w:p>
            <w:pPr>
              <w:pStyle w:val="Compact"/>
              <w:jc w:val="left"/>
            </w:pPr>
            <w:r>
              <w:t xml:space="preserve">Load balancer / mesh</w:t>
            </w:r>
          </w:p>
        </w:tc>
        <w:tc>
          <w:tcPr/>
          <w:p>
            <w:pPr>
              <w:pStyle w:val="Compact"/>
              <w:jc w:val="left"/>
            </w:pPr>
            <w:r>
              <w:t xml:space="preserve">≥ 92% GlobalSync</w:t>
            </w:r>
          </w:p>
        </w:tc>
      </w:tr>
      <w:tr>
        <w:tc>
          <w:tcPr/>
          <w:p>
            <w:pPr>
              <w:pStyle w:val="Compact"/>
              <w:jc w:val="left"/>
            </w:pPr>
            <w:r>
              <w:t xml:space="preserve">TLS</w:t>
            </w:r>
          </w:p>
        </w:tc>
        <w:tc>
          <w:tcPr/>
          <w:p>
            <w:pPr>
              <w:pStyle w:val="Compact"/>
              <w:jc w:val="left"/>
            </w:pPr>
            <w:r>
              <w:rPr>
                <w:rStyle w:val="VerbatimChar"/>
              </w:rPr>
              <w:t xml:space="preserve">tier_c_traffic_share</w:t>
            </w:r>
          </w:p>
        </w:tc>
        <w:tc>
          <w:tcPr/>
          <w:p>
            <w:pPr>
              <w:pStyle w:val="Compact"/>
              <w:jc w:val="left"/>
            </w:pPr>
            <w:r>
              <w:t xml:space="preserve">Fingerprint routing</w:t>
            </w:r>
          </w:p>
        </w:tc>
        <w:tc>
          <w:tcPr/>
          <w:p>
            <w:pPr>
              <w:pStyle w:val="Compact"/>
              <w:jc w:val="left"/>
            </w:pPr>
            <w:r>
              <w:t xml:space="preserve">&lt; 2% on primary URL</w:t>
            </w:r>
          </w:p>
        </w:tc>
      </w:tr>
      <w:tr>
        <w:tc>
          <w:tcPr/>
          <w:p>
            <w:pPr>
              <w:pStyle w:val="Compact"/>
              <w:jc w:val="left"/>
            </w:pPr>
            <w:r>
              <w:t xml:space="preserve">IKE</w:t>
            </w:r>
          </w:p>
        </w:tc>
        <w:tc>
          <w:tcPr/>
          <w:p>
            <w:pPr>
              <w:pStyle w:val="Compact"/>
              <w:jc w:val="left"/>
            </w:pPr>
            <w:r>
              <w:rPr>
                <w:rStyle w:val="VerbatimChar"/>
              </w:rPr>
              <w:t xml:space="preserve">ike_hybrid_establishment_rate</w:t>
            </w:r>
          </w:p>
        </w:tc>
        <w:tc>
          <w:tcPr/>
          <w:p>
            <w:pPr>
              <w:pStyle w:val="Compact"/>
              <w:jc w:val="left"/>
            </w:pPr>
            <w:r>
              <w:t xml:space="preserve">Concentrator syslog</w:t>
            </w:r>
          </w:p>
        </w:tc>
        <w:tc>
          <w:tcPr/>
          <w:p>
            <w:pPr>
              <w:pStyle w:val="Compact"/>
              <w:jc w:val="left"/>
            </w:pPr>
            <w:r>
              <w:t xml:space="preserve">≥ 95% post-firmware</w:t>
            </w:r>
          </w:p>
        </w:tc>
      </w:tr>
      <w:tr>
        <w:tc>
          <w:tcPr/>
          <w:p>
            <w:pPr>
              <w:pStyle w:val="Compact"/>
              <w:jc w:val="left"/>
            </w:pPr>
            <w:r>
              <w:t xml:space="preserve">IKE</w:t>
            </w:r>
          </w:p>
        </w:tc>
        <w:tc>
          <w:tcPr/>
          <w:p>
            <w:pPr>
              <w:pStyle w:val="Compact"/>
              <w:jc w:val="left"/>
            </w:pPr>
            <w:r>
              <w:rPr>
                <w:rStyle w:val="VerbatimChar"/>
              </w:rPr>
              <w:t xml:space="preserve">rekey_duration_p99</w:t>
            </w:r>
          </w:p>
        </w:tc>
        <w:tc>
          <w:tcPr/>
          <w:p>
            <w:pPr>
              <w:pStyle w:val="Compact"/>
              <w:jc w:val="left"/>
            </w:pPr>
            <w:r>
              <w:t xml:space="preserve">Concentrator metrics</w:t>
            </w:r>
          </w:p>
        </w:tc>
        <w:tc>
          <w:tcPr/>
          <w:p>
            <w:pPr>
              <w:pStyle w:val="Compact"/>
              <w:jc w:val="left"/>
            </w:pPr>
            <w:r>
              <w:t xml:space="preserve">&lt; 2× baseline</w:t>
            </w:r>
          </w:p>
        </w:tc>
      </w:tr>
      <w:tr>
        <w:tc>
          <w:tcPr/>
          <w:p>
            <w:pPr>
              <w:pStyle w:val="Compact"/>
              <w:jc w:val="left"/>
            </w:pPr>
            <w:r>
              <w:t xml:space="preserve">SSH</w:t>
            </w:r>
          </w:p>
        </w:tc>
        <w:tc>
          <w:tcPr/>
          <w:p>
            <w:pPr>
              <w:pStyle w:val="Compact"/>
              <w:jc w:val="left"/>
            </w:pPr>
            <w:r>
              <w:rPr>
                <w:rStyle w:val="VerbatimChar"/>
              </w:rPr>
              <w:t xml:space="preserve">pqc_host_key_negotiation_rate</w:t>
            </w:r>
          </w:p>
        </w:tc>
        <w:tc>
          <w:tcPr/>
          <w:p>
            <w:pPr>
              <w:pStyle w:val="Compact"/>
              <w:jc w:val="left"/>
            </w:pPr>
            <w:r>
              <w:t xml:space="preserve">Bastion auth logs</w:t>
            </w:r>
          </w:p>
        </w:tc>
        <w:tc>
          <w:tcPr/>
          <w:p>
            <w:pPr>
              <w:pStyle w:val="Compact"/>
              <w:jc w:val="left"/>
            </w:pPr>
            <w:r>
              <w:t xml:space="preserve">≥ 90% automation estate</w:t>
            </w:r>
          </w:p>
        </w:tc>
      </w:tr>
      <w:tr>
        <w:tc>
          <w:tcPr/>
          <w:p>
            <w:pPr>
              <w:pStyle w:val="Compact"/>
              <w:jc w:val="left"/>
            </w:pPr>
            <w:r>
              <w:t xml:space="preserve">Kafka</w:t>
            </w:r>
          </w:p>
        </w:tc>
        <w:tc>
          <w:tcPr/>
          <w:p>
            <w:pPr>
              <w:pStyle w:val="Compact"/>
              <w:jc w:val="left"/>
            </w:pPr>
            <w:r>
              <w:rPr>
                <w:rStyle w:val="VerbatimChar"/>
              </w:rPr>
              <w:t xml:space="preserve">broker_tls_hybrid_rate</w:t>
            </w:r>
          </w:p>
        </w:tc>
        <w:tc>
          <w:tcPr/>
          <w:p>
            <w:pPr>
              <w:pStyle w:val="Compact"/>
              <w:jc w:val="left"/>
            </w:pPr>
            <w:r>
              <w:t xml:space="preserve">Broker JMX / metrics</w:t>
            </w:r>
          </w:p>
        </w:tc>
        <w:tc>
          <w:tcPr/>
          <w:p>
            <w:pPr>
              <w:pStyle w:val="Compact"/>
              <w:jc w:val="left"/>
            </w:pPr>
            <w:r>
              <w:t xml:space="preserve">100% homogeneous cluster</w:t>
            </w:r>
          </w:p>
        </w:tc>
      </w:tr>
      <w:tr>
        <w:tc>
          <w:tcPr/>
          <w:p>
            <w:pPr>
              <w:pStyle w:val="Compact"/>
              <w:jc w:val="left"/>
            </w:pPr>
            <w:r>
              <w:t xml:space="preserve">mTLS</w:t>
            </w:r>
          </w:p>
        </w:tc>
        <w:tc>
          <w:tcPr/>
          <w:p>
            <w:pPr>
              <w:pStyle w:val="Compact"/>
              <w:jc w:val="left"/>
            </w:pPr>
            <w:r>
              <w:rPr>
                <w:rStyle w:val="VerbatimChar"/>
              </w:rPr>
              <w:t xml:space="preserve">partner_profile_v3_adoption</w:t>
            </w:r>
          </w:p>
        </w:tc>
        <w:tc>
          <w:tcPr/>
          <w:p>
            <w:pPr>
              <w:pStyle w:val="Compact"/>
              <w:jc w:val="left"/>
            </w:pPr>
            <w:r>
              <w:t xml:space="preserve">API gateway</w:t>
            </w:r>
          </w:p>
        </w:tc>
        <w:tc>
          <w:tcPr/>
          <w:p>
            <w:pPr>
              <w:pStyle w:val="Compact"/>
              <w:jc w:val="left"/>
            </w:pPr>
            <w:r>
              <w:t xml:space="preserve">≥ 85% GlobalSync</w:t>
            </w:r>
          </w:p>
        </w:tc>
      </w:tr>
    </w:tbl>
    <w:bookmarkEnd w:id="83"/>
    <w:bookmarkStart w:id="84" w:name="cbom-protocol-attributes"/>
    <w:p>
      <w:pPr>
        <w:pStyle w:val="Heading3"/>
      </w:pPr>
      <w:r>
        <w:t xml:space="preserve">CBOM protocol attributes</w:t>
      </w:r>
    </w:p>
    <w:p>
      <w:pPr>
        <w:pStyle w:val="FirstParagraph"/>
      </w:pPr>
      <w:r>
        <w:t xml:space="preserve">Extend Chapter 11 Table 11.4 with protocol-class fields:</w:t>
      </w:r>
    </w:p>
    <w:tbl>
      <w:tblPr>
        <w:tblStyle w:val="Table"/>
        <w:tblW w:type="pct" w:w="5000"/>
        <w:tblLook w:firstRow="1" w:lastRow="0" w:firstColumn="0" w:lastColumn="0" w:noHBand="0" w:noVBand="0" w:val="0020"/>
        <w:jc w:val="start"/>
      </w:tblPr>
      <w:tblGrid>
        <w:gridCol w:w="3004"/>
        <w:gridCol w:w="2184"/>
        <w:gridCol w:w="2731"/>
      </w:tblGrid>
      <w:tr>
        <w:trPr>
          <w:tblHeader w:val="true"/>
        </w:trPr>
        <w:tc>
          <w:tcPr/>
          <w:p>
            <w:pPr>
              <w:pStyle w:val="Compact"/>
              <w:jc w:val="left"/>
            </w:pPr>
            <w:r>
              <w:t xml:space="preserve">Attribute</w:t>
            </w:r>
          </w:p>
        </w:tc>
        <w:tc>
          <w:tcPr/>
          <w:p>
            <w:pPr>
              <w:pStyle w:val="Compact"/>
              <w:jc w:val="left"/>
            </w:pPr>
            <w:r>
              <w:t xml:space="preserve">Values</w:t>
            </w:r>
          </w:p>
        </w:tc>
        <w:tc>
          <w:tcPr/>
          <w:p>
            <w:pPr>
              <w:pStyle w:val="Compact"/>
              <w:jc w:val="left"/>
            </w:pPr>
            <w:r>
              <w:t xml:space="preserve">Consumer</w:t>
            </w:r>
          </w:p>
        </w:tc>
      </w:tr>
      <w:tr>
        <w:tc>
          <w:tcPr/>
          <w:p>
            <w:pPr>
              <w:pStyle w:val="Compact"/>
              <w:jc w:val="left"/>
            </w:pPr>
            <w:r>
              <w:rPr>
                <w:rStyle w:val="VerbatimChar"/>
              </w:rPr>
              <w:t xml:space="preserve">protocol_class</w:t>
            </w:r>
          </w:p>
        </w:tc>
        <w:tc>
          <w:tcPr/>
          <w:p>
            <w:pPr>
              <w:pStyle w:val="Compact"/>
              <w:jc w:val="left"/>
            </w:pPr>
            <w:r>
              <w:t xml:space="preserve">tls-external, ikev2-wan, ssh-admin, kafka-tls, …</w:t>
            </w:r>
          </w:p>
        </w:tc>
        <w:tc>
          <w:tcPr/>
          <w:p>
            <w:pPr>
              <w:pStyle w:val="Compact"/>
              <w:jc w:val="left"/>
            </w:pPr>
            <w:r>
              <w:t xml:space="preserve">Wave planner</w:t>
            </w:r>
          </w:p>
        </w:tc>
      </w:tr>
      <w:tr>
        <w:tc>
          <w:tcPr/>
          <w:p>
            <w:pPr>
              <w:pStyle w:val="Compact"/>
              <w:jc w:val="left"/>
            </w:pPr>
            <w:r>
              <w:rPr>
                <w:rStyle w:val="VerbatimChar"/>
              </w:rPr>
              <w:t xml:space="preserve">negotiation_policy_id</w:t>
            </w:r>
          </w:p>
        </w:tc>
        <w:tc>
          <w:tcPr/>
          <w:p>
            <w:pPr>
              <w:pStyle w:val="Compact"/>
              <w:jc w:val="left"/>
            </w:pPr>
            <w:r>
              <w:t xml:space="preserve">Enterprise policy reference</w:t>
            </w:r>
          </w:p>
        </w:tc>
        <w:tc>
          <w:tcPr/>
          <w:p>
            <w:pPr>
              <w:pStyle w:val="Compact"/>
              <w:jc w:val="left"/>
            </w:pPr>
            <w:r>
              <w:t xml:space="preserve">Change management</w:t>
            </w:r>
          </w:p>
        </w:tc>
      </w:tr>
      <w:tr>
        <w:tc>
          <w:tcPr/>
          <w:p>
            <w:pPr>
              <w:pStyle w:val="Compact"/>
              <w:jc w:val="left"/>
            </w:pPr>
            <w:r>
              <w:rPr>
                <w:rStyle w:val="VerbatimChar"/>
              </w:rPr>
              <w:t xml:space="preserve">client_tier_distribution</w:t>
            </w:r>
          </w:p>
        </w:tc>
        <w:tc>
          <w:tcPr/>
          <w:p>
            <w:pPr>
              <w:pStyle w:val="Compact"/>
              <w:jc w:val="left"/>
            </w:pPr>
            <w:r>
              <w:t xml:space="preserve">JSON: A/B/C/D percentages</w:t>
            </w:r>
          </w:p>
        </w:tc>
        <w:tc>
          <w:tcPr/>
          <w:p>
            <w:pPr>
              <w:pStyle w:val="Compact"/>
              <w:jc w:val="left"/>
            </w:pPr>
            <w:r>
              <w:t xml:space="preserve">Architecture review</w:t>
            </w:r>
          </w:p>
        </w:tc>
      </w:tr>
      <w:tr>
        <w:tc>
          <w:tcPr/>
          <w:p>
            <w:pPr>
              <w:pStyle w:val="Compact"/>
              <w:jc w:val="left"/>
            </w:pPr>
            <w:r>
              <w:rPr>
                <w:rStyle w:val="VerbatimChar"/>
              </w:rPr>
              <w:t xml:space="preserve">middlebox_assessment_ref</w:t>
            </w:r>
          </w:p>
        </w:tc>
        <w:tc>
          <w:tcPr/>
          <w:p>
            <w:pPr>
              <w:pStyle w:val="Compact"/>
              <w:jc w:val="left"/>
            </w:pPr>
            <w:r>
              <w:t xml:space="preserve">Link to buffer test evidence</w:t>
            </w:r>
          </w:p>
        </w:tc>
        <w:tc>
          <w:tcPr/>
          <w:p>
            <w:pPr>
              <w:pStyle w:val="Compact"/>
              <w:jc w:val="left"/>
            </w:pPr>
            <w:r>
              <w:t xml:space="preserve">Assurance</w:t>
            </w:r>
          </w:p>
        </w:tc>
      </w:tr>
      <w:tr>
        <w:tc>
          <w:tcPr/>
          <w:p>
            <w:pPr>
              <w:pStyle w:val="Compact"/>
              <w:jc w:val="left"/>
            </w:pPr>
            <w:r>
              <w:rPr>
                <w:rStyle w:val="VerbatimChar"/>
              </w:rPr>
              <w:t xml:space="preserve">partner_sync_status</w:t>
            </w:r>
          </w:p>
        </w:tc>
        <w:tc>
          <w:tcPr/>
          <w:p>
            <w:pPr>
              <w:pStyle w:val="Compact"/>
              <w:jc w:val="left"/>
            </w:pPr>
            <w:r>
              <w:t xml:space="preserve">blocked / pilot / production</w:t>
            </w:r>
          </w:p>
        </w:tc>
        <w:tc>
          <w:tcPr/>
          <w:p>
            <w:pPr>
              <w:pStyle w:val="Compact"/>
              <w:jc w:val="left"/>
            </w:pPr>
            <w:r>
              <w:t xml:space="preserve">Partner programme</w:t>
            </w:r>
          </w:p>
        </w:tc>
      </w:tr>
      <w:tr>
        <w:tc>
          <w:tcPr/>
          <w:p>
            <w:pPr>
              <w:pStyle w:val="Compact"/>
              <w:jc w:val="left"/>
            </w:pPr>
            <w:r>
              <w:rPr>
                <w:rStyle w:val="VerbatimChar"/>
              </w:rPr>
              <w:t xml:space="preserve">library_min_version</w:t>
            </w:r>
          </w:p>
        </w:tc>
        <w:tc>
          <w:tcPr/>
          <w:p>
            <w:pPr>
              <w:pStyle w:val="Compact"/>
              <w:jc w:val="left"/>
            </w:pPr>
            <w:r>
              <w:t xml:space="preserve">Semver</w:t>
            </w:r>
          </w:p>
        </w:tc>
        <w:tc>
          <w:tcPr/>
          <w:p>
            <w:pPr>
              <w:pStyle w:val="Compact"/>
              <w:jc w:val="left"/>
            </w:pPr>
            <w:r>
              <w:t xml:space="preserve">CI/CD gate</w:t>
            </w:r>
          </w:p>
        </w:tc>
      </w:tr>
    </w:tbl>
    <w:p>
      <w:pPr>
        <w:pStyle w:val="BodyText"/>
      </w:pPr>
      <w:r>
        <w:t xml:space="preserve">Marcus Chen’s GlobalSync platform team rejected change tickets where</w:t>
      </w:r>
      <w:r>
        <w:t xml:space="preserve"> </w:t>
      </w:r>
      <w:r>
        <w:rPr>
          <w:rStyle w:val="VerbatimChar"/>
        </w:rPr>
        <w:t xml:space="preserve">protocol_class</w:t>
      </w:r>
      <w:r>
        <w:t xml:space="preserve"> </w:t>
      </w:r>
      <w:r>
        <w:t xml:space="preserve">was populated but</w:t>
      </w:r>
      <w:r>
        <w:t xml:space="preserve"> </w:t>
      </w:r>
      <w:r>
        <w:rPr>
          <w:rStyle w:val="VerbatimChar"/>
        </w:rPr>
        <w:t xml:space="preserve">library_min_version</w:t>
      </w:r>
      <w:r>
        <w:t xml:space="preserve"> </w:t>
      </w:r>
      <w:r>
        <w:t xml:space="preserve">failed platform baseline — linking protocol transition to Chapter 17 CI/CD gates.</w:t>
      </w:r>
    </w:p>
    <w:p>
      <w:r>
        <w:pict>
          <v:rect style="width:0;height:1.5pt" o:hralign="center" o:hrstd="t" o:hr="t"/>
        </w:pict>
      </w:r>
    </w:p>
    <w:bookmarkEnd w:id="84"/>
    <w:bookmarkEnd w:id="85"/>
    <w:bookmarkStart w:id="89" w:name="testing-protocol-transitions"/>
    <w:p>
      <w:pPr>
        <w:pStyle w:val="Heading2"/>
      </w:pPr>
      <w:r>
        <w:t xml:space="preserve">12.18 Testing Protocol Transitions</w:t>
      </w:r>
    </w:p>
    <w:p>
      <w:pPr>
        <w:pStyle w:val="FirstParagraph"/>
      </w:pPr>
      <w:r>
        <w:t xml:space="preserve">Chapter 11 §11.15 defined hybrid testing categories; protocol transition adds</w:t>
      </w:r>
      <w:r>
        <w:t xml:space="preserve"> </w:t>
      </w:r>
      <w:r>
        <w:rPr>
          <w:bCs/>
          <w:b/>
        </w:rPr>
        <w:t xml:space="preserve">cross-protocol integration</w:t>
      </w:r>
      <w:r>
        <w:t xml:space="preserve"> </w:t>
      </w:r>
      <w:r>
        <w:t xml:space="preserve">requirements.</w:t>
      </w:r>
    </w:p>
    <w:bookmarkStart w:id="86" w:name="test-categories"/>
    <w:p>
      <w:pPr>
        <w:pStyle w:val="Heading3"/>
      </w:pPr>
      <w:r>
        <w:t xml:space="preserve">Test categories</w:t>
      </w:r>
    </w:p>
    <w:tbl>
      <w:tblPr>
        <w:tblStyle w:val="Table"/>
        <w:tblW w:type="pct" w:w="5000"/>
        <w:tblLook w:firstRow="1" w:lastRow="0" w:firstColumn="0" w:lastColumn="0" w:noHBand="0" w:noVBand="0" w:val="0020"/>
        <w:jc w:val="start"/>
      </w:tblPr>
      <w:tblGrid>
        <w:gridCol w:w="2475"/>
        <w:gridCol w:w="1732"/>
        <w:gridCol w:w="3712"/>
      </w:tblGrid>
      <w:tr>
        <w:trPr>
          <w:tblHeader w:val="true"/>
        </w:trPr>
        <w:tc>
          <w:tcPr/>
          <w:p>
            <w:pPr>
              <w:pStyle w:val="Compact"/>
              <w:jc w:val="left"/>
            </w:pPr>
            <w:r>
              <w:t xml:space="preserve">Category</w:t>
            </w:r>
          </w:p>
        </w:tc>
        <w:tc>
          <w:tcPr/>
          <w:p>
            <w:pPr>
              <w:pStyle w:val="Compact"/>
              <w:jc w:val="left"/>
            </w:pPr>
            <w:r>
              <w:t xml:space="preserve">Scope</w:t>
            </w:r>
          </w:p>
        </w:tc>
        <w:tc>
          <w:tcPr/>
          <w:p>
            <w:pPr>
              <w:pStyle w:val="Compact"/>
              <w:jc w:val="left"/>
            </w:pPr>
            <w:r>
              <w:t xml:space="preserve">Pass criteria</w:t>
            </w:r>
          </w:p>
        </w:tc>
      </w:tr>
      <w:tr>
        <w:tc>
          <w:tcPr/>
          <w:p>
            <w:pPr>
              <w:pStyle w:val="Compact"/>
              <w:jc w:val="left"/>
            </w:pPr>
            <w:r>
              <w:rPr>
                <w:bCs/>
                <w:b/>
              </w:rPr>
              <w:t xml:space="preserve">Functional</w:t>
            </w:r>
          </w:p>
        </w:tc>
        <w:tc>
          <w:tcPr/>
          <w:p>
            <w:pPr>
              <w:pStyle w:val="Compact"/>
              <w:jc w:val="left"/>
            </w:pPr>
            <w:r>
              <w:t xml:space="preserve">Negotiation succeeds end-to-end</w:t>
            </w:r>
          </w:p>
        </w:tc>
        <w:tc>
          <w:tcPr/>
          <w:p>
            <w:pPr>
              <w:pStyle w:val="Compact"/>
              <w:jc w:val="left"/>
            </w:pPr>
            <w:r>
              <w:t xml:space="preserve">100% test case pass</w:t>
            </w:r>
          </w:p>
        </w:tc>
      </w:tr>
      <w:tr>
        <w:tc>
          <w:tcPr/>
          <w:p>
            <w:pPr>
              <w:pStyle w:val="Compact"/>
              <w:jc w:val="left"/>
            </w:pPr>
            <w:r>
              <w:rPr>
                <w:bCs/>
                <w:b/>
              </w:rPr>
              <w:t xml:space="preserve">Compatibility</w:t>
            </w:r>
          </w:p>
        </w:tc>
        <w:tc>
          <w:tcPr/>
          <w:p>
            <w:pPr>
              <w:pStyle w:val="Compact"/>
              <w:jc w:val="left"/>
            </w:pPr>
            <w:r>
              <w:t xml:space="preserve">Tier A/B/C/D client matrix</w:t>
            </w:r>
          </w:p>
        </w:tc>
        <w:tc>
          <w:tcPr/>
          <w:p>
            <w:pPr>
              <w:pStyle w:val="Compact"/>
              <w:jc w:val="left"/>
            </w:pPr>
            <w:r>
              <w:t xml:space="preserve">Documented per-tier outcome</w:t>
            </w:r>
          </w:p>
        </w:tc>
      </w:tr>
      <w:tr>
        <w:tc>
          <w:tcPr/>
          <w:p>
            <w:pPr>
              <w:pStyle w:val="Compact"/>
              <w:jc w:val="left"/>
            </w:pPr>
            <w:r>
              <w:rPr>
                <w:bCs/>
                <w:b/>
              </w:rPr>
              <w:t xml:space="preserve">Infrastructure</w:t>
            </w:r>
          </w:p>
        </w:tc>
        <w:tc>
          <w:tcPr/>
          <w:p>
            <w:pPr>
              <w:pStyle w:val="Compact"/>
              <w:jc w:val="left"/>
            </w:pPr>
            <w:r>
              <w:t xml:space="preserve">Full inspection path</w:t>
            </w:r>
          </w:p>
        </w:tc>
        <w:tc>
          <w:tcPr/>
          <w:p>
            <w:pPr>
              <w:pStyle w:val="Compact"/>
              <w:jc w:val="left"/>
            </w:pPr>
            <w:r>
              <w:t xml:space="preserve">No truncation at max chain size</w:t>
            </w:r>
          </w:p>
        </w:tc>
      </w:tr>
      <w:tr>
        <w:tc>
          <w:tcPr/>
          <w:p>
            <w:pPr>
              <w:pStyle w:val="Compact"/>
              <w:jc w:val="left"/>
            </w:pPr>
            <w:r>
              <w:rPr>
                <w:bCs/>
                <w:b/>
              </w:rPr>
              <w:t xml:space="preserve">Performance</w:t>
            </w:r>
          </w:p>
        </w:tc>
        <w:tc>
          <w:tcPr/>
          <w:p>
            <w:pPr>
              <w:pStyle w:val="Compact"/>
              <w:jc w:val="left"/>
            </w:pPr>
            <w:r>
              <w:t xml:space="preserve">Handshake / rekey latency</w:t>
            </w:r>
          </w:p>
        </w:tc>
        <w:tc>
          <w:tcPr/>
          <w:p>
            <w:pPr>
              <w:pStyle w:val="Compact"/>
              <w:jc w:val="left"/>
            </w:pPr>
            <w:r>
              <w:t xml:space="preserve">Within SLA budget</w:t>
            </w:r>
          </w:p>
        </w:tc>
      </w:tr>
      <w:tr>
        <w:tc>
          <w:tcPr/>
          <w:p>
            <w:pPr>
              <w:pStyle w:val="Compact"/>
              <w:jc w:val="left"/>
            </w:pPr>
            <w:r>
              <w:rPr>
                <w:bCs/>
                <w:b/>
              </w:rPr>
              <w:t xml:space="preserve">Failover</w:t>
            </w:r>
          </w:p>
        </w:tc>
        <w:tc>
          <w:tcPr/>
          <w:p>
            <w:pPr>
              <w:pStyle w:val="Compact"/>
              <w:jc w:val="left"/>
            </w:pPr>
            <w:r>
              <w:t xml:space="preserve">Rollback to classical policy</w:t>
            </w:r>
          </w:p>
        </w:tc>
        <w:tc>
          <w:tcPr/>
          <w:p>
            <w:pPr>
              <w:pStyle w:val="Compact"/>
              <w:jc w:val="left"/>
            </w:pPr>
            <w:r>
              <w:t xml:space="preserve">&lt; change window</w:t>
            </w:r>
          </w:p>
        </w:tc>
      </w:tr>
      <w:tr>
        <w:tc>
          <w:tcPr/>
          <w:p>
            <w:pPr>
              <w:pStyle w:val="Compact"/>
              <w:jc w:val="left"/>
            </w:pPr>
            <w:r>
              <w:rPr>
                <w:bCs/>
                <w:b/>
              </w:rPr>
              <w:t xml:space="preserve">Partner</w:t>
            </w:r>
          </w:p>
        </w:tc>
        <w:tc>
          <w:tcPr/>
          <w:p>
            <w:pPr>
              <w:pStyle w:val="Compact"/>
              <w:jc w:val="left"/>
            </w:pPr>
            <w:r>
              <w:t xml:space="preserve">Mutual test with top fan-in partners</w:t>
            </w:r>
          </w:p>
        </w:tc>
        <w:tc>
          <w:tcPr/>
          <w:p>
            <w:pPr>
              <w:pStyle w:val="Compact"/>
              <w:jc w:val="left"/>
            </w:pPr>
            <w:r>
              <w:t xml:space="preserve">Signed acceptance</w:t>
            </w:r>
          </w:p>
        </w:tc>
      </w:tr>
      <w:tr>
        <w:tc>
          <w:tcPr/>
          <w:p>
            <w:pPr>
              <w:pStyle w:val="Compact"/>
              <w:jc w:val="left"/>
            </w:pPr>
            <w:r>
              <w:rPr>
                <w:bCs/>
                <w:b/>
              </w:rPr>
              <w:t xml:space="preserve">Observability</w:t>
            </w:r>
          </w:p>
        </w:tc>
        <w:tc>
          <w:tcPr/>
          <w:p>
            <w:pPr>
              <w:pStyle w:val="Compact"/>
              <w:jc w:val="left"/>
            </w:pPr>
            <w:r>
              <w:t xml:space="preserve">Metrics populate dashboards</w:t>
            </w:r>
          </w:p>
        </w:tc>
        <w:tc>
          <w:tcPr/>
          <w:p>
            <w:pPr>
              <w:pStyle w:val="Compact"/>
              <w:jc w:val="left"/>
            </w:pPr>
            <w:r>
              <w:t xml:space="preserve">All protocol metrics live</w:t>
            </w:r>
          </w:p>
        </w:tc>
      </w:tr>
      <w:tr>
        <w:tc>
          <w:tcPr/>
          <w:p>
            <w:pPr>
              <w:pStyle w:val="Compact"/>
              <w:jc w:val="left"/>
            </w:pPr>
            <w:r>
              <w:rPr>
                <w:bCs/>
                <w:b/>
              </w:rPr>
              <w:t xml:space="preserve">CBOM</w:t>
            </w:r>
          </w:p>
        </w:tc>
        <w:tc>
          <w:tcPr/>
          <w:p>
            <w:pPr>
              <w:pStyle w:val="Compact"/>
              <w:jc w:val="left"/>
            </w:pPr>
            <w:r>
              <w:t xml:space="preserve">Attributes complete</w:t>
            </w:r>
          </w:p>
        </w:tc>
        <w:tc>
          <w:tcPr/>
          <w:p>
            <w:pPr>
              <w:pStyle w:val="Compact"/>
              <w:jc w:val="left"/>
            </w:pPr>
            <w:r>
              <w:t xml:space="preserve">Automated scan pass</w:t>
            </w:r>
          </w:p>
        </w:tc>
      </w:tr>
    </w:tbl>
    <w:bookmarkEnd w:id="86"/>
    <w:bookmarkStart w:id="87" w:name="northfield-ot-soak-requirements"/>
    <w:p>
      <w:pPr>
        <w:pStyle w:val="Heading3"/>
      </w:pPr>
      <w:r>
        <w:t xml:space="preserve">Northfield OT soak requirements</w:t>
      </w:r>
    </w:p>
    <w:p>
      <w:pPr>
        <w:pStyle w:val="FirstParagraph"/>
      </w:pPr>
      <w:r>
        <w:t xml:space="preserve">Northfield required</w:t>
      </w:r>
      <w:r>
        <w:t xml:space="preserve"> </w:t>
      </w:r>
      <w:r>
        <w:rPr>
          <w:bCs/>
          <w:b/>
        </w:rPr>
        <w:t xml:space="preserve">30-day OT pilot</w:t>
      </w:r>
      <w:r>
        <w:t xml:space="preserve"> </w:t>
      </w:r>
      <w:r>
        <w:t xml:space="preserve">with historian replay validation before regional IKE hybrid production — zero data gap during rekey events. OT protocol testing budgets</w:t>
      </w:r>
      <w:r>
        <w:t xml:space="preserve"> </w:t>
      </w:r>
      <w:r>
        <w:rPr>
          <w:bCs/>
          <w:b/>
        </w:rPr>
        <w:t xml:space="preserve">longer soak periods</w:t>
      </w:r>
      <w:r>
        <w:t xml:space="preserve"> </w:t>
      </w:r>
      <w:r>
        <w:t xml:space="preserve">than cloud API tiers.</w:t>
      </w:r>
    </w:p>
    <w:bookmarkEnd w:id="87"/>
    <w:bookmarkStart w:id="88" w:name="globalsync-partner-test-harness"/>
    <w:p>
      <w:pPr>
        <w:pStyle w:val="Heading3"/>
      </w:pPr>
      <w:r>
        <w:t xml:space="preserve">GlobalSync partner test harness</w:t>
      </w:r>
    </w:p>
    <w:p>
      <w:pPr>
        <w:pStyle w:val="FirstParagraph"/>
      </w:pPr>
      <w:r>
        <w:t xml:space="preserve">Marcus Chen’s team operated a</w:t>
      </w:r>
      <w:r>
        <w:t xml:space="preserve"> </w:t>
      </w:r>
      <w:r>
        <w:rPr>
          <w:bCs/>
          <w:b/>
        </w:rPr>
        <w:t xml:space="preserve">partner test environment</w:t>
      </w:r>
      <w:r>
        <w:t xml:space="preserve"> </w:t>
      </w:r>
      <w:r>
        <w:t xml:space="preserve">mirroring production mTLS policy versions — partners received self-service validation without production traffic risk. Environment policy version tracked CDG node</w:t>
      </w:r>
      <w:r>
        <w:t xml:space="preserve"> </w:t>
      </w:r>
      <w:r>
        <w:rPr>
          <w:rStyle w:val="VerbatimChar"/>
        </w:rPr>
        <w:t xml:space="preserve">partner-mtls-policy-v3</w:t>
      </w:r>
      <w:r>
        <w:t xml:space="preserve"> </w:t>
      </w:r>
      <w:r>
        <w:t xml:space="preserve">exactly — drift between test and production invalidated partner sign-off.</w:t>
      </w:r>
    </w:p>
    <w:p>
      <w:r>
        <w:pict>
          <v:rect style="width:0;height:1.5pt" o:hralign="center" o:hrstd="t" o:hr="t"/>
        </w:pict>
      </w:r>
    </w:p>
    <w:bookmarkEnd w:id="88"/>
    <w:bookmarkEnd w:id="89"/>
    <w:bookmarkStart w:id="90" w:name="failure-modes-and-recovery"/>
    <w:p>
      <w:pPr>
        <w:pStyle w:val="Heading2"/>
      </w:pPr>
      <w:r>
        <w:t xml:space="preserve">12.19 Failure Modes and Recovery</w:t>
      </w:r>
    </w:p>
    <w:tbl>
      <w:tblPr>
        <w:tblStyle w:val="Table"/>
        <w:tblW w:type="pct" w:w="5000"/>
        <w:tblLook w:firstRow="1" w:lastRow="0" w:firstColumn="0" w:lastColumn="0" w:noHBand="0" w:noVBand="0" w:val="0020"/>
        <w:jc w:val="start"/>
      </w:tblPr>
      <w:tblGrid>
        <w:gridCol w:w="2464"/>
        <w:gridCol w:w="1584"/>
        <w:gridCol w:w="1760"/>
        <w:gridCol w:w="2112"/>
      </w:tblGrid>
      <w:tr>
        <w:trPr>
          <w:tblHeader w:val="true"/>
        </w:trPr>
        <w:tc>
          <w:tcPr/>
          <w:p>
            <w:pPr>
              <w:pStyle w:val="Compact"/>
              <w:jc w:val="left"/>
            </w:pPr>
            <w:r>
              <w:t xml:space="preserve">Failure mode</w:t>
            </w:r>
          </w:p>
        </w:tc>
        <w:tc>
          <w:tcPr/>
          <w:p>
            <w:pPr>
              <w:pStyle w:val="Compact"/>
              <w:jc w:val="left"/>
            </w:pPr>
            <w:r>
              <w:t xml:space="preserve">Symptom</w:t>
            </w:r>
          </w:p>
        </w:tc>
        <w:tc>
          <w:tcPr/>
          <w:p>
            <w:pPr>
              <w:pStyle w:val="Compact"/>
              <w:jc w:val="left"/>
            </w:pPr>
            <w:r>
              <w:t xml:space="preserve">Recovery</w:t>
            </w:r>
          </w:p>
        </w:tc>
        <w:tc>
          <w:tcPr/>
          <w:p>
            <w:pPr>
              <w:pStyle w:val="Compact"/>
              <w:jc w:val="left"/>
            </w:pPr>
            <w:r>
              <w:t xml:space="preserve">Prevention</w:t>
            </w:r>
          </w:p>
        </w:tc>
      </w:tr>
      <w:tr>
        <w:tc>
          <w:tcPr/>
          <w:p>
            <w:pPr>
              <w:pStyle w:val="Compact"/>
              <w:jc w:val="left"/>
            </w:pPr>
            <w:r>
              <w:t xml:space="preserve">Middlebox truncation</w:t>
            </w:r>
          </w:p>
        </w:tc>
        <w:tc>
          <w:tcPr/>
          <w:p>
            <w:pPr>
              <w:pStyle w:val="Compact"/>
              <w:jc w:val="left"/>
            </w:pPr>
            <w:r>
              <w:t xml:space="preserve">Intermittent TLS failures on specific paths</w:t>
            </w:r>
          </w:p>
        </w:tc>
        <w:tc>
          <w:tcPr/>
          <w:p>
            <w:pPr>
              <w:pStyle w:val="Compact"/>
              <w:jc w:val="left"/>
            </w:pPr>
            <w:r>
              <w:t xml:space="preserve">Bypass or upgrade appliance</w:t>
            </w:r>
          </w:p>
        </w:tc>
        <w:tc>
          <w:tcPr/>
          <w:p>
            <w:pPr>
              <w:pStyle w:val="Compact"/>
              <w:jc w:val="left"/>
            </w:pPr>
            <w:r>
              <w:t xml:space="preserve">Buffer assessment Phase 3</w:t>
            </w:r>
          </w:p>
        </w:tc>
      </w:tr>
      <w:tr>
        <w:tc>
          <w:tcPr/>
          <w:p>
            <w:pPr>
              <w:pStyle w:val="Compact"/>
              <w:jc w:val="left"/>
            </w:pPr>
            <w:r>
              <w:t xml:space="preserve">CPE firmware rejection</w:t>
            </w:r>
          </w:p>
        </w:tc>
        <w:tc>
          <w:tcPr/>
          <w:p>
            <w:pPr>
              <w:pStyle w:val="Compact"/>
              <w:jc w:val="left"/>
            </w:pPr>
            <w:r>
              <w:t xml:space="preserve">IKE SA_INIT failures</w:t>
            </w:r>
          </w:p>
        </w:tc>
        <w:tc>
          <w:tcPr/>
          <w:p>
            <w:pPr>
              <w:pStyle w:val="Compact"/>
              <w:jc w:val="left"/>
            </w:pPr>
            <w:r>
              <w:t xml:space="preserve">Pause rollout; firmware programme</w:t>
            </w:r>
          </w:p>
        </w:tc>
        <w:tc>
          <w:tcPr/>
          <w:p>
            <w:pPr>
              <w:pStyle w:val="Compact"/>
              <w:jc w:val="left"/>
            </w:pPr>
            <w:r>
              <w:t xml:space="preserve">CDG</w:t>
            </w:r>
            <w:r>
              <w:t xml:space="preserve"> </w:t>
            </w:r>
            <w:r>
              <w:rPr>
                <w:rStyle w:val="VerbatimChar"/>
              </w:rPr>
              <w:t xml:space="preserve">vendor_pq_ga_date</w:t>
            </w:r>
          </w:p>
        </w:tc>
      </w:tr>
      <w:tr>
        <w:tc>
          <w:tcPr/>
          <w:p>
            <w:pPr>
              <w:pStyle w:val="Compact"/>
              <w:jc w:val="left"/>
            </w:pPr>
            <w:r>
              <w:t xml:space="preserve">Partner trust rejection</w:t>
            </w:r>
          </w:p>
        </w:tc>
        <w:tc>
          <w:tcPr/>
          <w:p>
            <w:pPr>
              <w:pStyle w:val="Compact"/>
              <w:jc w:val="left"/>
            </w:pPr>
            <w:r>
              <w:t xml:space="preserve">mTLS handshake alert unknown CA</w:t>
            </w:r>
          </w:p>
        </w:tc>
        <w:tc>
          <w:tcPr/>
          <w:p>
            <w:pPr>
              <w:pStyle w:val="Compact"/>
              <w:jc w:val="left"/>
            </w:pPr>
            <w:r>
              <w:t xml:space="preserve">Rollback to v2 policy</w:t>
            </w:r>
          </w:p>
        </w:tc>
        <w:tc>
          <w:tcPr/>
          <w:p>
            <w:pPr>
              <w:pStyle w:val="Compact"/>
              <w:jc w:val="left"/>
            </w:pPr>
            <w:r>
              <w:t xml:space="preserve">Partner programme gate</w:t>
            </w:r>
          </w:p>
        </w:tc>
      </w:tr>
      <w:tr>
        <w:tc>
          <w:tcPr/>
          <w:p>
            <w:pPr>
              <w:pStyle w:val="Compact"/>
              <w:jc w:val="left"/>
            </w:pPr>
            <w:r>
              <w:t xml:space="preserve">Library binding mismatch</w:t>
            </w:r>
          </w:p>
        </w:tc>
        <w:tc>
          <w:tcPr/>
          <w:p>
            <w:pPr>
              <w:pStyle w:val="Compact"/>
              <w:jc w:val="left"/>
            </w:pPr>
            <w:r>
              <w:t xml:space="preserve">Service fails while ingress succeeds</w:t>
            </w:r>
          </w:p>
        </w:tc>
        <w:tc>
          <w:tcPr/>
          <w:p>
            <w:pPr>
              <w:pStyle w:val="Compact"/>
              <w:jc w:val="left"/>
            </w:pPr>
            <w:r>
              <w:t xml:space="preserve">Pin image; rebuild binding</w:t>
            </w:r>
          </w:p>
        </w:tc>
        <w:tc>
          <w:tcPr/>
          <w:p>
            <w:pPr>
              <w:pStyle w:val="Compact"/>
              <w:jc w:val="left"/>
            </w:pPr>
            <w:r>
              <w:t xml:space="preserve">CBOM</w:t>
            </w:r>
            <w:r>
              <w:t xml:space="preserve"> </w:t>
            </w:r>
            <w:r>
              <w:rPr>
                <w:rStyle w:val="VerbatimChar"/>
              </w:rPr>
              <w:t xml:space="preserve">implements</w:t>
            </w:r>
            <w:r>
              <w:t xml:space="preserve"> </w:t>
            </w:r>
            <w:r>
              <w:t xml:space="preserve">to effective lib</w:t>
            </w:r>
          </w:p>
        </w:tc>
      </w:tr>
      <w:tr>
        <w:tc>
          <w:tcPr/>
          <w:p>
            <w:pPr>
              <w:pStyle w:val="Compact"/>
              <w:jc w:val="left"/>
            </w:pPr>
            <w:r>
              <w:t xml:space="preserve">Certificate chain incompatibility</w:t>
            </w:r>
          </w:p>
        </w:tc>
        <w:tc>
          <w:tcPr/>
          <w:p>
            <w:pPr>
              <w:pStyle w:val="Compact"/>
              <w:jc w:val="left"/>
            </w:pPr>
            <w:r>
              <w:t xml:space="preserve">Handshake succeeds; app rejects cert</w:t>
            </w:r>
          </w:p>
        </w:tc>
        <w:tc>
          <w:tcPr/>
          <w:p>
            <w:pPr>
              <w:pStyle w:val="Compact"/>
              <w:jc w:val="left"/>
            </w:pPr>
            <w:r>
              <w:t xml:space="preserve">Parallel issuer / cert profile</w:t>
            </w:r>
          </w:p>
        </w:tc>
        <w:tc>
          <w:tcPr/>
          <w:p>
            <w:pPr>
              <w:pStyle w:val="Compact"/>
              <w:jc w:val="left"/>
            </w:pPr>
            <w:r>
              <w:t xml:space="preserve">PKI Wave 0 sequencing</w:t>
            </w:r>
          </w:p>
        </w:tc>
      </w:tr>
      <w:tr>
        <w:tc>
          <w:tcPr/>
          <w:p>
            <w:pPr>
              <w:pStyle w:val="Compact"/>
              <w:jc w:val="left"/>
            </w:pPr>
            <w:r>
              <w:t xml:space="preserve">SSH known_hosts storm</w:t>
            </w:r>
          </w:p>
        </w:tc>
        <w:tc>
          <w:tcPr/>
          <w:p>
            <w:pPr>
              <w:pStyle w:val="Compact"/>
              <w:jc w:val="left"/>
            </w:pPr>
            <w:r>
              <w:t xml:space="preserve">Automation widespread failure</w:t>
            </w:r>
          </w:p>
        </w:tc>
        <w:tc>
          <w:tcPr/>
          <w:p>
            <w:pPr>
              <w:pStyle w:val="Compact"/>
              <w:jc w:val="left"/>
            </w:pPr>
            <w:r>
              <w:t xml:space="preserve">Parallel host keys</w:t>
            </w:r>
          </w:p>
        </w:tc>
        <w:tc>
          <w:tcPr/>
          <w:p>
            <w:pPr>
              <w:pStyle w:val="Compact"/>
              <w:jc w:val="left"/>
            </w:pPr>
            <w:r>
              <w:t xml:space="preserve">SSH-CA or staged rotation</w:t>
            </w:r>
          </w:p>
        </w:tc>
      </w:tr>
      <w:tr>
        <w:tc>
          <w:tcPr/>
          <w:p>
            <w:pPr>
              <w:pStyle w:val="Compact"/>
              <w:jc w:val="left"/>
            </w:pPr>
            <w:r>
              <w:t xml:space="preserve">Heterogeneous Kafka cluster</w:t>
            </w:r>
          </w:p>
        </w:tc>
        <w:tc>
          <w:tcPr/>
          <w:p>
            <w:pPr>
              <w:pStyle w:val="Compact"/>
              <w:jc w:val="left"/>
            </w:pPr>
            <w:r>
              <w:t xml:space="preserve">Broker protocol mismatch</w:t>
            </w:r>
          </w:p>
        </w:tc>
        <w:tc>
          <w:tcPr/>
          <w:p>
            <w:pPr>
              <w:pStyle w:val="Compact"/>
              <w:jc w:val="left"/>
            </w:pPr>
            <w:r>
              <w:t xml:space="preserve">Cluster-wide rollback</w:t>
            </w:r>
          </w:p>
        </w:tc>
        <w:tc>
          <w:tcPr/>
          <w:p>
            <w:pPr>
              <w:pStyle w:val="Compact"/>
              <w:jc w:val="left"/>
            </w:pPr>
            <w:r>
              <w:t xml:space="preserve">Homogeneous fleet rule</w:t>
            </w:r>
          </w:p>
        </w:tc>
      </w:tr>
    </w:tbl>
    <w:p>
      <w:r>
        <w:pict>
          <v:rect style="width:0;height:1.5pt" o:hralign="center" o:hrstd="t" o:hr="t"/>
        </w:pict>
      </w:r>
    </w:p>
    <w:bookmarkEnd w:id="90"/>
    <w:bookmarkStart w:id="91" w:name="cross-reference-map"/>
    <w:p>
      <w:pPr>
        <w:pStyle w:val="Heading2"/>
      </w:pPr>
      <w:r>
        <w:t xml:space="preserve">12.20 Cross-Reference Map</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Topic</w:t>
            </w:r>
          </w:p>
        </w:tc>
        <w:tc>
          <w:tcPr/>
          <w:p>
            <w:pPr>
              <w:pStyle w:val="Compact"/>
              <w:jc w:val="left"/>
            </w:pPr>
            <w:r>
              <w:t xml:space="preserve">See</w:t>
            </w:r>
          </w:p>
        </w:tc>
      </w:tr>
      <w:tr>
        <w:tc>
          <w:tcPr/>
          <w:p>
            <w:pPr>
              <w:pStyle w:val="Compact"/>
              <w:jc w:val="left"/>
            </w:pPr>
            <w:r>
              <w:t xml:space="preserve">Hybrid TLS patterns and HLM deployment specification</w:t>
            </w:r>
          </w:p>
        </w:tc>
        <w:tc>
          <w:tcPr/>
          <w:p>
            <w:pPr>
              <w:pStyle w:val="Compact"/>
              <w:jc w:val="left"/>
            </w:pPr>
            <w:r>
              <w:t xml:space="preserve">Chapter 11</w:t>
            </w:r>
          </w:p>
        </w:tc>
      </w:tr>
      <w:tr>
        <w:tc>
          <w:tcPr/>
          <w:p>
            <w:pPr>
              <w:pStyle w:val="Compact"/>
              <w:jc w:val="left"/>
            </w:pPr>
            <w:r>
              <w:t xml:space="preserve">HLM policy and sunset governance</w:t>
            </w:r>
          </w:p>
        </w:tc>
        <w:tc>
          <w:tcPr/>
          <w:p>
            <w:pPr>
              <w:pStyle w:val="Compact"/>
              <w:jc w:val="left"/>
            </w:pPr>
            <w:r>
              <w:t xml:space="preserve">Chapter 5 §5.6–5.9</w:t>
            </w:r>
          </w:p>
        </w:tc>
      </w:tr>
      <w:tr>
        <w:tc>
          <w:tcPr/>
          <w:p>
            <w:pPr>
              <w:pStyle w:val="Compact"/>
              <w:jc w:val="left"/>
            </w:pPr>
            <w:r>
              <w:t xml:space="preserve">CBOM discovery and protocol inventory</w:t>
            </w:r>
          </w:p>
        </w:tc>
        <w:tc>
          <w:tcPr/>
          <w:p>
            <w:pPr>
              <w:pStyle w:val="Compact"/>
              <w:jc w:val="left"/>
            </w:pPr>
            <w:r>
              <w:t xml:space="preserve">Chapter 7 §7.3–7.4</w:t>
            </w:r>
          </w:p>
        </w:tc>
      </w:tr>
      <w:tr>
        <w:tc>
          <w:tcPr/>
          <w:p>
            <w:pPr>
              <w:pStyle w:val="Compact"/>
              <w:jc w:val="left"/>
            </w:pPr>
            <w:r>
              <w:t xml:space="preserve">CDG blocking nodes, partner mTLS, VPN concentrators</w:t>
            </w:r>
          </w:p>
        </w:tc>
        <w:tc>
          <w:tcPr/>
          <w:p>
            <w:pPr>
              <w:pStyle w:val="Compact"/>
              <w:jc w:val="left"/>
            </w:pPr>
            <w:r>
              <w:t xml:space="preserve">Chapter 8 §8.3–8.10, §8.48</w:t>
            </w:r>
          </w:p>
        </w:tc>
      </w:tr>
      <w:tr>
        <w:tc>
          <w:tcPr/>
          <w:p>
            <w:pPr>
              <w:pStyle w:val="Compact"/>
              <w:jc w:val="left"/>
            </w:pPr>
            <w:r>
              <w:t xml:space="preserve">Wave sequencing and TRADE E gating</w:t>
            </w:r>
          </w:p>
        </w:tc>
        <w:tc>
          <w:tcPr/>
          <w:p>
            <w:pPr>
              <w:pStyle w:val="Compact"/>
              <w:jc w:val="left"/>
            </w:pPr>
            <w:r>
              <w:t xml:space="preserve">Chapter 9 §9.2, §9.7</w:t>
            </w:r>
          </w:p>
        </w:tc>
      </w:tr>
      <w:tr>
        <w:tc>
          <w:tcPr/>
          <w:p>
            <w:pPr>
              <w:pStyle w:val="Compact"/>
              <w:jc w:val="left"/>
            </w:pPr>
            <w:r>
              <w:t xml:space="preserve">Crypto-agility standards and library baselines</w:t>
            </w:r>
          </w:p>
        </w:tc>
        <w:tc>
          <w:tcPr/>
          <w:p>
            <w:pPr>
              <w:pStyle w:val="Compact"/>
              <w:jc w:val="left"/>
            </w:pPr>
            <w:r>
              <w:t xml:space="preserve">Chapter 10</w:t>
            </w:r>
          </w:p>
        </w:tc>
      </w:tr>
      <w:tr>
        <w:tc>
          <w:tcPr/>
          <w:p>
            <w:pPr>
              <w:pStyle w:val="Compact"/>
              <w:jc w:val="left"/>
            </w:pPr>
            <w:r>
              <w:t xml:space="preserve">PKI certificate profiles and CA migration</w:t>
            </w:r>
          </w:p>
        </w:tc>
        <w:tc>
          <w:tcPr/>
          <w:p>
            <w:pPr>
              <w:pStyle w:val="Compact"/>
              <w:jc w:val="left"/>
            </w:pPr>
            <w:r>
              <w:t xml:space="preserve">Chapter 13</w:t>
            </w:r>
          </w:p>
        </w:tc>
      </w:tr>
      <w:tr>
        <w:tc>
          <w:tcPr/>
          <w:p>
            <w:pPr>
              <w:pStyle w:val="Compact"/>
              <w:jc w:val="left"/>
            </w:pPr>
            <w:r>
              <w:t xml:space="preserve">HSM and key management for TLS/IKE keys</w:t>
            </w:r>
          </w:p>
        </w:tc>
        <w:tc>
          <w:tcPr/>
          <w:p>
            <w:pPr>
              <w:pStyle w:val="Compact"/>
              <w:jc w:val="left"/>
            </w:pPr>
            <w:r>
              <w:t xml:space="preserve">Chapter 14</w:t>
            </w:r>
          </w:p>
        </w:tc>
      </w:tr>
      <w:tr>
        <w:tc>
          <w:tcPr/>
          <w:p>
            <w:pPr>
              <w:pStyle w:val="Compact"/>
              <w:jc w:val="left"/>
            </w:pPr>
            <w:r>
              <w:t xml:space="preserve">Procurement and partner contractual clauses</w:t>
            </w:r>
          </w:p>
        </w:tc>
        <w:tc>
          <w:tcPr/>
          <w:p>
            <w:pPr>
              <w:pStyle w:val="Compact"/>
              <w:jc w:val="left"/>
            </w:pPr>
            <w:r>
              <w:t xml:space="preserve">Chapter 16</w:t>
            </w:r>
          </w:p>
        </w:tc>
      </w:tr>
      <w:tr>
        <w:tc>
          <w:tcPr/>
          <w:p>
            <w:pPr>
              <w:pStyle w:val="Compact"/>
              <w:jc w:val="left"/>
            </w:pPr>
            <w:r>
              <w:t xml:space="preserve">CI/CD cryptographic verification gates</w:t>
            </w:r>
          </w:p>
        </w:tc>
        <w:tc>
          <w:tcPr/>
          <w:p>
            <w:pPr>
              <w:pStyle w:val="Compact"/>
              <w:jc w:val="left"/>
            </w:pPr>
            <w:r>
              <w:t xml:space="preserve">Chapter 17</w:t>
            </w:r>
          </w:p>
        </w:tc>
      </w:tr>
    </w:tbl>
    <w:p>
      <w:r>
        <w:pict>
          <v:rect style="width:0;height:1.5pt" o:hralign="center" o:hrstd="t" o:hr="t"/>
        </w:pict>
      </w:r>
    </w:p>
    <w:bookmarkEnd w:id="91"/>
    <w:bookmarkStart w:id="92" w:name="apply-in-your-organisation"/>
    <w:p>
      <w:pPr>
        <w:pStyle w:val="Heading2"/>
      </w:pPr>
      <w:r>
        <w:t xml:space="preserve">12.21 Apply in Your Organisation</w:t>
      </w:r>
    </w:p>
    <w:p>
      <w:pPr>
        <w:numPr>
          <w:ilvl w:val="0"/>
          <w:numId w:val="1012"/>
        </w:numPr>
        <w:pStyle w:val="Compact"/>
      </w:pPr>
      <w:r>
        <w:rPr>
          <w:bCs/>
          <w:b/>
        </w:rPr>
        <w:t xml:space="preserve">Adopt the five-phase protocol methodology</w:t>
      </w:r>
      <w:r>
        <w:t xml:space="preserve"> </w:t>
      </w:r>
      <w:r>
        <w:t xml:space="preserve">(§12.2) in change management — Discover through Production with explicit exit criteria per phase.</w:t>
      </w:r>
    </w:p>
    <w:p>
      <w:pPr>
        <w:numPr>
          <w:ilvl w:val="0"/>
          <w:numId w:val="1012"/>
        </w:numPr>
        <w:pStyle w:val="Compact"/>
      </w:pPr>
      <w:r>
        <w:rPr>
          <w:bCs/>
          <w:b/>
        </w:rPr>
        <w:t xml:space="preserve">Classify TLS clients into Tiers A/B/C/D</w:t>
      </w:r>
      <w:r>
        <w:t xml:space="preserve"> </w:t>
      </w:r>
      <w:r>
        <w:t xml:space="preserve">from production telemetry before enabling hybrid groups on primary URLs (Meridian pattern).</w:t>
      </w:r>
    </w:p>
    <w:p>
      <w:pPr>
        <w:numPr>
          <w:ilvl w:val="0"/>
          <w:numId w:val="1012"/>
        </w:numPr>
        <w:pStyle w:val="Compact"/>
      </w:pPr>
      <w:r>
        <w:rPr>
          <w:bCs/>
          <w:b/>
        </w:rPr>
        <w:t xml:space="preserve">Complete infrastructure buffer assessment</w:t>
      </w:r>
      <w:r>
        <w:t xml:space="preserve"> </w:t>
      </w:r>
      <w:r>
        <w:t xml:space="preserve">(Table 12.2) on every inspection hop — include maximum planned ML-DSA chain sizes.</w:t>
      </w:r>
    </w:p>
    <w:p>
      <w:pPr>
        <w:numPr>
          <w:ilvl w:val="0"/>
          <w:numId w:val="1012"/>
        </w:numPr>
        <w:pStyle w:val="Compact"/>
      </w:pPr>
      <w:r>
        <w:rPr>
          <w:bCs/>
          <w:b/>
        </w:rPr>
        <w:t xml:space="preserve">Publish minimum library versions</w:t>
      </w:r>
      <w:r>
        <w:t xml:space="preserve"> </w:t>
      </w:r>
      <w:r>
        <w:t xml:space="preserve">as Wave 0 platform standards — enforce via CI/CD, not advisory documentation (GlobalSync pattern).</w:t>
      </w:r>
    </w:p>
    <w:p>
      <w:pPr>
        <w:numPr>
          <w:ilvl w:val="0"/>
          <w:numId w:val="1012"/>
        </w:numPr>
        <w:pStyle w:val="Compact"/>
      </w:pPr>
      <w:r>
        <w:rPr>
          <w:bCs/>
          <w:b/>
        </w:rPr>
        <w:t xml:space="preserve">Model mTLS as bidirectional CDG trust chains</w:t>
      </w:r>
      <w:r>
        <w:t xml:space="preserve"> </w:t>
      </w:r>
      <w:r>
        <w:t xml:space="preserve">— server hybrid success does not imply mTLS transition complete.</w:t>
      </w:r>
    </w:p>
    <w:p>
      <w:pPr>
        <w:numPr>
          <w:ilvl w:val="0"/>
          <w:numId w:val="1012"/>
        </w:numPr>
        <w:pStyle w:val="Compact"/>
      </w:pPr>
      <w:r>
        <w:rPr>
          <w:bCs/>
          <w:b/>
        </w:rPr>
        <w:t xml:space="preserve">Inventory CPE and OT firmware</w:t>
      </w:r>
      <w:r>
        <w:t xml:space="preserve"> </w:t>
      </w:r>
      <w:r>
        <w:t xml:space="preserve">before scheduling IKE hybrid production — concentrator readiness is necessary, not sufficient (Northfield pattern).</w:t>
      </w:r>
    </w:p>
    <w:p>
      <w:pPr>
        <w:numPr>
          <w:ilvl w:val="0"/>
          <w:numId w:val="1012"/>
        </w:numPr>
        <w:pStyle w:val="Compact"/>
      </w:pPr>
      <w:r>
        <w:rPr>
          <w:bCs/>
          <w:b/>
        </w:rPr>
        <w:t xml:space="preserve">Implement parallel SSH host keys or SSH-CA</w:t>
      </w:r>
      <w:r>
        <w:t xml:space="preserve"> </w:t>
      </w:r>
      <w:r>
        <w:t xml:space="preserve">before PQC-only host key cutover — protect automation estates.</w:t>
      </w:r>
    </w:p>
    <w:p>
      <w:pPr>
        <w:numPr>
          <w:ilvl w:val="0"/>
          <w:numId w:val="1012"/>
        </w:numPr>
        <w:pStyle w:val="Compact"/>
      </w:pPr>
      <w:r>
        <w:rPr>
          <w:bCs/>
          <w:b/>
        </w:rPr>
        <w:t xml:space="preserve">Sequence Kafka and AMQP TLS</w:t>
      </w:r>
      <w:r>
        <w:t xml:space="preserve"> </w:t>
      </w:r>
      <w:r>
        <w:t xml:space="preserve">after internal PKI and mesh CA — inherit</w:t>
      </w:r>
      <w:r>
        <w:t xml:space="preserve"> </w:t>
      </w:r>
      <w:r>
        <w:rPr>
          <w:rStyle w:val="VerbatimChar"/>
        </w:rPr>
        <w:t xml:space="preserve">trusts</w:t>
      </w:r>
      <w:r>
        <w:t xml:space="preserve"> </w:t>
      </w:r>
      <w:r>
        <w:t xml:space="preserve">edges, do not precede blocking nodes.</w:t>
      </w:r>
    </w:p>
    <w:p>
      <w:pPr>
        <w:numPr>
          <w:ilvl w:val="0"/>
          <w:numId w:val="1012"/>
        </w:numPr>
        <w:pStyle w:val="Compact"/>
      </w:pPr>
      <w:r>
        <w:rPr>
          <w:bCs/>
          <w:b/>
        </w:rPr>
        <w:t xml:space="preserve">Operate partner synchronisation programme</w:t>
      </w:r>
      <w:r>
        <w:t xml:space="preserve"> </w:t>
      </w:r>
      <w:r>
        <w:t xml:space="preserve">with measurable</w:t>
      </w:r>
      <w:r>
        <w:t xml:space="preserve"> </w:t>
      </w:r>
      <w:r>
        <w:rPr>
          <w:rStyle w:val="VerbatimChar"/>
        </w:rPr>
        <w:t xml:space="preserve">partner_acceptance_pct</w:t>
      </w:r>
      <w:r>
        <w:t xml:space="preserve"> </w:t>
      </w:r>
      <w:r>
        <w:t xml:space="preserve">— advance production policy to slowest critical partner (GlobalSync principle).</w:t>
      </w:r>
    </w:p>
    <w:p>
      <w:pPr>
        <w:numPr>
          <w:ilvl w:val="0"/>
          <w:numId w:val="1012"/>
        </w:numPr>
        <w:pStyle w:val="Compact"/>
      </w:pPr>
      <w:r>
        <w:rPr>
          <w:bCs/>
          <w:b/>
        </w:rPr>
        <w:t xml:space="preserve">Populate and quarterly refresh Table 12.5</w:t>
      </w:r>
      <w:r>
        <w:t xml:space="preserve"> </w:t>
      </w:r>
      <w:r>
        <w:t xml:space="preserve">for your estate — attach TRADE E scores from evidence, not defaults.</w:t>
      </w:r>
    </w:p>
    <w:p>
      <w:pPr>
        <w:numPr>
          <w:ilvl w:val="0"/>
          <w:numId w:val="1012"/>
        </w:numPr>
        <w:pStyle w:val="Compact"/>
      </w:pPr>
      <w:r>
        <w:rPr>
          <w:bCs/>
          <w:b/>
        </w:rPr>
        <w:t xml:space="preserve">Present protocol readiness radar</w:t>
      </w:r>
      <w:r>
        <w:t xml:space="preserve"> </w:t>
      </w:r>
      <w:r>
        <w:t xml:space="preserve">to steering committee — counter TLS-only progress narratives.</w:t>
      </w:r>
    </w:p>
    <w:p>
      <w:pPr>
        <w:numPr>
          <w:ilvl w:val="0"/>
          <w:numId w:val="1012"/>
        </w:numPr>
        <w:pStyle w:val="Compact"/>
      </w:pPr>
      <w:r>
        <w:rPr>
          <w:bCs/>
          <w:b/>
        </w:rPr>
        <w:t xml:space="preserve">Scope S/MIME transition to Wave 2–3</w:t>
      </w:r>
      <w:r>
        <w:t xml:space="preserve"> </w:t>
      </w:r>
      <w:r>
        <w:t xml:space="preserve">with archival trust planning — brief treatment until mail gateway readiness confirmed.</w:t>
      </w:r>
    </w:p>
    <w:p>
      <w:pPr>
        <w:numPr>
          <w:ilvl w:val="0"/>
          <w:numId w:val="1012"/>
        </w:numPr>
        <w:pStyle w:val="Compact"/>
      </w:pPr>
      <w:r>
        <w:rPr>
          <w:bCs/>
          <w:b/>
        </w:rPr>
        <w:t xml:space="preserve">Maintain separate NSS and corporate protocol tracks</w:t>
      </w:r>
      <w:r>
        <w:t xml:space="preserve"> </w:t>
      </w:r>
      <w:r>
        <w:t xml:space="preserve">where applicable — Apex dual-track reporting.</w:t>
      </w:r>
    </w:p>
    <w:p>
      <w:pPr>
        <w:numPr>
          <w:ilvl w:val="0"/>
          <w:numId w:val="1012"/>
        </w:numPr>
        <w:pStyle w:val="Compact"/>
      </w:pPr>
      <w:r>
        <w:rPr>
          <w:bCs/>
          <w:b/>
        </w:rPr>
        <w:t xml:space="preserve">Extend CBOM with protocol-class attributes</w:t>
      </w:r>
      <w:r>
        <w:t xml:space="preserve"> </w:t>
      </w:r>
      <w:r>
        <w:t xml:space="preserve">(§12.17) and link to negotiation policy IDs for audit traceability.</w:t>
      </w:r>
    </w:p>
    <w:p>
      <w:r>
        <w:pict>
          <v:rect style="width:0;height:1.5pt" o:hralign="center" o:hrstd="t" o:hr="t"/>
        </w:pict>
      </w:r>
    </w:p>
    <w:bookmarkEnd w:id="92"/>
    <w:bookmarkStart w:id="93" w:name="chapter-summary"/>
    <w:p>
      <w:pPr>
        <w:pStyle w:val="Heading2"/>
      </w:pPr>
      <w:r>
        <w:t xml:space="preserve">12.22 Chapter Summary</w:t>
      </w:r>
    </w:p>
    <w:p>
      <w:pPr>
        <w:numPr>
          <w:ilvl w:val="0"/>
          <w:numId w:val="1013"/>
        </w:numPr>
        <w:pStyle w:val="Compact"/>
      </w:pPr>
      <w:r>
        <w:t xml:space="preserve">Protocol transition is</w:t>
      </w:r>
      <w:r>
        <w:t xml:space="preserve"> </w:t>
      </w:r>
      <w:r>
        <w:rPr>
          <w:bCs/>
          <w:b/>
        </w:rPr>
        <w:t xml:space="preserve">ecosystem synchronisation</w:t>
      </w:r>
      <w:r>
        <w:t xml:space="preserve"> </w:t>
      </w:r>
      <w:r>
        <w:t xml:space="preserve">across algorithms, libraries, protocol policy, certificates, partners, and middleboxes — not cipher-suite enablement on a single tier.</w:t>
      </w:r>
    </w:p>
    <w:p>
      <w:pPr>
        <w:numPr>
          <w:ilvl w:val="0"/>
          <w:numId w:val="1013"/>
        </w:numPr>
        <w:pStyle w:val="Compact"/>
      </w:pPr>
      <w:r>
        <w:rPr>
          <w:bCs/>
          <w:b/>
        </w:rPr>
        <w:t xml:space="preserve">TLS 1.3</w:t>
      </w:r>
      <w:r>
        <w:t xml:space="preserve"> </w:t>
      </w:r>
      <w:r>
        <w:t xml:space="preserve">is the reference external protocol: named hybrid groups, tiered client cohorts, infrastructure buffer assessment, and PKI dependencies modelled separately in the CDG.</w:t>
      </w:r>
    </w:p>
    <w:p>
      <w:pPr>
        <w:numPr>
          <w:ilvl w:val="0"/>
          <w:numId w:val="1013"/>
        </w:numPr>
        <w:pStyle w:val="Compact"/>
      </w:pPr>
      <w:r>
        <w:rPr>
          <w:bCs/>
          <w:b/>
        </w:rPr>
        <w:t xml:space="preserve">Middlebox interference</w:t>
      </w:r>
      <w:r>
        <w:t xml:space="preserve"> </w:t>
      </w:r>
      <w:r>
        <w:t xml:space="preserve">caused more early TLS incidents than client incompatibility — map and test the full inspection path before H1 production.</w:t>
      </w:r>
    </w:p>
    <w:p>
      <w:pPr>
        <w:numPr>
          <w:ilvl w:val="0"/>
          <w:numId w:val="1013"/>
        </w:numPr>
        <w:pStyle w:val="Compact"/>
      </w:pPr>
      <w:r>
        <w:rPr>
          <w:bCs/>
          <w:b/>
        </w:rPr>
        <w:t xml:space="preserve">OpenSSL and library readiness</w:t>
      </w:r>
      <w:r>
        <w:t xml:space="preserve"> </w:t>
      </w:r>
      <w:r>
        <w:t xml:space="preserve">is Wave 0 infrastructure — language bindings and hardware offload frequently block negotiation despite updated server images.</w:t>
      </w:r>
    </w:p>
    <w:p>
      <w:pPr>
        <w:numPr>
          <w:ilvl w:val="0"/>
          <w:numId w:val="1013"/>
        </w:numPr>
        <w:pStyle w:val="Compact"/>
      </w:pPr>
      <w:r>
        <w:rPr>
          <w:bCs/>
          <w:b/>
        </w:rPr>
        <w:t xml:space="preserve">IPsec/IKEv2</w:t>
      </w:r>
      <w:r>
        <w:t xml:space="preserve"> </w:t>
      </w:r>
      <w:r>
        <w:t xml:space="preserve">transition differs materially from TLS — CPE firmware, fragmentation, rekey timing, and OT historian requirements gate Northfield-style rollouts.</w:t>
      </w:r>
    </w:p>
    <w:p>
      <w:pPr>
        <w:numPr>
          <w:ilvl w:val="0"/>
          <w:numId w:val="1013"/>
        </w:numPr>
        <w:pStyle w:val="Compact"/>
      </w:pPr>
      <w:r>
        <w:rPr>
          <w:bCs/>
          <w:b/>
        </w:rPr>
        <w:t xml:space="preserve">SSH</w:t>
      </w:r>
      <w:r>
        <w:t xml:space="preserve"> </w:t>
      </w:r>
      <w:r>
        <w:t xml:space="preserve">requires parallel host keys or SSH-CA migration sequencing — in-place rotation breaks automation at scale.</w:t>
      </w:r>
    </w:p>
    <w:p>
      <w:pPr>
        <w:numPr>
          <w:ilvl w:val="0"/>
          <w:numId w:val="1013"/>
        </w:numPr>
        <w:pStyle w:val="Compact"/>
      </w:pPr>
      <w:r>
        <w:rPr>
          <w:bCs/>
          <w:b/>
        </w:rPr>
        <w:t xml:space="preserve">Kafka and AMQP</w:t>
      </w:r>
      <w:r>
        <w:t xml:space="preserve"> </w:t>
      </w:r>
      <w:r>
        <w:t xml:space="preserve">inherit internal PKI and mesh trust; homogeneous broker fleets prevent partial cluster hybrid.</w:t>
      </w:r>
    </w:p>
    <w:p>
      <w:pPr>
        <w:numPr>
          <w:ilvl w:val="0"/>
          <w:numId w:val="1013"/>
        </w:numPr>
        <w:pStyle w:val="Compact"/>
      </w:pPr>
      <w:r>
        <w:rPr>
          <w:bCs/>
          <w:b/>
        </w:rPr>
        <w:t xml:space="preserve">mTLS doubles the trust chain problem</w:t>
      </w:r>
      <w:r>
        <w:t xml:space="preserve"> </w:t>
      </w:r>
      <w:r>
        <w:t xml:space="preserve">— partner client certificate policy blocked GlobalSync for nine months despite server-side hybrid success.</w:t>
      </w:r>
    </w:p>
    <w:p>
      <w:pPr>
        <w:numPr>
          <w:ilvl w:val="0"/>
          <w:numId w:val="1013"/>
        </w:numPr>
        <w:pStyle w:val="Compact"/>
      </w:pPr>
      <w:r>
        <w:rPr>
          <w:bCs/>
          <w:b/>
        </w:rPr>
        <w:t xml:space="preserve">S/MIME</w:t>
      </w:r>
      <w:r>
        <w:t xml:space="preserve"> </w:t>
      </w:r>
      <w:r>
        <w:t xml:space="preserve">trails TLS in ecosystem readiness; archival verification horizons extend CA trust requirements into Wave 2–3.</w:t>
      </w:r>
    </w:p>
    <w:p>
      <w:pPr>
        <w:numPr>
          <w:ilvl w:val="0"/>
          <w:numId w:val="1013"/>
        </w:numPr>
        <w:pStyle w:val="Compact"/>
      </w:pPr>
      <w:r>
        <w:rPr>
          <w:bCs/>
          <w:b/>
        </w:rPr>
        <w:t xml:space="preserve">Apex NSS protocols</w:t>
      </w:r>
      <w:r>
        <w:t xml:space="preserve"> </w:t>
      </w:r>
      <w:r>
        <w:t xml:space="preserve">follow CNSA 2.0 and accreditation boundaries — separate from corporate IT timelines.</w:t>
      </w:r>
    </w:p>
    <w:p>
      <w:pPr>
        <w:numPr>
          <w:ilvl w:val="0"/>
          <w:numId w:val="1013"/>
        </w:numPr>
        <w:pStyle w:val="Compact"/>
      </w:pPr>
      <w:r>
        <w:rPr>
          <w:bCs/>
          <w:b/>
        </w:rPr>
        <w:t xml:space="preserve">The slowest critical partner sets production pace</w:t>
      </w:r>
      <w:r>
        <w:t xml:space="preserve"> </w:t>
      </w:r>
      <w:r>
        <w:t xml:space="preserve">— GlobalSync’s operating principle prevents costly engineering rework.</w:t>
      </w:r>
    </w:p>
    <w:p>
      <w:pPr>
        <w:numPr>
          <w:ilvl w:val="0"/>
          <w:numId w:val="1013"/>
        </w:numPr>
        <w:pStyle w:val="Compact"/>
      </w:pPr>
      <w:r>
        <w:rPr>
          <w:bCs/>
          <w:b/>
        </w:rPr>
        <w:t xml:space="preserve">Table 12.5 and protocol readiness radar</w:t>
      </w:r>
      <w:r>
        <w:t xml:space="preserve"> </w:t>
      </w:r>
      <w:r>
        <w:t xml:space="preserve">provide governance artefacts for steering committee and audit audiences.</w:t>
      </w:r>
    </w:p>
    <w:p>
      <w:pPr>
        <w:numPr>
          <w:ilvl w:val="0"/>
          <w:numId w:val="1013"/>
        </w:numPr>
        <w:pStyle w:val="Compact"/>
      </w:pPr>
      <w:r>
        <w:rPr>
          <w:bCs/>
          <w:b/>
        </w:rPr>
        <w:t xml:space="preserve">Phased rollout follows CDG wave sequencing</w:t>
      </w:r>
      <w:r>
        <w:t xml:space="preserve"> </w:t>
      </w:r>
      <w:r>
        <w:t xml:space="preserve">— Wave 0 blocking nodes before protocol-class production at scale.</w:t>
      </w:r>
    </w:p>
    <w:p>
      <w:pPr>
        <w:pStyle w:val="FirstParagraph"/>
      </w:pPr>
      <w:r>
        <w:rPr>
          <w:bCs/>
          <w:b/>
        </w:rPr>
        <w:t xml:space="preserve">Closing note:</w:t>
      </w:r>
      <w:r>
        <w:t xml:space="preserve"> </w:t>
      </w:r>
      <w:r>
        <w:t xml:space="preserve">Chapter 11 taught how to deploy hybrids. This chapter teaches</w:t>
      </w:r>
      <w:r>
        <w:t xml:space="preserve"> </w:t>
      </w:r>
      <w:r>
        <w:rPr>
          <w:bCs/>
          <w:b/>
        </w:rPr>
        <w:t xml:space="preserve">where and when each protocol can accept them</w:t>
      </w:r>
      <w:r>
        <w:t xml:space="preserve"> </w:t>
      </w:r>
      <w:r>
        <w:t xml:space="preserve">— and who must move first. The dependency graph from Part III is the schedule; partner and firmware inventories are the critical path. Protocol transition completes the channel layer; certificate and key trust migration is Chapter 13’s domain.</w:t>
      </w:r>
    </w:p>
    <w:p>
      <w:pPr>
        <w:pStyle w:val="BodyText"/>
      </w:pPr>
      <w:r>
        <w:rPr>
          <w:bCs/>
          <w:b/>
        </w:rPr>
        <w:t xml:space="preserve">Next:</w:t>
      </w:r>
      <w:r>
        <w:t xml:space="preserve"> </w:t>
      </w:r>
      <w:r>
        <w:t xml:space="preserve">Chapter 13 addresses PKI evolution and certificate lifecycle — the blocking domain most enterprises underestimated until CDG analysis made the dependency visible.</w:t>
      </w:r>
    </w:p>
    <w:p>
      <w:r>
        <w:pict>
          <v:rect style="width:0;height:1.5pt" o:hralign="center" o:hrstd="t" o:hr="t"/>
        </w:pict>
      </w:r>
    </w:p>
    <w:p>
      <w:pPr>
        <w:pStyle w:val="FirstParagraph"/>
      </w:pPr>
      <w:r>
        <w:rPr>
          <w:iCs/>
          <w:i/>
        </w:rPr>
        <w:t xml:space="preserve">Chapter 12 — References</w:t>
      </w:r>
    </w:p>
    <w:p>
      <w:pPr>
        <w:numPr>
          <w:ilvl w:val="0"/>
          <w:numId w:val="1014"/>
        </w:numPr>
        <w:pStyle w:val="Compact"/>
      </w:pPr>
      <w:r>
        <w:t xml:space="preserve">Basescu, C., et al. (2024). Deployment considerations for post-quantum cryptography.</w:t>
      </w:r>
      <w:r>
        <w:t xml:space="preserve"> </w:t>
      </w:r>
      <w:r>
        <w:rPr>
          <w:iCs/>
          <w:i/>
        </w:rPr>
        <w:t xml:space="preserve">USENIX Security Symposium</w:t>
      </w:r>
      <w:r>
        <w:t xml:space="preserve">. https://www.usenix.org/conference/usenixsecurity24</w:t>
      </w:r>
    </w:p>
    <w:p>
      <w:pPr>
        <w:numPr>
          <w:ilvl w:val="0"/>
          <w:numId w:val="1014"/>
        </w:numPr>
        <w:pStyle w:val="Compact"/>
      </w:pPr>
      <w:r>
        <w:t xml:space="preserve">Campbell, R. (2025). Enterprise migration to post-quantum cryptography: Timeline analysis and strategic frameworks.</w:t>
      </w:r>
      <w:r>
        <w:t xml:space="preserve"> </w:t>
      </w:r>
      <w:r>
        <w:rPr>
          <w:iCs/>
          <w:i/>
        </w:rPr>
        <w:t xml:space="preserve">Computers</w:t>
      </w:r>
      <w:r>
        <w:t xml:space="preserve">, 15(1), 9. https://doi.org/10.3390/computers15010009</w:t>
      </w:r>
    </w:p>
    <w:p>
      <w:pPr>
        <w:numPr>
          <w:ilvl w:val="0"/>
          <w:numId w:val="1014"/>
        </w:numPr>
        <w:pStyle w:val="Compact"/>
      </w:pPr>
      <w:r>
        <w:t xml:space="preserve">Internet Engineering Task Force. (2024–2026). Post-quantum hybrid key exchange for TLS 1.3 (standards track).</w:t>
      </w:r>
      <w:r>
        <w:t xml:space="preserve"> </w:t>
      </w:r>
      <w:r>
        <w:rPr>
          <w:iCs/>
          <w:i/>
        </w:rPr>
        <w:t xml:space="preserve">IETF TLS Working Group</w:t>
      </w:r>
      <w:r>
        <w:t xml:space="preserve">.</w:t>
      </w:r>
    </w:p>
    <w:p>
      <w:pPr>
        <w:numPr>
          <w:ilvl w:val="0"/>
          <w:numId w:val="1014"/>
        </w:numPr>
        <w:pStyle w:val="Compact"/>
      </w:pPr>
      <w:r>
        <w:t xml:space="preserve">Internet Engineering Task Force. (2024).</w:t>
      </w:r>
      <w:r>
        <w:t xml:space="preserve"> </w:t>
      </w:r>
      <w:r>
        <w:rPr>
          <w:iCs/>
          <w:i/>
        </w:rPr>
        <w:t xml:space="preserve">RFC 9180</w:t>
      </w:r>
      <w:r>
        <w:t xml:space="preserve">: Hybrid Public Key Encryption. https://www.rfc-editor.org/rfc/rfc9180</w:t>
      </w:r>
    </w:p>
    <w:p>
      <w:pPr>
        <w:numPr>
          <w:ilvl w:val="0"/>
          <w:numId w:val="1014"/>
        </w:numPr>
        <w:pStyle w:val="Compact"/>
      </w:pPr>
      <w:r>
        <w:t xml:space="preserve">National Institute of Standards and Technology. (2024). FIPS 203: Module-Lattice-Based Key-Encapsulation Mechanism Standard. https://doi.org/10.6028/NIST.FIPS.203</w:t>
      </w:r>
    </w:p>
    <w:p>
      <w:pPr>
        <w:numPr>
          <w:ilvl w:val="0"/>
          <w:numId w:val="1014"/>
        </w:numPr>
        <w:pStyle w:val="Compact"/>
      </w:pPr>
      <w:r>
        <w:t xml:space="preserve">National Institute of Standards and Technology. (2024). FIPS 204: Module-Lattice-Based Digital Signature Standard. https://doi.org/10.6028/NIST.FIPS.204</w:t>
      </w:r>
    </w:p>
    <w:p>
      <w:pPr>
        <w:numPr>
          <w:ilvl w:val="0"/>
          <w:numId w:val="1014"/>
        </w:numPr>
        <w:pStyle w:val="Compact"/>
      </w:pPr>
      <w:r>
        <w:t xml:space="preserve">National Institute of Standards and Technology. (2024). NIST IR 8547 (Initial Public Draft): Transition to post-quantum cryptography standards. https://doi.org/10.6028/NIST.IR.8547.ipd</w:t>
      </w:r>
    </w:p>
    <w:p>
      <w:pPr>
        <w:numPr>
          <w:ilvl w:val="0"/>
          <w:numId w:val="1014"/>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014"/>
        </w:numPr>
        <w:pStyle w:val="Compact"/>
      </w:pPr>
      <w:r>
        <w:t xml:space="preserve">OpenSSL Software Foundation. (2025–2026). OpenSSL 3.5 release notes and provider documentation. https://www.openssl.org/</w:t>
      </w:r>
    </w:p>
    <w:p>
      <w:pPr>
        <w:numPr>
          <w:ilvl w:val="0"/>
          <w:numId w:val="1014"/>
        </w:numPr>
        <w:pStyle w:val="Compact"/>
      </w:pPr>
      <w:r>
        <w:t xml:space="preserve">CycloneDX. (2024).</w:t>
      </w:r>
      <w:r>
        <w:t xml:space="preserve"> </w:t>
      </w:r>
      <w:r>
        <w:rPr>
          <w:iCs/>
          <w:i/>
        </w:rPr>
        <w:t xml:space="preserve">Authoritative Guide to CBOM</w:t>
      </w:r>
      <w:r>
        <w:t xml:space="preserve">. OWASP Foundation.</w:t>
      </w:r>
    </w:p>
    <w:p>
      <w:pPr>
        <w:numPr>
          <w:ilvl w:val="0"/>
          <w:numId w:val="1014"/>
        </w:numPr>
        <w:pStyle w:val="Compact"/>
      </w:pPr>
      <w:r>
        <w:t xml:space="preserve">European Union. (2022). Regulation (EU) 2022/2554 on digital operational resilience for the financial sector (DORA).</w:t>
      </w:r>
    </w:p>
    <w:p>
      <w:r>
        <w:pict>
          <v:rect style="width:0;height:1.5pt" o:hralign="center" o:hrstd="t" o:hr="t"/>
        </w:pict>
      </w:r>
    </w:p>
    <w:p>
      <w:pPr>
        <w:pStyle w:val="FirstParagraph"/>
      </w:pPr>
      <w:r>
        <w:rPr>
          <w:iCs/>
          <w:i/>
        </w:rPr>
        <w:t xml:space="preserve">Proceed to Chapter 13: PKI Evolution and Certificate Lifecycle.</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2026-06-12T10:03:14Z</dcterms:created>
  <dcterms:modified xsi:type="dcterms:W3CDTF">2026-06-12T10:03:14Z</dcterms:modified>
</cp:coreProperties>
</file>

<file path=docProps/custom.xml><?xml version="1.0" encoding="utf-8"?>
<Properties xmlns="http://schemas.openxmlformats.org/officeDocument/2006/custom-properties" xmlns:vt="http://schemas.openxmlformats.org/officeDocument/2006/docPropsVTypes"/>
</file>