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18"/>
    <w:p>
      <w:pPr>
        <w:pStyle w:val="Heading1"/>
      </w:pPr>
      <w:r>
        <w:t xml:space="preserve">Chapter 18</w:t>
      </w:r>
    </w:p>
    <w:bookmarkEnd w:id="20"/>
    <w:bookmarkStart w:id="90" w:name="fips-validation-testing-and-assurance"/>
    <w:p>
      <w:pPr>
        <w:pStyle w:val="Heading1"/>
      </w:pPr>
      <w:r>
        <w:t xml:space="preserve">FIPS Validation, Testing, and Assurance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Apex Defense Technologies’ CMMC Level 2 assessment was scheduled for October 2028. Dr. Priya Nair’s assurance team received the C3PAO evidence request list in March — ninety-two control objectives, each demanding artefacts that traced policy to implementation. The assessor’s cryptographic control family questions looked familiar:</w:t>
      </w:r>
      <w:r>
        <w:t xml:space="preserve"> </w:t>
      </w:r>
      <w:r>
        <w:rPr>
          <w:iCs/>
          <w:i/>
        </w:rPr>
        <w:t xml:space="preserve">Are encryption mechanisms FIPS-validated where required? Is key management documented? Are cryptographic modules configured per vendor security guidance?</w:t>
      </w:r>
    </w:p>
    <w:p>
      <w:pPr>
        <w:pStyle w:val="BodyText"/>
      </w:pPr>
      <w:r>
        <w:t xml:space="preserve">What the assessor did not ask — but what Priya knew would surface in follow-up interviews — was whether Apex could</w:t>
      </w:r>
      <w:r>
        <w:t xml:space="preserve"> </w:t>
      </w:r>
      <w:r>
        <w:rPr>
          <w:bCs/>
          <w:b/>
        </w:rPr>
        <w:t xml:space="preserve">demonstrate post-quantum readiness</w:t>
      </w:r>
      <w:r>
        <w:t xml:space="preserve"> </w:t>
      </w:r>
      <w:r>
        <w:t xml:space="preserve">without violating FIPS boundaries. Commercial IT had deployed hybrid TLS in development using OpenSSL 3.5. NSS programmes waited on HSM module revalidation. A product manager had circulated a slide claiming</w:t>
      </w:r>
      <w:r>
        <w:t xml:space="preserve"> </w:t>
      </w:r>
      <w:r>
        <w:t xml:space="preserve">“</w:t>
      </w:r>
      <w:r>
        <w:t xml:space="preserve">full PQC support</w:t>
      </w:r>
      <w:r>
        <w:t xml:space="preserve">”</w:t>
      </w:r>
      <w:r>
        <w:t xml:space="preserve"> </w:t>
      </w:r>
      <w:r>
        <w:t xml:space="preserve">based on laboratory builds that sat outside the validated module boundary. The CMMC package would either reconcile those layers honestly or produce a finding that blocked contract renewal.</w:t>
      </w:r>
    </w:p>
    <w:p>
      <w:pPr>
        <w:pStyle w:val="BodyText"/>
      </w:pPr>
      <w:r>
        <w:t xml:space="preserve">Priya’s team spent six weeks assembling not a folder of certificates, but an</w:t>
      </w:r>
      <w:r>
        <w:t xml:space="preserve"> </w:t>
      </w:r>
      <w:r>
        <w:rPr>
          <w:bCs/>
          <w:b/>
        </w:rPr>
        <w:t xml:space="preserve">assurance programme</w:t>
      </w:r>
      <w:r>
        <w:t xml:space="preserve">: validation coverage matrices linked to CDG blocking nodes, test harness artefacts from Chapter 10’s agility standard, HSM assessment scores from Chapter 14, and a dependency timeline showing which production paths were gated on CMVP listings versus which were legitimately lab-only. The C3PAO assessor marked cryptographic controls</w:t>
      </w:r>
      <w:r>
        <w:t xml:space="preserve"> </w:t>
      </w:r>
      <w:r>
        <w:rPr>
          <w:bCs/>
          <w:b/>
        </w:rPr>
        <w:t xml:space="preserve">MET</w:t>
      </w:r>
      <w:r>
        <w:t xml:space="preserve"> </w:t>
      </w:r>
      <w:r>
        <w:t xml:space="preserve">with one observation: accelerate closure of the ML-DSA module gap on the payment-adjacent signing partition. The observation was expected, documented, and already on the steering committee risk register.</w:t>
      </w:r>
    </w:p>
    <w:p>
      <w:pPr>
        <w:pStyle w:val="BodyText"/>
      </w:pPr>
      <w:r>
        <w:t xml:space="preserve">This chapter teaches enterprises to build the same assurance machinery — not as a pre-audit scramble, but as</w:t>
      </w:r>
      <w:r>
        <w:t xml:space="preserve"> </w:t>
      </w:r>
      <w:r>
        <w:rPr>
          <w:bCs/>
          <w:b/>
        </w:rPr>
        <w:t xml:space="preserve">programme-integrated validation and testing</w:t>
      </w:r>
      <w:r>
        <w:t xml:space="preserve"> </w:t>
      </w:r>
      <w:r>
        <w:t xml:space="preserve">that satisfies CMMC, FedRAMP, DORA, and internal risk committees simultaneously.</w:t>
      </w:r>
    </w:p>
    <w:p>
      <w:r>
        <w:pict>
          <v:rect style="width:0;height:1.5pt" o:hralign="center" o:hrstd="t" o:hr="t"/>
        </w:pict>
      </w:r>
    </w:p>
    <w:bookmarkStart w:id="21" w:name="assurance-as-a-programme-constraint"/>
    <w:p>
      <w:pPr>
        <w:pStyle w:val="Heading2"/>
      </w:pPr>
      <w:r>
        <w:t xml:space="preserve">18.1 Assurance as a Programme Constraint</w:t>
      </w:r>
    </w:p>
    <w:p>
      <w:pPr>
        <w:pStyle w:val="FirstParagraph"/>
      </w:pPr>
      <w:r>
        <w:t xml:space="preserve">Parts I through IV established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to migrate,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algorithms to standardise on,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cryptography lives in the estate, and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to architect agility and key custody. Part V (Chapters 15–17) governs who runs the programme, how procurement enforces requirements, and how supply-chain gates verify dependencies. Chapter 18 completes the</w:t>
      </w:r>
      <w:r>
        <w:t xml:space="preserve"> </w:t>
      </w:r>
      <w:r>
        <w:rPr>
          <w:bCs/>
          <w:b/>
        </w:rPr>
        <w:t xml:space="preserve">Assurance layer</w:t>
      </w:r>
      <w:r>
        <w:t xml:space="preserve"> </w:t>
      </w:r>
      <w:r>
        <w:t xml:space="preserve">of the PQC Governance Stack (Chapter 3): the evidence machinery that proves migration progress is real, controlled, and auditable.</w:t>
      </w:r>
    </w:p>
    <w:p>
      <w:pPr>
        <w:pStyle w:val="BodyText"/>
      </w:pPr>
      <w:r>
        <w:t xml:space="preserve">The central argument:</w:t>
      </w:r>
    </w:p>
    <w:p>
      <w:pPr>
        <w:pStyle w:val="BlockText"/>
      </w:pPr>
      <w:r>
        <w:rPr>
          <w:bCs/>
          <w:b/>
        </w:rPr>
        <w:t xml:space="preserve">Validation is a programme constraint, not a post-deployment checkbox.</w:t>
      </w:r>
      <w:r>
        <w:t xml:space="preserve"> </w:t>
      </w:r>
      <w:r>
        <w:t xml:space="preserve">FIPS 140-3 module transitions, interoperability suites, performance baselines, and security assessments must be planned on the same dependency timeline as HSM firmware, PKI overlap, and vendor roadmaps — because production deployment in regulated paths cannot proceed without them.</w:t>
      </w:r>
    </w:p>
    <w:p>
      <w:pPr>
        <w:pStyle w:val="FirstParagraph"/>
      </w:pPr>
      <w:r>
        <w:t xml:space="preserve">Three misconceptions cause assurance programme failure: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Misconception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Algorithm in library = production-ready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Regulated paths require CMVP-listed module implementations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will validate after the pilot succeeds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Pilots that bypass validation boundaries cannot promote without retest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Assurance is InfoSec’s job before audit season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assurance spans engineering, operations, procurement, and compliance year-round</w:t>
            </w:r>
          </w:p>
        </w:tc>
      </w:tr>
    </w:tbl>
    <w:p>
      <w:pPr>
        <w:pStyle w:val="BodyText"/>
      </w:pPr>
      <w:r>
        <w:rPr>
          <w:bCs/>
          <w:b/>
        </w:rPr>
        <w:t xml:space="preserve">PQ-ADAPT Level 4 (</w:t>
      </w:r>
      <w:r>
        <w:rPr>
          <w:iCs/>
          <w:i/>
          <w:bCs/>
          <w:b/>
        </w:rPr>
        <w:t xml:space="preserve">Transitioning</w:t>
      </w:r>
      <w:r>
        <w:rPr>
          <w:bCs/>
          <w:b/>
        </w:rPr>
        <w:t xml:space="preserve">)</w:t>
      </w:r>
      <w:r>
        <w:t xml:space="preserve"> </w:t>
      </w:r>
      <w:r>
        <w:t xml:space="preserve">requires an active validation programme: production hybrids where policy permits, supplier contracts updated, and</w:t>
      </w:r>
      <w:r>
        <w:t xml:space="preserve"> </w:t>
      </w:r>
      <w:r>
        <w:rPr>
          <w:bCs/>
          <w:b/>
        </w:rPr>
        <w:t xml:space="preserve">evidence that testing gates precede production promotion</w:t>
      </w:r>
      <w:r>
        <w:t xml:space="preserve">. Enterprises with architecture standards but no assurance integration remain at Level 3 — they know what to build but cannot prove it safely reached production.</w:t>
      </w:r>
    </w:p>
    <w:p>
      <w:pPr>
        <w:pStyle w:val="BlockText"/>
      </w:pPr>
      <w:r>
        <w:rPr>
          <w:bCs/>
          <w:b/>
        </w:rPr>
        <w:t xml:space="preserve">Migration Moment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Our OpenSSL build supports ML-KEM — we are PQC-ready for CMMC.</w:t>
      </w:r>
      <w:r>
        <w:rPr>
          <w:iCs/>
          <w:i/>
        </w:rPr>
        <w:t xml:space="preserve">”</w:t>
      </w:r>
    </w:p>
    <w:p>
      <w:pPr>
        <w:pStyle w:val="BlockText"/>
      </w:pPr>
      <w:r>
        <w:t xml:space="preserve">CMMC and FedRAMP evaluate whether production cryptographic modules operate inside</w:t>
      </w:r>
      <w:r>
        <w:t xml:space="preserve"> </w:t>
      </w:r>
      <w:r>
        <w:rPr>
          <w:bCs/>
          <w:b/>
        </w:rPr>
        <w:t xml:space="preserve">validated boundaries</w:t>
      </w:r>
      <w:r>
        <w:t xml:space="preserve"> </w:t>
      </w:r>
      <w:r>
        <w:t xml:space="preserve">with documented configuration. Development builds, container images without module attestation, and cloud regions without FIPS endpoints do not satisfy controlled unclassified information (CUI) protection requirements — regardless of algorithm availability in upstream source code.</w:t>
      </w:r>
    </w:p>
    <w:p>
      <w:r>
        <w:pict>
          <v:rect style="width:0;height:1.5pt" o:hralign="center" o:hrstd="t" o:hr="t"/>
        </w:pict>
      </w:r>
    </w:p>
    <w:bookmarkEnd w:id="21"/>
    <w:bookmarkStart w:id="26" w:name="X91f1b18e85eef6f418511fd5fe46a32a70fce4b"/>
    <w:p>
      <w:pPr>
        <w:pStyle w:val="Heading2"/>
      </w:pPr>
      <w:r>
        <w:t xml:space="preserve">18.2 FIPS 140-3 Module Validation versus Algorithm Validation</w:t>
      </w:r>
    </w:p>
    <w:p>
      <w:pPr>
        <w:pStyle w:val="FirstParagraph"/>
      </w:pPr>
      <w:r>
        <w:t xml:space="preserve">Enterprise teams routinely conflate</w:t>
      </w:r>
      <w:r>
        <w:t xml:space="preserve"> </w:t>
      </w:r>
      <w:r>
        <w:rPr>
          <w:bCs/>
          <w:b/>
        </w:rPr>
        <w:t xml:space="preserve">algorithm standardisation</w:t>
      </w:r>
      <w:r>
        <w:t xml:space="preserve"> </w:t>
      </w:r>
      <w:r>
        <w:t xml:space="preserve">(FIPS 203–205) with</w:t>
      </w:r>
      <w:r>
        <w:t xml:space="preserve"> </w:t>
      </w:r>
      <w:r>
        <w:rPr>
          <w:bCs/>
          <w:b/>
        </w:rPr>
        <w:t xml:space="preserve">module validation</w:t>
      </w:r>
      <w:r>
        <w:t xml:space="preserve"> </w:t>
      </w:r>
      <w:r>
        <w:t xml:space="preserve">(FIPS 140-3). The distinction governs every production gate in regulated environments.</w:t>
      </w:r>
    </w:p>
    <w:bookmarkStart w:id="22" w:name="what-each-layer-provides"/>
    <w:p>
      <w:pPr>
        <w:pStyle w:val="Heading3"/>
      </w:pPr>
      <w:r>
        <w:t xml:space="preserve">18.2.1 What each layer provides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4"/>
        <w:gridCol w:w="1277"/>
        <w:gridCol w:w="2427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certifies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 not certify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FIPS 203, 204, 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specification of ML-KEM, ML-DSA, SLH-DSA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vendor’s implementation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FIPS 140-3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bounded cryptographic module meets security requirements at a given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configuration, key ceremony, or protocol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 RFCs, SP 800-series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On-the-wire interoperability 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validation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algorithms apply to which workload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compliance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FIPS 140-3</w:t>
      </w:r>
      <w:r>
        <w:t xml:space="preserve"> </w:t>
      </w:r>
      <w:r>
        <w:t xml:space="preserve">defines security requirements for cryptographic modules — hardware, software, firmware, or hybrid — at levels 1 through 4. The</w:t>
      </w:r>
      <w:r>
        <w:t xml:space="preserve"> </w:t>
      </w:r>
      <w:r>
        <w:rPr>
          <w:bCs/>
          <w:b/>
        </w:rPr>
        <w:t xml:space="preserve">Cryptographic Module Validation Program (CMVP)</w:t>
      </w:r>
      <w:r>
        <w:t xml:space="preserve">, operated by NIST and the Canadian Centre for Cyber Security, issues validation certificates for modules that pass accredited laboratory testing.</w:t>
      </w:r>
    </w:p>
    <w:p>
      <w:pPr>
        <w:pStyle w:val="BodyText"/>
      </w:pPr>
      <w:r>
        <w:t xml:space="preserve">An enterprise does not</w:t>
      </w:r>
      <w:r>
        <w:t xml:space="preserve"> </w:t>
      </w:r>
      <w:r>
        <w:t xml:space="preserve">“</w:t>
      </w:r>
      <w:r>
        <w:t xml:space="preserve">get FIPS validated.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vendor module</w:t>
      </w:r>
      <w:r>
        <w:t xml:space="preserve"> </w:t>
      </w:r>
      <w:r>
        <w:t xml:space="preserve">— payShield HSM firmware, cloud KMS HSM pool, OpenSSL FIPS provider boundary, Java FIPS security provider — receives a certificate listing</w:t>
      </w:r>
      <w:r>
        <w:t xml:space="preserve"> </w:t>
      </w:r>
      <w:r>
        <w:rPr>
          <w:bCs/>
          <w:b/>
        </w:rPr>
        <w:t xml:space="preserve">approved algorithms and modes</w:t>
      </w:r>
      <w:r>
        <w:t xml:space="preserve"> </w:t>
      </w:r>
      <w:r>
        <w:t xml:space="preserve">inside the module boundary. Enterprise architects must verify: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Certificate number</w:t>
      </w:r>
      <w:r>
        <w:t xml:space="preserve"> </w:t>
      </w:r>
      <w:r>
        <w:t xml:space="preserve">— current, not superseded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Module boundary</w:t>
      </w:r>
      <w:r>
        <w:t xml:space="preserve"> </w:t>
      </w:r>
      <w:r>
        <w:t xml:space="preserve">— which software and hardware are inside the validated configuration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Algorithm implementation list</w:t>
      </w:r>
      <w:r>
        <w:t xml:space="preserve"> </w:t>
      </w:r>
      <w:r>
        <w:t xml:space="preserve">— ML-KEM-768 listed explicitly, not inferred from</w:t>
      </w:r>
      <w:r>
        <w:t xml:space="preserve"> </w:t>
      </w:r>
      <w:r>
        <w:t xml:space="preserve">“</w:t>
      </w:r>
      <w:r>
        <w:t xml:space="preserve">lattice support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Operational environment</w:t>
      </w:r>
      <w:r>
        <w:t xml:space="preserve"> </w:t>
      </w:r>
      <w:r>
        <w:t xml:space="preserve">— OS, firmware, and hardware versions matching the certificate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Entropy and key management</w:t>
      </w:r>
      <w:r>
        <w:t xml:space="preserve"> </w:t>
      </w:r>
      <w:r>
        <w:t xml:space="preserve">— how the module meets key generation requirements for PQC key sizes</w:t>
      </w:r>
    </w:p>
    <w:bookmarkEnd w:id="22"/>
    <w:bookmarkStart w:id="23" w:name="module-boundary-discipline"/>
    <w:p>
      <w:pPr>
        <w:pStyle w:val="Heading3"/>
      </w:pPr>
      <w:r>
        <w:t xml:space="preserve">18.2.2 Module boundary discipline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module boundary</w:t>
      </w:r>
      <w:r>
        <w:t xml:space="preserve"> </w:t>
      </w:r>
      <w:r>
        <w:t xml:space="preserve">is the assurance team’s most important concept. Operations inside the boundary are evaluated by CMVP. Operations outside are enterprise responsibility — and audit findings when they touch production data.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FIPS 140-3 MODULE BOUNDARY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┌─────────────────────┐  │</w:t>
      </w:r>
      <w:r>
        <w:br/>
      </w:r>
      <w:r>
        <w:rPr>
          <w:rStyle w:val="VerbatimChar"/>
        </w:rPr>
        <w:t xml:space="preserve">│  │ ML-KEM      │  │ ML-DSA      │  │ Key generation,     │  │</w:t>
      </w:r>
      <w:r>
        <w:br/>
      </w:r>
      <w:r>
        <w:rPr>
          <w:rStyle w:val="VerbatimChar"/>
        </w:rPr>
        <w:t xml:space="preserve">│  │ implement.  │  │ implement.  │  │ zeroise, self-test  │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▲                                    │</w:t>
      </w:r>
      <w:r>
        <w:br/>
      </w:r>
      <w:r>
        <w:rPr>
          <w:rStyle w:val="VerbatimChar"/>
        </w:rPr>
        <w:t xml:space="preserve">         │ validated                          │ NOT validated</w:t>
      </w:r>
      <w:r>
        <w:br/>
      </w:r>
      <w:r>
        <w:rPr>
          <w:rStyle w:val="VerbatimChar"/>
        </w:rPr>
        <w:t xml:space="preserve">         │                                    v</w:t>
      </w:r>
      <w:r>
        <w:br/>
      </w:r>
      <w:r>
        <w:rPr>
          <w:rStyle w:val="VerbatimChar"/>
        </w:rPr>
        <w:t xml:space="preserve">   [HSM firmware / FIPS provider]      [Application TLS config,</w:t>
      </w:r>
      <w:r>
        <w:br/>
      </w:r>
      <w:r>
        <w:rPr>
          <w:rStyle w:val="VerbatimChar"/>
        </w:rPr>
        <w:t xml:space="preserve">                                        load balancer policy,</w:t>
      </w:r>
      <w:r>
        <w:br/>
      </w:r>
      <w:r>
        <w:rPr>
          <w:rStyle w:val="VerbatimChar"/>
        </w:rPr>
        <w:t xml:space="preserve">                                        custom key ceremony scripts]</w:t>
      </w:r>
    </w:p>
    <w:p>
      <w:pPr>
        <w:pStyle w:val="FirstParagraph"/>
      </w:pPr>
      <w:r>
        <w:t xml:space="preserve">Meridian Mutual Bank discovered that its cloud provider’s</w:t>
      </w:r>
      <w:r>
        <w:t xml:space="preserve"> </w:t>
      </w:r>
      <w:r>
        <w:rPr>
          <w:bCs/>
          <w:b/>
        </w:rPr>
        <w:t xml:space="preserve">FIPS endpoint</w:t>
      </w:r>
      <w:r>
        <w:t xml:space="preserve"> </w:t>
      </w:r>
      <w:r>
        <w:t xml:space="preserve">covered KMS wrap operations but not the application server’s default TLS stack — two module boundaries, one procurement slide. Chapter 14’s HSM assessment matrix (Table 14.1) exists precisely to prevent this confusion: each custody platform receives a row with explicit</w:t>
      </w:r>
      <w:r>
        <w:t xml:space="preserve"> </w:t>
      </w:r>
      <w:r>
        <w:rPr>
          <w:bCs/>
          <w:b/>
        </w:rPr>
        <w:t xml:space="preserve">in-boundary algorithm list</w:t>
      </w:r>
      <w:r>
        <w:t xml:space="preserve">.</w:t>
      </w:r>
    </w:p>
    <w:bookmarkEnd w:id="23"/>
    <w:bookmarkStart w:id="24" w:name="algorithm-validation-cavp-relationship"/>
    <w:p>
      <w:pPr>
        <w:pStyle w:val="Heading3"/>
      </w:pPr>
      <w:r>
        <w:t xml:space="preserve">18.2.3 Algorithm validation (CAVP) relationship</w:t>
      </w:r>
    </w:p>
    <w:p>
      <w:pPr>
        <w:pStyle w:val="FirstParagraph"/>
      </w:pPr>
      <w:r>
        <w:t xml:space="preserve">NIST’s</w:t>
      </w:r>
      <w:r>
        <w:t xml:space="preserve"> </w:t>
      </w:r>
      <w:r>
        <w:rPr>
          <w:bCs/>
          <w:b/>
        </w:rPr>
        <w:t xml:space="preserve">Cryptographic Algorithm Validation Program (CAVP)</w:t>
      </w:r>
      <w:r>
        <w:t xml:space="preserve"> </w:t>
      </w:r>
      <w:r>
        <w:t xml:space="preserve">certifies that implementations produce correct outputs for known answer tests (KATs). CAVP algorithm certificates are</w:t>
      </w:r>
      <w:r>
        <w:t xml:space="preserve"> </w:t>
      </w:r>
      <w:r>
        <w:rPr>
          <w:bCs/>
          <w:b/>
        </w:rPr>
        <w:t xml:space="preserve">inputs to</w:t>
      </w:r>
      <w:r>
        <w:t xml:space="preserve"> </w:t>
      </w:r>
      <w:r>
        <w:t xml:space="preserve">module validation — not substitutes for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97"/>
        <w:gridCol w:w="1545"/>
        <w:gridCol w:w="34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CAVP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matches test vectors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lab during FIPS 140-3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FIPS 140-3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meets physical/logical security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procurement, CMMC assessors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</w:t>
            </w:r>
            <w:r>
              <w:t xml:space="preserve"> </w:t>
            </w:r>
            <w:r>
              <w:t xml:space="preserve">“</w:t>
            </w:r>
            <w:r>
              <w:t xml:space="preserve">FIPS-compliant</w:t>
            </w:r>
            <w:r>
              <w:t xml:space="preserve">”</w:t>
            </w:r>
            <w:r>
              <w:t xml:space="preserve"> </w:t>
            </w: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Often undefined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not appear in evidence packages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Architect’s Decision</w:t>
      </w:r>
    </w:p>
    <w:p>
      <w:pPr>
        <w:pStyle w:val="BodyText"/>
      </w:pPr>
      <w:r>
        <w:rPr>
          <w:bCs/>
          <w:b/>
        </w:rPr>
        <w:t xml:space="preserve">Require CMVP certificate numbers in procurement and evidence packages — not CAVP alone, not algorithm support claims.</w:t>
      </w:r>
      <w:r>
        <w:t xml:space="preserve"> </w:t>
      </w:r>
      <w:r>
        <w:t xml:space="preserve">When a vendor cites CAVP for ML-DSA, the correct follow-up question is:</w:t>
      </w:r>
      <w:r>
        <w:t xml:space="preserve"> </w:t>
      </w:r>
      <w:r>
        <w:rPr>
          <w:iCs/>
          <w:i/>
        </w:rPr>
        <w:t xml:space="preserve">In which FIPS 140-3 module, at what level, on which firmware version, is that implementation listed?</w:t>
      </w:r>
    </w:p>
    <w:bookmarkEnd w:id="24"/>
    <w:bookmarkStart w:id="25" w:name="transition-from-fips-140-2-modules"/>
    <w:p>
      <w:pPr>
        <w:pStyle w:val="Heading3"/>
      </w:pPr>
      <w:r>
        <w:t xml:space="preserve">18.2.4 Transition from FIPS 140-2 modules</w:t>
      </w:r>
    </w:p>
    <w:p>
      <w:pPr>
        <w:pStyle w:val="FirstParagraph"/>
      </w:pPr>
      <w:r>
        <w:t xml:space="preserve">PQC migration often requires</w:t>
      </w:r>
      <w:r>
        <w:t xml:space="preserve"> </w:t>
      </w:r>
      <w:r>
        <w:rPr>
          <w:bCs/>
          <w:b/>
        </w:rPr>
        <w:t xml:space="preserve">new FIPS 140-3 validations</w:t>
      </w:r>
      <w:r>
        <w:t xml:space="preserve"> </w:t>
      </w:r>
      <w:r>
        <w:t xml:space="preserve">— firmware upgrades, software provider changes, and cloud KMS algorithm additions each alter the operational environment and trigger retest. Apex maintained a</w:t>
      </w:r>
      <w:r>
        <w:t xml:space="preserve"> </w:t>
      </w:r>
      <w:r>
        <w:rPr>
          <w:bCs/>
          <w:b/>
        </w:rPr>
        <w:t xml:space="preserve">module transition register</w:t>
      </w:r>
      <w:r>
        <w:t xml:space="preserve"> </w:t>
      </w:r>
      <w:r>
        <w:t xml:space="preserve">linking classical certificates, target PQC certificates, and decommission dates — feeding the validation dependency timeline (§18.14).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the-validation-coverage-matrix"/>
    <w:p>
      <w:pPr>
        <w:pStyle w:val="Heading2"/>
      </w:pPr>
      <w:r>
        <w:t xml:space="preserve">18.3 The Validation Coverage Matrix</w:t>
      </w:r>
    </w:p>
    <w:p>
      <w:pPr>
        <w:pStyle w:val="FirstParagraph"/>
      </w:pPr>
      <w:r>
        <w:t xml:space="preserve">Chapter 4 introduced the</w:t>
      </w:r>
      <w:r>
        <w:t xml:space="preserve"> </w:t>
      </w:r>
      <w:r>
        <w:rPr>
          <w:bCs/>
          <w:b/>
        </w:rPr>
        <w:t xml:space="preserve">validation coverage matrix</w:t>
      </w:r>
      <w:r>
        <w:t xml:space="preserve"> </w:t>
      </w:r>
      <w:r>
        <w:t xml:space="preserve">as the Operational-layer companion to the algorithm standards matrix. Chapter 18 operationalises it as a</w:t>
      </w:r>
      <w:r>
        <w:t xml:space="preserve"> </w:t>
      </w:r>
      <w:r>
        <w:rPr>
          <w:bCs/>
          <w:b/>
        </w:rPr>
        <w:t xml:space="preserve">living assurance artefact</w:t>
      </w:r>
      <w:r>
        <w:t xml:space="preserve"> </w:t>
      </w:r>
      <w:r>
        <w:t xml:space="preserve">— updated quarterly, linked to CDG blocking nodes, and cited in audit packages.</w:t>
      </w:r>
    </w:p>
    <w:bookmarkStart w:id="27" w:name="matrix-structure"/>
    <w:p>
      <w:pPr>
        <w:pStyle w:val="Heading3"/>
      </w:pPr>
      <w:r>
        <w:t xml:space="preserve">18.3.1 Matrix structure</w:t>
      </w:r>
    </w:p>
    <w:p>
      <w:pPr>
        <w:pStyle w:val="FirstParagraph"/>
      </w:pPr>
      <w:r>
        <w:rPr>
          <w:bCs/>
          <w:b/>
        </w:rPr>
        <w:t xml:space="preserve">Table 18.1 — Validation Coverage Matrix (Extended)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11"/>
        <w:gridCol w:w="3550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 category from algorithm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HSM firmware signing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mandate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FIPS 140-3 Level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module_product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module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payShield 10K firmware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cmvp_cert_id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#4747 (</w:t>
            </w:r>
            <w:r>
              <w:rPr>
                <w:iCs/>
                <w:i/>
              </w:rPr>
              <w:t xml:space="preserve">illustrative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algorithms_in_boundary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ML-DSA-87, ECDSA-P384 (H1)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operational_environment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OS/firmware combo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RHEL 8.8 + firmware 4.2.1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Closed / 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hlm_phase_authorised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phase permitted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H0 (classical only) until gap closes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cdg_blocking_ref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to dependency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BN-MER-HSM-001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test_harness_profile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Agility profile IDs gated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mer-firmware-sign-v2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accountable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operations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next_review_date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2028-06-30</w:t>
            </w:r>
          </w:p>
        </w:tc>
      </w:tr>
    </w:tbl>
    <w:bookmarkEnd w:id="27"/>
    <w:bookmarkStart w:id="28" w:name="gap-status-rules"/>
    <w:p>
      <w:pPr>
        <w:pStyle w:val="Heading3"/>
      </w:pPr>
      <w:r>
        <w:t xml:space="preserve">18.3.2 Gap status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12"/>
        <w:gridCol w:w="2568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CMVP cert lists required algorithms in approved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H1+ authorised per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required but not in validated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production PQC in this path; lab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validation: classical closed, PQC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dual-signature with classical 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does not require validation (dev/lab)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production data</w:t>
            </w:r>
          </w:p>
        </w:tc>
      </w:tr>
    </w:tbl>
    <w:p>
      <w:pPr>
        <w:pStyle w:val="BodyText"/>
      </w:pPr>
      <w:r>
        <w:t xml:space="preserve">Meridian’s matrix prevented the failure mode described in Chapter 4 §4.21: engineering teams demoing OpenSSL PQC in paths that payment policy required HSM validation for. The matrix was published internally alongside the algorithm standards matrix — engineers mapped systems to rows before architecture review.</w:t>
      </w:r>
    </w:p>
    <w:bookmarkEnd w:id="28"/>
    <w:bookmarkStart w:id="29" w:name="cross-organisation-matrix-variants"/>
    <w:p>
      <w:pPr>
        <w:pStyle w:val="Heading3"/>
      </w:pPr>
      <w:r>
        <w:t xml:space="preserve">18.3.3 Cross-organisation matrix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76"/>
        <w:gridCol w:w="43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 emphasis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DORA-critical functions; payment HSM; EU cloud 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NSS vs corporate partitions; STIG-approved module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Per-cloud-region KMS modules; tenant BYOK 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Northfield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vendor-held modules; contractual validation flow-down</w:t>
            </w:r>
          </w:p>
        </w:tc>
      </w:tr>
    </w:tbl>
    <w:p>
      <w:pPr>
        <w:pStyle w:val="BodyText"/>
      </w:pPr>
      <w:r>
        <w:t xml:space="preserve">GlobalSync extended the matrix with</w:t>
      </w:r>
      <w:r>
        <w:t xml:space="preserve"> </w:t>
      </w:r>
      <w:r>
        <w:rPr>
          <w:rStyle w:val="VerbatimChar"/>
          <w:bCs/>
          <w:b/>
        </w:rPr>
        <w:t xml:space="preserve">tenant_assurance_tier</w:t>
      </w:r>
      <w:r>
        <w:t xml:space="preserve"> </w:t>
      </w:r>
      <w:r>
        <w:t xml:space="preserve">— linking validation requirements to customer contract tiers (§18.15).</w:t>
      </w:r>
    </w:p>
    <w:p>
      <w:pPr>
        <w:pStyle w:val="BlockText"/>
      </w:pPr>
      <w:r>
        <w:rPr>
          <w:bCs/>
          <w:b/>
        </w:rPr>
        <w:t xml:space="preserve">Dependency Alert</w:t>
      </w:r>
    </w:p>
    <w:p>
      <w:pPr>
        <w:pStyle w:val="BlockText"/>
      </w:pPr>
      <w:r>
        <w:rPr>
          <w:bCs/>
          <w:b/>
        </w:rPr>
        <w:t xml:space="preserve">A closed gap on the corporate HSM row does not close gaps on the payment HSM row.</w:t>
      </w:r>
      <w:r>
        <w:t xml:space="preserve"> </w:t>
      </w:r>
      <w:r>
        <w:t xml:space="preserve">Validation is per module, per operational environment. CDG fan-in from a single blocking node (Meridian’s firmware signing chain) can hold dozens of dependent systems on one open matrix row. Assure the blocking node first; do not aggregate status across unrelated modules.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the-test-category-matrix"/>
    <w:p>
      <w:pPr>
        <w:pStyle w:val="Heading2"/>
      </w:pPr>
      <w:r>
        <w:t xml:space="preserve">18.4 The Test Category Matrix</w:t>
      </w:r>
    </w:p>
    <w:p>
      <w:pPr>
        <w:pStyle w:val="FirstParagraph"/>
      </w:pPr>
      <w:r>
        <w:t xml:space="preserve">Validation certificates prove module integrity.</w:t>
      </w:r>
      <w:r>
        <w:t xml:space="preserve"> </w:t>
      </w:r>
      <w:r>
        <w:rPr>
          <w:bCs/>
          <w:b/>
        </w:rPr>
        <w:t xml:space="preserve">Enterprise testing</w:t>
      </w:r>
      <w:r>
        <w:t xml:space="preserve"> </w:t>
      </w:r>
      <w:r>
        <w:t xml:space="preserve">proves the estate operates correctly under policy. Chapter 18 defines four test categories — functional, interoperability, performance, and security — each with distinct owners, environments, and evidence artefacts.</w:t>
      </w:r>
    </w:p>
    <w:p>
      <w:pPr>
        <w:pStyle w:val="BodyText"/>
      </w:pPr>
      <w:r>
        <w:rPr>
          <w:bCs/>
          <w:b/>
        </w:rPr>
        <w:t xml:space="preserve">Table 18.2 — Test Category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42"/>
        <w:gridCol w:w="2416"/>
        <w:gridCol w:w="1745"/>
        <w:gridCol w:w="939"/>
        <w:gridCol w:w="1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system perform crypto operations correctly per policy profile?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CI, lab, pre-prod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SDLC merge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Interoperability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peers agree on algorithms, formats, and certificate chains?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Staging, partner testbed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/ partner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promotion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PQC sizes and latency meet SLOs under load?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lab, canary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adversaries break, downgrade, or misuse crypto controls?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 test, red team, fuzz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/ annual gate</w:t>
            </w:r>
          </w:p>
        </w:tc>
      </w:tr>
    </w:tbl>
    <w:bookmarkStart w:id="31" w:name="functional-testing"/>
    <w:p>
      <w:pPr>
        <w:pStyle w:val="Heading3"/>
      </w:pPr>
      <w:r>
        <w:t xml:space="preserve">18.4.1 Functional testing</w:t>
      </w:r>
    </w:p>
    <w:p>
      <w:pPr>
        <w:pStyle w:val="FirstParagraph"/>
      </w:pPr>
      <w:r>
        <w:t xml:space="preserve">Functional testing verifies</w:t>
      </w:r>
      <w:r>
        <w:t xml:space="preserve"> </w:t>
      </w:r>
      <w:r>
        <w:rPr>
          <w:bCs/>
          <w:b/>
        </w:rPr>
        <w:t xml:space="preserve">correctness</w:t>
      </w:r>
      <w:r>
        <w:t xml:space="preserve"> </w:t>
      </w:r>
      <w:r>
        <w:t xml:space="preserve">— the right algorithm, parameter set, and key handle produce expected outputs. It is the operational expression of Chapter 10’s enterprise test harness.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54"/>
        <w:gridCol w:w="1498"/>
        <w:gridCol w:w="40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artefact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round-trip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Sign/verify, encaps/decaps per policy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Harness JSON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path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profile uses FIPS provider not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audit + 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Generate, wrap, rotate in HSM 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Ceremony log + 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 on substitution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Config-only algorithm change passes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Substitution drill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disallowed algorithms at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Harness failure-injection log</w:t>
            </w:r>
          </w:p>
        </w:tc>
      </w:tr>
    </w:tbl>
    <w:p>
      <w:pPr>
        <w:pStyle w:val="BodyText"/>
      </w:pPr>
      <w:r>
        <w:rPr>
          <w:bCs/>
          <w:b/>
        </w:rPr>
        <w:t xml:space="preserve">GlobalSync</w:t>
      </w:r>
      <w:r>
        <w:t xml:space="preserve"> </w:t>
      </w:r>
      <w:r>
        <w:t xml:space="preserve">ran functional tests on every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for in-scope services — twelve-minute pipeline stage.</w:t>
      </w:r>
      <w:r>
        <w:t xml:space="preserve"> </w:t>
      </w:r>
      <w:r>
        <w:rPr>
          <w:bCs/>
          <w:b/>
        </w:rPr>
        <w:t xml:space="preserve">Meridian</w:t>
      </w:r>
      <w:r>
        <w:t xml:space="preserve"> </w:t>
      </w:r>
      <w:r>
        <w:t xml:space="preserve">required functional harness pass attached to DORA change tickets for ICT systems supporting critical functions.</w:t>
      </w:r>
    </w:p>
    <w:p>
      <w:pPr>
        <w:pStyle w:val="BodyText"/>
      </w:pPr>
      <w:r>
        <w:t xml:space="preserve">Functional tests use</w:t>
      </w:r>
      <w:r>
        <w:t xml:space="preserve"> </w:t>
      </w:r>
      <w:r>
        <w:rPr>
          <w:bCs/>
          <w:b/>
        </w:rPr>
        <w:t xml:space="preserve">NIST CAVP test vectors</w:t>
      </w:r>
      <w:r>
        <w:t xml:space="preserve"> </w:t>
      </w:r>
      <w:r>
        <w:t xml:space="preserve">where available, plus enterprise-generated vectors for integration-specific formats (CMS profiles, custom firmware envelopes).</w:t>
      </w:r>
    </w:p>
    <w:bookmarkEnd w:id="31"/>
    <w:bookmarkStart w:id="32" w:name="interoperability-testing"/>
    <w:p>
      <w:pPr>
        <w:pStyle w:val="Heading3"/>
      </w:pPr>
      <w:r>
        <w:t xml:space="preserve">18.4.2 Interoperability testing</w:t>
      </w:r>
    </w:p>
    <w:p>
      <w:pPr>
        <w:pStyle w:val="FirstParagraph"/>
      </w:pPr>
      <w:r>
        <w:t xml:space="preserve">Interoperability testing verifies</w:t>
      </w:r>
      <w:r>
        <w:t xml:space="preserve"> </w:t>
      </w:r>
      <w:r>
        <w:rPr>
          <w:bCs/>
          <w:b/>
        </w:rPr>
        <w:t xml:space="preserve">agreement between parties</w:t>
      </w:r>
      <w:r>
        <w:t xml:space="preserve"> </w:t>
      </w:r>
      <w:r>
        <w:t xml:space="preserve">— TLS handshakes with partners, certificate chain acceptance, firmware signature verification on devices, API gateway cipher negotiation.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89"/>
        <w:gridCol w:w="1584"/>
        <w:gridCol w:w="38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TLS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partner profiles × M local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Handshake size limit exceeded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PKI chain 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ML-DSA cert to trust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critical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dual-sign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fleet verifies both signatures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device rejects PQC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Cross-cloud KMS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 in region A, unwrap in region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module certificates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S/MIME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CMS with external 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downgrade</w:t>
            </w:r>
          </w:p>
        </w:tc>
      </w:tr>
    </w:tbl>
    <w:p>
      <w:pPr>
        <w:pStyle w:val="BodyText"/>
      </w:pPr>
      <w:r>
        <w:t xml:space="preserve">Chapter 12’s protocol transition guidance and Chapter 13’s PKI overlap strategy define</w:t>
      </w:r>
      <w:r>
        <w:t xml:space="preserve"> </w:t>
      </w:r>
      <w:r>
        <w:rPr>
          <w:bCs/>
          <w:b/>
        </w:rPr>
        <w:t xml:space="preserve">what</w:t>
      </w:r>
      <w:r>
        <w:t xml:space="preserve"> </w:t>
      </w:r>
      <w:r>
        <w:t xml:space="preserve">to test. Chapter 18 defines</w:t>
      </w:r>
      <w:r>
        <w:t xml:space="preserve"> </w:t>
      </w:r>
      <w:r>
        <w:rPr>
          <w:bCs/>
          <w:b/>
        </w:rPr>
        <w:t xml:space="preserve">how to evidence</w:t>
      </w:r>
      <w:r>
        <w:t xml:space="preserve"> </w:t>
      </w:r>
      <w:r>
        <w:t xml:space="preserve">it: partner test logs, signed interoperability statements, and versioned test matrices stored in the GRC repository.</w:t>
      </w:r>
    </w:p>
    <w:p>
      <w:pPr>
        <w:pStyle w:val="BodyText"/>
      </w:pPr>
      <w:r>
        <w:t xml:space="preserve">Apex required</w:t>
      </w:r>
      <w:r>
        <w:t xml:space="preserve"> </w:t>
      </w:r>
      <w:r>
        <w:rPr>
          <w:bCs/>
          <w:b/>
        </w:rPr>
        <w:t xml:space="preserve">bilateral interoperability packets</w:t>
      </w:r>
      <w:r>
        <w:t xml:space="preserve"> </w:t>
      </w:r>
      <w:r>
        <w:t xml:space="preserve">for each federal integrator — signed PDF listing tested algorithm combinations, module certificate IDs, and test dates. Integrators reused packets across subcontracts, reducing repeated test cycles.</w:t>
      </w:r>
    </w:p>
    <w:bookmarkEnd w:id="32"/>
    <w:bookmarkStart w:id="33" w:name="performance-testing"/>
    <w:p>
      <w:pPr>
        <w:pStyle w:val="Heading3"/>
      </w:pPr>
      <w:r>
        <w:t xml:space="preserve">18.4.3 Performance testing</w:t>
      </w:r>
    </w:p>
    <w:p>
      <w:pPr>
        <w:pStyle w:val="FirstParagraph"/>
      </w:pPr>
      <w:r>
        <w:t xml:space="preserve">PQC increases handshake sizes, signature bytes, and CPU cost. Performance testing verifies</w:t>
      </w:r>
      <w:r>
        <w:t xml:space="preserve"> </w:t>
      </w:r>
      <w:r>
        <w:rPr>
          <w:bCs/>
          <w:b/>
        </w:rPr>
        <w:t xml:space="preserve">operational acceptability</w:t>
      </w:r>
      <w:r>
        <w:t xml:space="preserve"> </w:t>
      </w:r>
      <w:r>
        <w:t xml:space="preserve">under realistic load — not micro-benchmark optimism.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5091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threshold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 handshake p99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baseline + 30% for H1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SRE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ML-DSA signing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minimum batch window 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HSM partition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count within 80%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HSM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payload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gateway limits with PQC 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 firmware verify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boot window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engineering</w:t>
            </w:r>
          </w:p>
        </w:tc>
      </w:tr>
    </w:tbl>
    <w:p>
      <w:pPr>
        <w:pStyle w:val="BodyText"/>
      </w:pPr>
      <w:r>
        <w:t xml:space="preserve">GlobalSync set</w:t>
      </w:r>
      <w:r>
        <w:t xml:space="preserve"> </w:t>
      </w:r>
      <w:r>
        <w:rPr>
          <w:bCs/>
          <w:b/>
        </w:rPr>
        <w:t xml:space="preserve">warning thresholds</w:t>
      </w:r>
      <w:r>
        <w:t xml:space="preserve"> </w:t>
      </w:r>
      <w:r>
        <w:t xml:space="preserve">at 25% latency regression (Chapter 10); performance tests in staging triggered architecture decision records before production. Meridian’s payment path required</w:t>
      </w:r>
      <w:r>
        <w:t xml:space="preserve"> </w:t>
      </w:r>
      <w:r>
        <w:rPr>
          <w:bCs/>
          <w:b/>
        </w:rPr>
        <w:t xml:space="preserve">HSM throughput proof</w:t>
      </w:r>
      <w:r>
        <w:t xml:space="preserve"> </w:t>
      </w:r>
      <w:r>
        <w:t xml:space="preserve">on target firmware before dual-signature H1 — vendor lab report plus internal confirmation.</w:t>
      </w:r>
    </w:p>
    <w:p>
      <w:pPr>
        <w:pStyle w:val="BodyText"/>
      </w:pPr>
      <w:r>
        <w:t xml:space="preserve">Performance testing is not a one-time gate.</w:t>
      </w:r>
      <w:r>
        <w:t xml:space="preserve"> </w:t>
      </w:r>
      <w:r>
        <w:rPr>
          <w:bCs/>
          <w:b/>
        </w:rPr>
        <w:t xml:space="preserve">Annual re-baseline</w:t>
      </w:r>
      <w:r>
        <w:t xml:space="preserve"> </w:t>
      </w:r>
      <w:r>
        <w:t xml:space="preserve">captures firmware drift, traffic growth, and certificate size changes as ML-DSA chains deepen.</w:t>
      </w:r>
    </w:p>
    <w:bookmarkEnd w:id="33"/>
    <w:bookmarkStart w:id="34" w:name="security-testing"/>
    <w:p>
      <w:pPr>
        <w:pStyle w:val="Heading3"/>
      </w:pPr>
      <w:r>
        <w:t xml:space="preserve">18.4.4 Security testing</w:t>
      </w:r>
    </w:p>
    <w:p>
      <w:pPr>
        <w:pStyle w:val="FirstParagraph"/>
      </w:pPr>
      <w:r>
        <w:t xml:space="preserve">Security testing verifies</w:t>
      </w:r>
      <w:r>
        <w:t xml:space="preserve"> </w:t>
      </w:r>
      <w:r>
        <w:rPr>
          <w:bCs/>
          <w:b/>
        </w:rPr>
        <w:t xml:space="preserve">resilience against adversarial behaviour</w:t>
      </w:r>
      <w:r>
        <w:t xml:space="preserve"> </w:t>
      </w:r>
      <w:r>
        <w:t xml:space="preserve">— downgrade attacks, misconfiguration exploitation, key extraction attempts, and protocol confusion. It encompasses penetration testing, red team exercises, and cryptographic fuzzing.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77"/>
        <w:gridCol w:w="1131"/>
        <w:gridCol w:w="50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Differs from functional how?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Penetration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attack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Adversary methodology, chained exploits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Objective-based campaign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detection and response, not just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 fuzzing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 and negotiation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Malformed inputs, edge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Downgrade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classical-only when policy requires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enforcement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custody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KMS IAM, HSM access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key extraction success</w:t>
            </w:r>
          </w:p>
        </w:tc>
      </w:tr>
    </w:tbl>
    <w:p>
      <w:pPr>
        <w:pStyle w:val="BodyText"/>
      </w:pPr>
      <w:r>
        <w:t xml:space="preserve">Section 18.10 develops security testing and red team considerations for cryptography specifically.</w:t>
      </w:r>
    </w:p>
    <w:bookmarkEnd w:id="34"/>
    <w:bookmarkStart w:id="35" w:name="test-category-integration-matrix"/>
    <w:p>
      <w:pPr>
        <w:pStyle w:val="Heading3"/>
      </w:pPr>
      <w:r>
        <w:t xml:space="preserve">18.4.5 Test category integration matrix</w:t>
      </w:r>
    </w:p>
    <w:p>
      <w:pPr>
        <w:pStyle w:val="FirstParagraph"/>
      </w:pPr>
      <w:r>
        <w:rPr>
          <w:bCs/>
          <w:b/>
        </w:rPr>
        <w:t xml:space="preserve">Table 18.3 — Test Category × Programme Phase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3"/>
        <w:gridCol w:w="1357"/>
        <w:gridCol w:w="2036"/>
        <w:gridCol w:w="1470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Programme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Interoperability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/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Selective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fuzz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partner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 test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re-test on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Canary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pen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H2/H3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migration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team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examination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partner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remediation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building-the-validation-programme-plan"/>
    <w:p>
      <w:pPr>
        <w:pStyle w:val="Heading2"/>
      </w:pPr>
      <w:r>
        <w:t xml:space="preserve">18.5 Building the Validation Programme Plan</w:t>
      </w:r>
    </w:p>
    <w:p>
      <w:pPr>
        <w:pStyle w:val="FirstParagraph"/>
      </w:pPr>
      <w:r>
        <w:t xml:space="preserve">Assurance requires a</w:t>
      </w:r>
      <w:r>
        <w:t xml:space="preserve"> </w:t>
      </w:r>
      <w:r>
        <w:rPr>
          <w:bCs/>
          <w:b/>
        </w:rPr>
        <w:t xml:space="preserve">programme plan</w:t>
      </w:r>
      <w:r>
        <w:t xml:space="preserve"> </w:t>
      </w:r>
      <w:r>
        <w:t xml:space="preserve">— not ad hoc test activity. The plan links validation matrices, test categories, owners, and calendar to wave milestones.</w:t>
      </w:r>
    </w:p>
    <w:bookmarkStart w:id="37" w:name="plan-components"/>
    <w:p>
      <w:pPr>
        <w:pStyle w:val="Heading3"/>
      </w:pPr>
      <w:r>
        <w:t xml:space="preserve">18.5.1 Plan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48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classes, regions, classification zones in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CMVP certificates with expiry and succession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matrix per wave; environments; tooling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Harness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gates, profile manifest, artefact storage (Chapter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 test 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Bilateral schedules, escalation for blocking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assessment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 test, red team, fuzz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GRC system structure, retention, integrity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engineering, assurance, operations,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Dependency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18.1 — validation gates on CDG critical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matrix gaps &gt; 90 days → steering committee</w:t>
            </w:r>
          </w:p>
        </w:tc>
      </w:tr>
    </w:tbl>
    <w:bookmarkEnd w:id="37"/>
    <w:bookmarkStart w:id="38" w:name="integration-with-programme-governance"/>
    <w:p>
      <w:pPr>
        <w:pStyle w:val="Heading3"/>
      </w:pPr>
      <w:r>
        <w:t xml:space="preserve">18.5.2 Integration with programme governance</w:t>
      </w:r>
    </w:p>
    <w:p>
      <w:pPr>
        <w:pStyle w:val="FirstParagraph"/>
      </w:pPr>
      <w:r>
        <w:t xml:space="preserve">Chapter 15’s steering committee receives</w:t>
      </w:r>
      <w:r>
        <w:t xml:space="preserve"> </w:t>
      </w:r>
      <w:r>
        <w:rPr>
          <w:bCs/>
          <w:b/>
        </w:rPr>
        <w:t xml:space="preserve">quarterly assurance dashboards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64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(illustrative)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validation gaps (production-critical)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Trending down; zero surprise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 coverage (% in-scope services)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 Wave 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Interop test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180 days for Tier 1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 test crypto findings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critical &gt;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artefact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for regulated paths</w:t>
            </w:r>
          </w:p>
        </w:tc>
      </w:tr>
    </w:tbl>
    <w:p>
      <w:pPr>
        <w:pStyle w:val="BodyText"/>
      </w:pPr>
      <w:r>
        <w:t xml:space="preserve">Assurance KPIs feed the same dashboard as wave burn-down (Chapter 9) — preventing assurance from becoming a parallel reporting silo Priya’s team almost created before consolidation under the PQC programme office.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cmmc-cryptographic-assurance-context"/>
    <w:p>
      <w:pPr>
        <w:pStyle w:val="Heading2"/>
      </w:pPr>
      <w:r>
        <w:t xml:space="preserve">18.6 CMMC Cryptographic Assurance Context</w:t>
      </w:r>
    </w:p>
    <w:p>
      <w:pPr>
        <w:pStyle w:val="FirstParagraph"/>
      </w:pPr>
      <w:r>
        <w:rPr>
          <w:bCs/>
          <w:b/>
        </w:rPr>
        <w:t xml:space="preserve">Cybersecurity Maturity Model Certification (CMMC)</w:t>
      </w:r>
      <w:r>
        <w:t xml:space="preserve"> </w:t>
      </w:r>
      <w:r>
        <w:t xml:space="preserve">assesses defence contractors’ implementation of NIST SP 800-171 and, for Level 3, SP 800-172 controls. Cryptographic controls appear across access control, identification and authentication, system and communications protection, and media protection families.</w:t>
      </w:r>
    </w:p>
    <w:bookmarkStart w:id="40" w:name="what-cmmc-assessors-evaluate"/>
    <w:p>
      <w:pPr>
        <w:pStyle w:val="Heading3"/>
      </w:pPr>
      <w:r>
        <w:t xml:space="preserve">18.6.1 What CMMC assessors evaluate</w:t>
      </w:r>
    </w:p>
    <w:p>
      <w:pPr>
        <w:pStyle w:val="FirstParagraph"/>
      </w:pPr>
      <w:r>
        <w:t xml:space="preserve">CMMC assessors do not ask</w:t>
      </w:r>
      <w:r>
        <w:t xml:space="preserve"> </w:t>
      </w:r>
      <w:r>
        <w:t xml:space="preserve">“</w:t>
      </w:r>
      <w:r>
        <w:t xml:space="preserve">Are you post-quantum?</w:t>
      </w:r>
      <w:r>
        <w:t xml:space="preserve">”</w:t>
      </w:r>
      <w:r>
        <w:t xml:space="preserve"> </w:t>
      </w:r>
      <w:r>
        <w:t xml:space="preserve">in 2028 — they ask whether</w:t>
      </w:r>
      <w:r>
        <w:t xml:space="preserve"> </w:t>
      </w:r>
      <w:r>
        <w:rPr>
          <w:bCs/>
          <w:b/>
        </w:rPr>
        <w:t xml:space="preserve">current cryptographic controls</w:t>
      </w:r>
      <w:r>
        <w:t xml:space="preserve"> </w:t>
      </w:r>
      <w:r>
        <w:t xml:space="preserve">meet documented policy. After FIPS 203–205 publication and CNSA 2.0 influence, assessors increasingly expect</w:t>
      </w:r>
      <w:r>
        <w:t xml:space="preserve"> </w:t>
      </w:r>
      <w:r>
        <w:rPr>
          <w:bCs/>
          <w:b/>
        </w:rPr>
        <w:t xml:space="preserve">PQC planning evidence</w:t>
      </w:r>
      <w:r>
        <w:t xml:space="preserve"> </w:t>
      </w:r>
      <w:r>
        <w:t xml:space="preserve">for enterprises claiming state-of-the-art practice.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56"/>
        <w:gridCol w:w="3341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assessor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PQC-relevant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configuration standard?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policy; cipher suite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FIPS-validated modules?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CMVP certs; KMS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generation, storage, rotation documented?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Ceremony logs; HSM partition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Cryptographic module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FIPS 140 validated where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matrix; gap remediation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STIG or vendor guidance applied?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HSM STIG checklist; firmware version proof</w:t>
            </w:r>
          </w:p>
        </w:tc>
      </w:tr>
    </w:tbl>
    <w:bookmarkEnd w:id="40"/>
    <w:bookmarkStart w:id="41" w:name="cui-boundary-and-module-discipline"/>
    <w:p>
      <w:pPr>
        <w:pStyle w:val="Heading3"/>
      </w:pPr>
      <w:r>
        <w:t xml:space="preserve">18.6.2 CUI boundary and module discipline</w:t>
      </w:r>
    </w:p>
    <w:p>
      <w:pPr>
        <w:pStyle w:val="FirstParagraph"/>
      </w:pPr>
      <w:r>
        <w:rPr>
          <w:bCs/>
          <w:b/>
        </w:rPr>
        <w:t xml:space="preserve">Controlled Unclassified Information (CUI)</w:t>
      </w:r>
      <w:r>
        <w:t xml:space="preserve"> </w:t>
      </w:r>
      <w:r>
        <w:t xml:space="preserve">environments require FIPS-validated encryption for data at rest and in transit unless exempted by authorisation. Apex’s CMMC boundary encompassed engineering document repositories, export-controlled technical data, and programme management systems — not the classified NSS enclave, which falls under separate accreditation.</w:t>
      </w:r>
    </w:p>
    <w:p>
      <w:pPr>
        <w:pStyle w:val="BodyText"/>
      </w:pPr>
      <w:r>
        <w:t xml:space="preserve">The assurance mistake Apex avoided: deploying PQC in the CUI boundary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module validation completed. Instead, Apex documented: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Current state</w:t>
      </w:r>
      <w:r>
        <w:t xml:space="preserve"> </w:t>
      </w:r>
      <w:r>
        <w:t xml:space="preserve">— FIPS 140-2/140-3 classical modules, MET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Target state</w:t>
      </w:r>
      <w:r>
        <w:t xml:space="preserve"> </w:t>
      </w:r>
      <w:r>
        <w:t xml:space="preserve">— CNSA 2.0 algorithm suite in validated modules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Gap</w:t>
      </w:r>
      <w:r>
        <w:t xml:space="preserve"> </w:t>
      </w:r>
      <w:r>
        <w:t xml:space="preserve">— ML-DSA module pending; matrix row open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Compensating controls</w:t>
      </w:r>
      <w:r>
        <w:t xml:space="preserve"> </w:t>
      </w:r>
      <w:r>
        <w:t xml:space="preserve">— No CUI data in lab PQC paths; network segmentation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Timeline</w:t>
      </w:r>
      <w:r>
        <w:t xml:space="preserve"> </w:t>
      </w:r>
      <w:r>
        <w:t xml:space="preserve">— Validation dependency timeline with contract milestones</w:t>
      </w:r>
    </w:p>
    <w:p>
      <w:pPr>
        <w:pStyle w:val="FirstParagraph"/>
      </w:pPr>
      <w:r>
        <w:t xml:space="preserve">Assessors accept</w:t>
      </w:r>
      <w:r>
        <w:t xml:space="preserve"> </w:t>
      </w:r>
      <w:r>
        <w:rPr>
          <w:bCs/>
          <w:b/>
        </w:rPr>
        <w:t xml:space="preserve">honest gaps with credible plans</w:t>
      </w:r>
      <w:r>
        <w:t xml:space="preserve"> </w:t>
      </w:r>
      <w:r>
        <w:t xml:space="preserve">more readily than false production claims.</w:t>
      </w:r>
    </w:p>
    <w:bookmarkEnd w:id="41"/>
    <w:bookmarkStart w:id="42" w:name="X51bb72ff389cbc3f613d3a7ebeeb7f484eab665"/>
    <w:p>
      <w:pPr>
        <w:pStyle w:val="Heading3"/>
      </w:pPr>
      <w:r>
        <w:t xml:space="preserve">18.6.3 CMMC Level 2 versus Level 3 assurance depth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72"/>
        <w:gridCol w:w="3056"/>
        <w:gridCol w:w="38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Assurance expectation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PQC programme 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practices; C3PAO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matrix; test harness for CUI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Expert-led assessment; heightened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Deeper key custody evidence; supply-chain crypto (Chapter 17)</w:t>
            </w:r>
          </w:p>
        </w:tc>
      </w:tr>
    </w:tbl>
    <w:p>
      <w:pPr>
        <w:pStyle w:val="BodyText"/>
      </w:pPr>
      <w:r>
        <w:t xml:space="preserve">Apex’s Level 2 assessment covered corporate CUI.environments. NSS programmes maintained</w:t>
      </w:r>
      <w:r>
        <w:t xml:space="preserve"> </w:t>
      </w:r>
      <w:r>
        <w:rPr>
          <w:bCs/>
          <w:b/>
        </w:rPr>
        <w:t xml:space="preserve">separate accreditation packages</w:t>
      </w:r>
      <w:r>
        <w:t xml:space="preserve"> </w:t>
      </w:r>
      <w:r>
        <w:t xml:space="preserve">— evidence structures similar but assessor communities different. Priya’s team used a</w:t>
      </w:r>
      <w:r>
        <w:t xml:space="preserve"> </w:t>
      </w:r>
      <w:r>
        <w:rPr>
          <w:bCs/>
          <w:b/>
        </w:rPr>
        <w:t xml:space="preserve">shared evidence taxonomy</w:t>
      </w:r>
      <w:r>
        <w:t xml:space="preserve"> </w:t>
      </w:r>
      <w:r>
        <w:t xml:space="preserve">with zone-specific folders to prevent corporate CMMC artefacts from contaminating classified packages.</w:t>
      </w:r>
    </w:p>
    <w:p>
      <w:pPr>
        <w:pStyle w:val="BlockText"/>
      </w:pPr>
      <w:r>
        <w:rPr>
          <w:bCs/>
          <w:b/>
        </w:rPr>
        <w:t xml:space="preserve">Regulatory Lens</w:t>
      </w:r>
    </w:p>
    <w:p>
      <w:pPr>
        <w:pStyle w:val="BlockText"/>
      </w:pPr>
      <w:r>
        <w:rPr>
          <w:bCs/>
          <w:b/>
        </w:rPr>
        <w:t xml:space="preserve">CMMC assessors evaluate documented implementation, not roadmap ambition.</w:t>
      </w:r>
      <w:r>
        <w:t xml:space="preserve"> </w:t>
      </w:r>
      <w:r>
        <w:t xml:space="preserve">A PQC strategy slide without validation matrix, test results, and configuration baseline produces findings under configuration management and media protection controls. Apex’s MET rating reflected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FIPS compliance plus</w:t>
      </w:r>
      <w:r>
        <w:t xml:space="preserve"> </w:t>
      </w:r>
      <w:r>
        <w:rPr>
          <w:iCs/>
          <w:i/>
        </w:rPr>
        <w:t xml:space="preserve">documented</w:t>
      </w:r>
      <w:r>
        <w:t xml:space="preserve"> </w:t>
      </w:r>
      <w:r>
        <w:t xml:space="preserve">transition — not premature PQC production claims.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fedramp-cryptographic-assurance-context"/>
    <w:p>
      <w:pPr>
        <w:pStyle w:val="Heading2"/>
      </w:pPr>
      <w:r>
        <w:t xml:space="preserve">18.7 FedRAMP Cryptographic Assurance Context</w:t>
      </w:r>
    </w:p>
    <w:p>
      <w:pPr>
        <w:pStyle w:val="FirstParagraph"/>
      </w:pPr>
      <w:r>
        <w:rPr>
          <w:bCs/>
          <w:b/>
        </w:rPr>
        <w:t xml:space="preserve">FedRAMP</w:t>
      </w:r>
      <w:r>
        <w:t xml:space="preserve"> </w:t>
      </w:r>
      <w:r>
        <w:t xml:space="preserve">authorises cloud services for federal agency use. Cryptographic controls derive from NIST SP 800-53 — notably SC-12 (cryptographic key establishment and management), SC-13 (cryptographic protection), and related controls.</w:t>
      </w:r>
    </w:p>
    <w:bookmarkStart w:id="44" w:name="fedramp-and-fips-140-3"/>
    <w:p>
      <w:pPr>
        <w:pStyle w:val="Heading3"/>
      </w:pPr>
      <w:r>
        <w:t xml:space="preserve">18.7.1 FedRAMP and FIPS 140-3</w:t>
      </w:r>
    </w:p>
    <w:p>
      <w:pPr>
        <w:pStyle w:val="FirstParagraph"/>
      </w:pPr>
      <w:r>
        <w:t xml:space="preserve">FedRAMP authorisation packages document</w:t>
      </w:r>
      <w:r>
        <w:t xml:space="preserve"> </w:t>
      </w:r>
      <w:r>
        <w:rPr>
          <w:bCs/>
          <w:b/>
        </w:rPr>
        <w:t xml:space="preserve">FIPS 140-3 validated modules</w:t>
      </w:r>
      <w:r>
        <w:t xml:space="preserve"> </w:t>
      </w:r>
      <w:r>
        <w:t xml:space="preserve">used by the cloud service offering. Federal customers inherit provider validation for platform cryptography;</w:t>
      </w:r>
      <w:r>
        <w:t xml:space="preserve"> </w:t>
      </w:r>
      <w:r>
        <w:rPr>
          <w:bCs/>
          <w:b/>
        </w:rPr>
        <w:t xml:space="preserve">customer responsibility</w:t>
      </w:r>
      <w:r>
        <w:t xml:space="preserve"> </w:t>
      </w:r>
      <w:r>
        <w:t xml:space="preserve">remains for configuration, key custody, and application-layer crypto.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84"/>
        <w:gridCol w:w="1365"/>
        <w:gridCol w:w="43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(agency or contractor)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Underlying KMS/HSM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and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 FIPS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 termination on IaaS/PaaS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supported ciphers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Configures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own modules or uses provider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Executes rotation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 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Publishes engineering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to authorisation change</w:t>
            </w:r>
          </w:p>
        </w:tc>
      </w:tr>
    </w:tbl>
    <w:p>
      <w:pPr>
        <w:pStyle w:val="BodyText"/>
      </w:pPr>
      <w:r>
        <w:t xml:space="preserve">GlobalSync pursued FedRAMP authorisation for its</w:t>
      </w:r>
      <w:r>
        <w:t xml:space="preserve"> </w:t>
      </w:r>
      <w:r>
        <w:rPr>
          <w:bCs/>
          <w:b/>
        </w:rPr>
        <w:t xml:space="preserve">US sovereign region</w:t>
      </w:r>
      <w:r>
        <w:t xml:space="preserve"> </w:t>
      </w:r>
      <w:r>
        <w:t xml:space="preserve">— a programme distinct from EU GDPR operations. The authorisation package required</w:t>
      </w:r>
      <w:r>
        <w:t xml:space="preserve"> </w:t>
      </w:r>
      <w:r>
        <w:rPr>
          <w:bCs/>
          <w:b/>
        </w:rPr>
        <w:t xml:space="preserve">algorithm inventory</w:t>
      </w:r>
      <w:r>
        <w:t xml:space="preserve"> </w:t>
      </w:r>
      <w:r>
        <w:t xml:space="preserve">inside the FIPS boundary and a</w:t>
      </w:r>
      <w:r>
        <w:t xml:space="preserve"> </w:t>
      </w:r>
      <w:r>
        <w:rPr>
          <w:bCs/>
          <w:b/>
        </w:rPr>
        <w:t xml:space="preserve">transition plan</w:t>
      </w:r>
      <w:r>
        <w:t xml:space="preserve"> </w:t>
      </w:r>
      <w:r>
        <w:t xml:space="preserve">aligned to NIST IR 8547. GlobalSync’s validation matrix included</w:t>
      </w:r>
      <w:r>
        <w:t xml:space="preserve"> </w:t>
      </w:r>
      <w:r>
        <w:rPr>
          <w:rStyle w:val="VerbatimChar"/>
        </w:rPr>
        <w:t xml:space="preserve">fedramp_boundary</w:t>
      </w:r>
      <w:r>
        <w:t xml:space="preserve"> </w:t>
      </w:r>
      <w:r>
        <w:t xml:space="preserve">tags linking each module to authorisation package sections.</w:t>
      </w:r>
    </w:p>
    <w:bookmarkEnd w:id="44"/>
    <w:bookmarkStart w:id="45" w:name="authorisation-change-triggers"/>
    <w:p>
      <w:pPr>
        <w:pStyle w:val="Heading3"/>
      </w:pPr>
      <w:r>
        <w:t xml:space="preserve">18.7.2 Authorisation change triggers</w:t>
      </w:r>
    </w:p>
    <w:p>
      <w:pPr>
        <w:pStyle w:val="FirstParagraph"/>
      </w:pPr>
      <w:r>
        <w:t xml:space="preserve">PQC module upgrades are FedRAMP</w:t>
      </w:r>
      <w:r>
        <w:t xml:space="preserve"> </w:t>
      </w:r>
      <w:r>
        <w:rPr>
          <w:bCs/>
          <w:b/>
        </w:rPr>
        <w:t xml:space="preserve">significant changes</w:t>
      </w:r>
      <w:r>
        <w:t xml:space="preserve"> </w:t>
      </w:r>
      <w:r>
        <w:t xml:space="preserve">— requiring reassessment, updated crypto tables, and agency notification. Apex tracked</w:t>
      </w:r>
      <w:r>
        <w:t xml:space="preserve"> </w:t>
      </w:r>
      <w:r>
        <w:rPr>
          <w:bCs/>
          <w:b/>
        </w:rPr>
        <w:t xml:space="preserve">provider crypto change notifications</w:t>
      </w:r>
      <w:r>
        <w:t xml:space="preserve"> </w:t>
      </w:r>
      <w:r>
        <w:t xml:space="preserve">in its assurance calendar, feeding impact assessment when cloud modules gained PQC algorithms.</w:t>
      </w:r>
    </w:p>
    <w:bookmarkEnd w:id="45"/>
    <w:bookmarkStart w:id="46" w:name="contractor-flow-down"/>
    <w:p>
      <w:pPr>
        <w:pStyle w:val="Heading3"/>
      </w:pPr>
      <w:r>
        <w:t xml:space="preserve">18.7.3 Contractor flow-down</w:t>
      </w:r>
    </w:p>
    <w:p>
      <w:pPr>
        <w:pStyle w:val="FirstParagraph"/>
      </w:pPr>
      <w:r>
        <w:t xml:space="preserve">Defence contractors using FedRAMP-authorised cloud for CUI must trace</w:t>
      </w:r>
      <w:r>
        <w:t xml:space="preserve"> </w:t>
      </w:r>
      <w:r>
        <w:rPr>
          <w:bCs/>
          <w:b/>
        </w:rPr>
        <w:t xml:space="preserve">flow-down requirements</w:t>
      </w:r>
      <w:r>
        <w:t xml:space="preserve"> </w:t>
      </w:r>
      <w:r>
        <w:t xml:space="preserve">from DFARS, CMMC, and agency-specific clauses. The evidence chain:</w:t>
      </w:r>
    </w:p>
    <w:p>
      <w:pPr>
        <w:pStyle w:val="SourceCode"/>
      </w:pPr>
      <w:r>
        <w:rPr>
          <w:rStyle w:val="VerbatimChar"/>
        </w:rPr>
        <w:t xml:space="preserve">Agency mission need → FedRAMP auth package → Provider crypto table →</w:t>
      </w:r>
      <w:r>
        <w:br/>
      </w:r>
      <w:r>
        <w:rPr>
          <w:rStyle w:val="VerbatimChar"/>
        </w:rPr>
        <w:t xml:space="preserve">Customer responsibility matrix → Apex validation matrix → System config baseline</w:t>
      </w:r>
    </w:p>
    <w:p>
      <w:pPr>
        <w:pStyle w:val="FirstParagraph"/>
      </w:pPr>
      <w:r>
        <w:t xml:space="preserve">Breaks in this chain — using non-FIPS endpoints for CUI because they supported a pilot algorithm — produce assessment findings. Chapter 16’s contractual clauses operationalise flow-down; Chapter 18 evidences compliance.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dora-nis2-and-eu-assurance-expectations"/>
    <w:p>
      <w:pPr>
        <w:pStyle w:val="Heading2"/>
      </w:pPr>
      <w:r>
        <w:t xml:space="preserve">18.8 DORA, NIS2, and EU Assurance Expectations</w:t>
      </w:r>
    </w:p>
    <w:p>
      <w:pPr>
        <w:pStyle w:val="FirstParagraph"/>
      </w:pPr>
      <w:r>
        <w:t xml:space="preserve">European regulated entities face</w:t>
      </w:r>
      <w:r>
        <w:t xml:space="preserve"> </w:t>
      </w:r>
      <w:r>
        <w:rPr>
          <w:bCs/>
          <w:b/>
        </w:rPr>
        <w:t xml:space="preserve">outcome-based</w:t>
      </w:r>
      <w:r>
        <w:t xml:space="preserve"> </w:t>
      </w:r>
      <w:r>
        <w:t xml:space="preserve">cryptographic assurance — DORA and NIS2 do not mandate FIPS or CMVP by name, but require state-of-the-art technical measures and ICT risk management testing.</w:t>
      </w:r>
    </w:p>
    <w:bookmarkStart w:id="48" w:name="dora-testing-and-evidence"/>
    <w:p>
      <w:pPr>
        <w:pStyle w:val="Heading3"/>
      </w:pPr>
      <w:r>
        <w:t xml:space="preserve">18.8.1 DORA testing and evidence</w:t>
      </w:r>
    </w:p>
    <w:p>
      <w:pPr>
        <w:pStyle w:val="FirstParagraph"/>
      </w:pPr>
      <w:r>
        <w:t xml:space="preserve">DORA (Regulation 2022/2554) and RTS 2024/1532 require financial entities to maintain encryption policies responsive to cryptanalytic developments and to</w:t>
      </w:r>
      <w:r>
        <w:t xml:space="preserve"> </w:t>
      </w:r>
      <w:r>
        <w:rPr>
          <w:bCs/>
          <w:b/>
        </w:rPr>
        <w:t xml:space="preserve">test ICT systems</w:t>
      </w:r>
      <w:r>
        <w:t xml:space="preserve"> </w:t>
      </w:r>
      <w:r>
        <w:t xml:space="preserve">supporting critical or important functions.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52"/>
        <w:gridCol w:w="40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DORA expectation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Assurance artefact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Encryption policy current with threat landscape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standards matrix + horizon review (Chapter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ICT change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Harness results on production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Resilience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and failover tests including crypto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validation matrix rows (Chapter 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GRC repository with integrity controls</w:t>
            </w:r>
          </w:p>
        </w:tc>
      </w:tr>
    </w:tbl>
    <w:p>
      <w:pPr>
        <w:pStyle w:val="BodyText"/>
      </w:pPr>
      <w:r>
        <w:rPr>
          <w:bCs/>
          <w:b/>
        </w:rPr>
        <w:t xml:space="preserve">Meridian’s DORA testing evidence</w:t>
      </w:r>
      <w:r>
        <w:t xml:space="preserve"> </w:t>
      </w:r>
      <w:r>
        <w:t xml:space="preserve">is developed in §18.16 — Thomas Bergström’s team mapped test categories to RTS control language.</w:t>
      </w:r>
    </w:p>
    <w:p>
      <w:pPr>
        <w:pStyle w:val="BodyText"/>
      </w:pPr>
      <w:r>
        <w:t xml:space="preserve">NIS2 essential and important entities face parallel expectations: documented encryption measures, supply-chain oversight, and evidence that controls work in practice. National competent authorities differ in examination style, but convergence on</w:t>
      </w:r>
      <w:r>
        <w:t xml:space="preserve"> </w:t>
      </w:r>
      <w:r>
        <w:rPr>
          <w:bCs/>
          <w:b/>
        </w:rPr>
        <w:t xml:space="preserve">tested cryptographic governance</w:t>
      </w:r>
      <w:r>
        <w:t xml:space="preserve"> </w:t>
      </w:r>
      <w:r>
        <w:t xml:space="preserve">— interoperability results, pen test closure, vendor validation gaps — mirrors the artefact sets CMMC and FedRAMP already demand. European enterprises should maintain one evidence taxonomy serving DORA, NIS2, and ISO 27001 audits rather than rebuilding packages per framework.</w:t>
      </w:r>
    </w:p>
    <w:p>
      <w:pPr>
        <w:pStyle w:val="BlockText"/>
      </w:pPr>
      <w:r>
        <w:rPr>
          <w:bCs/>
          <w:b/>
        </w:rPr>
        <w:t xml:space="preserve">Regulatory Lens</w:t>
      </w:r>
    </w:p>
    <w:p>
      <w:pPr>
        <w:pStyle w:val="BlockText"/>
      </w:pPr>
      <w:r>
        <w:rPr>
          <w:bCs/>
          <w:b/>
        </w:rPr>
        <w:t xml:space="preserve">DORA does not cite ML-KEM — it cites resilience.</w:t>
      </w:r>
      <w:r>
        <w:t xml:space="preserve"> </w:t>
      </w:r>
      <w:r>
        <w:t xml:space="preserve">Supervisors evaluate whether the institution can change cryptography without uncontrolled failure. Chapter 10 agility NFRs plus Chapter 18 test evidence demonstrate that capability more persuasively than algorithm name-checks in policy prose.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enterprise-test-harness-integration"/>
    <w:p>
      <w:pPr>
        <w:pStyle w:val="Heading2"/>
      </w:pPr>
      <w:r>
        <w:t xml:space="preserve">18.9 Enterprise Test Harness Integration</w:t>
      </w:r>
    </w:p>
    <w:p>
      <w:pPr>
        <w:pStyle w:val="FirstParagraph"/>
      </w:pPr>
      <w:r>
        <w:t xml:space="preserve">Chapter 10 defined the</w:t>
      </w:r>
      <w:r>
        <w:t xml:space="preserve"> </w:t>
      </w:r>
      <w:r>
        <w:rPr>
          <w:bCs/>
          <w:b/>
        </w:rPr>
        <w:t xml:space="preserve">enterprise crypto agility test harness</w:t>
      </w:r>
      <w:r>
        <w:t xml:space="preserve"> </w:t>
      </w:r>
      <w:r>
        <w:t xml:space="preserve">— profile matrix runner, round-trip tests, negotiation simulator, validation module check, and failure injection. Chapter 18 positions the harness as the</w:t>
      </w:r>
      <w:r>
        <w:t xml:space="preserve"> </w:t>
      </w:r>
      <w:r>
        <w:rPr>
          <w:bCs/>
          <w:b/>
        </w:rPr>
        <w:t xml:space="preserve">functional testing backbone</w:t>
      </w:r>
      <w:r>
        <w:t xml:space="preserve"> </w:t>
      </w:r>
      <w:r>
        <w:t xml:space="preserve">of the assurance programme.</w:t>
      </w:r>
    </w:p>
    <w:bookmarkStart w:id="50" w:name="harness-to-assurance-mapping"/>
    <w:p>
      <w:pPr>
        <w:pStyle w:val="Heading3"/>
      </w:pPr>
      <w:r>
        <w:t xml:space="preserve">18.9.1 Harness-to-assurance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24"/>
        <w:gridCol w:w="2013"/>
        <w:gridCol w:w="22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Harness component (Ch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matrix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harness-report-{build}.json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module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+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CMVP ID match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Negotiation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Interoperability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handshake transcript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regression 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(lightweight)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Downgrade rejection proof</w:t>
            </w:r>
          </w:p>
        </w:tc>
      </w:tr>
    </w:tbl>
    <w:bookmarkEnd w:id="50"/>
    <w:bookmarkStart w:id="51" w:name="production-promotion-gate"/>
    <w:p>
      <w:pPr>
        <w:pStyle w:val="Heading3"/>
      </w:pPr>
      <w:r>
        <w:t xml:space="preserve">18.9.2 Production promotion gate</w:t>
      </w:r>
    </w:p>
    <w:p>
      <w:pPr>
        <w:pStyle w:val="FirstParagraph"/>
      </w:pPr>
      <w:r>
        <w:t xml:space="preserve">GlobalSync’s CI/CD pipeline (Chapter 17) enforced:</w:t>
      </w:r>
    </w:p>
    <w:p>
      <w:pPr>
        <w:pStyle w:val="SourceCode"/>
      </w:pPr>
      <w:r>
        <w:rPr>
          <w:rStyle w:val="VerbatimChar"/>
        </w:rPr>
        <w:t xml:space="preserve">Code merge → Unit tests → crypto-agility-verify → Integration tests →</w:t>
      </w:r>
      <w:r>
        <w:br/>
      </w:r>
      <w:r>
        <w:rPr>
          <w:rStyle w:val="VerbatimChar"/>
        </w:rPr>
        <w:t xml:space="preserve">Security scan → Staging deploy → Interop smoke → Production canary</w:t>
      </w:r>
    </w:p>
    <w:p>
      <w:pPr>
        <w:pStyle w:val="FirstParagraph"/>
      </w:pPr>
      <w:r>
        <w:t xml:space="preserve">A failed</w:t>
      </w:r>
      <w:r>
        <w:t xml:space="preserve"> </w:t>
      </w:r>
      <w:r>
        <w:rPr>
          <w:rStyle w:val="VerbatimChar"/>
        </w:rPr>
        <w:t xml:space="preserve">crypto-agility-verify</w:t>
      </w:r>
      <w:r>
        <w:t xml:space="preserve"> </w:t>
      </w:r>
      <w:r>
        <w:t xml:space="preserve">stage blocked merge —</w:t>
      </w:r>
      <w:r>
        <w:t xml:space="preserve"> </w:t>
      </w:r>
      <w:r>
        <w:rPr>
          <w:bCs/>
          <w:b/>
        </w:rPr>
        <w:t xml:space="preserve">non-bypassable</w:t>
      </w:r>
      <w:r>
        <w:t xml:space="preserve"> </w:t>
      </w:r>
      <w:r>
        <w:t xml:space="preserve">except by CISO risk acceptance with 30-day expiry. Meridian attached harness PDF summaries to change records; supervisors reviewed samples during thematic reviews.</w:t>
      </w:r>
    </w:p>
    <w:bookmarkEnd w:id="51"/>
    <w:bookmarkStart w:id="52" w:name="harness-limitations"/>
    <w:p>
      <w:pPr>
        <w:pStyle w:val="Heading3"/>
      </w:pPr>
      <w:r>
        <w:t xml:space="preserve">18.9.3 Harness limitations</w:t>
      </w:r>
    </w:p>
    <w:p>
      <w:pPr>
        <w:pStyle w:val="FirstParagraph"/>
      </w:pPr>
      <w:r>
        <w:t xml:space="preserve">The harness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replace:</w:t>
      </w:r>
    </w:p>
    <w:p>
      <w:pPr>
        <w:numPr>
          <w:ilvl w:val="0"/>
          <w:numId w:val="1003"/>
        </w:numPr>
        <w:pStyle w:val="Compact"/>
      </w:pPr>
      <w:r>
        <w:t xml:space="preserve">HSM hardware integration tests (require lab appliances)</w:t>
      </w:r>
    </w:p>
    <w:p>
      <w:pPr>
        <w:numPr>
          <w:ilvl w:val="0"/>
          <w:numId w:val="1003"/>
        </w:numPr>
        <w:pStyle w:val="Compact"/>
      </w:pPr>
      <w:r>
        <w:t xml:space="preserve">Partner bilateral interoperability (require partner participation)</w:t>
      </w:r>
    </w:p>
    <w:p>
      <w:pPr>
        <w:numPr>
          <w:ilvl w:val="0"/>
          <w:numId w:val="1003"/>
        </w:numPr>
        <w:pStyle w:val="Compact"/>
      </w:pPr>
      <w:r>
        <w:t xml:space="preserve">Penetration testing (require adversarial methodology)</w:t>
      </w:r>
    </w:p>
    <w:p>
      <w:pPr>
        <w:numPr>
          <w:ilvl w:val="0"/>
          <w:numId w:val="1003"/>
        </w:numPr>
        <w:pStyle w:val="Compact"/>
      </w:pPr>
      <w:r>
        <w:t xml:space="preserve">Formal module validation (vendor CMVP process)</w:t>
      </w:r>
    </w:p>
    <w:p>
      <w:pPr>
        <w:pStyle w:val="FirstParagraph"/>
      </w:pPr>
      <w:r>
        <w:t xml:space="preserve">Programme offices document harness</w:t>
      </w:r>
      <w:r>
        <w:t xml:space="preserve"> </w:t>
      </w:r>
      <w:r>
        <w:rPr>
          <w:bCs/>
          <w:b/>
        </w:rPr>
        <w:t xml:space="preserve">scope boundaries</w:t>
      </w:r>
      <w:r>
        <w:t xml:space="preserve"> </w:t>
      </w:r>
      <w:r>
        <w:t xml:space="preserve">in the validation plan to prevent false confidence —</w:t>
      </w:r>
      <w:r>
        <w:t xml:space="preserve"> </w:t>
      </w:r>
      <w:r>
        <w:t xml:space="preserve">“</w:t>
      </w:r>
      <w:r>
        <w:t xml:space="preserve">harness green</w:t>
      </w:r>
      <w:r>
        <w:t xml:space="preserve">”</w:t>
      </w:r>
      <w:r>
        <w:t xml:space="preserve"> </w:t>
      </w:r>
      <w:r>
        <w:t xml:space="preserve">does not mean</w:t>
      </w:r>
      <w:r>
        <w:t xml:space="preserve"> </w:t>
      </w:r>
      <w:r>
        <w:t xml:space="preserve">“</w:t>
      </w:r>
      <w:r>
        <w:t xml:space="preserve">CMMC crypto family complete.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hsm-and-kms-validation-assessment"/>
    <w:p>
      <w:pPr>
        <w:pStyle w:val="Heading2"/>
      </w:pPr>
      <w:r>
        <w:t xml:space="preserve">18.10 HSM and KMS Validation Assessment</w:t>
      </w:r>
    </w:p>
    <w:p>
      <w:pPr>
        <w:pStyle w:val="FirstParagraph"/>
      </w:pPr>
      <w:r>
        <w:t xml:space="preserve">Chapter 14’s</w:t>
      </w:r>
      <w:r>
        <w:t xml:space="preserve"> </w:t>
      </w:r>
      <w:r>
        <w:rPr>
          <w:bCs/>
          <w:b/>
        </w:rPr>
        <w:t xml:space="preserve">HSM/KMS capability assessment matrix</w:t>
      </w:r>
      <w:r>
        <w:t xml:space="preserve"> </w:t>
      </w:r>
      <w:r>
        <w:t xml:space="preserve">(Table 14.1) scores platforms against PQC readiness. Chapter 18 converts scores into</w:t>
      </w:r>
      <w:r>
        <w:t xml:space="preserve"> </w:t>
      </w:r>
      <w:r>
        <w:rPr>
          <w:bCs/>
          <w:b/>
        </w:rPr>
        <w:t xml:space="preserve">assurance gates</w:t>
      </w:r>
      <w:r>
        <w:t xml:space="preserve">.</w:t>
      </w:r>
    </w:p>
    <w:bookmarkStart w:id="54" w:name="assessment-to-gate-mapping"/>
    <w:p>
      <w:pPr>
        <w:pStyle w:val="Heading3"/>
      </w:pPr>
      <w:r>
        <w:t xml:space="preserve">18.10.1 Assessment-to-gate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 14.1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Assurance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— No PQC 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lab pilot beyond R&amp;D tagging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Roadmap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escalation; no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Beta/lab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harness in lab; interop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CMVP listed, limited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production for listed algorithms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Full algorithm suite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planning authorised</w:t>
            </w:r>
          </w:p>
        </w:tc>
      </w:tr>
    </w:tbl>
    <w:bookmarkEnd w:id="54"/>
    <w:bookmarkStart w:id="55" w:name="annual-reassessment"/>
    <w:p>
      <w:pPr>
        <w:pStyle w:val="Heading3"/>
      </w:pPr>
      <w:r>
        <w:t xml:space="preserve">18.10.2 Annual reassessment</w:t>
      </w:r>
    </w:p>
    <w:p>
      <w:pPr>
        <w:pStyle w:val="FirstParagraph"/>
      </w:pPr>
      <w:r>
        <w:t xml:space="preserve">HSM vendors issue firmware updates that</w:t>
      </w:r>
      <w:r>
        <w:t xml:space="preserve"> </w:t>
      </w:r>
      <w:r>
        <w:rPr>
          <w:bCs/>
          <w:b/>
        </w:rPr>
        <w:t xml:space="preserve">change operational environment</w:t>
      </w:r>
      <w:r>
        <w:t xml:space="preserve">. Assurance teams re-run Table 14.1 scoring annually and on every firmware upgrade — updating CMVP certificate references and re-running functional harness against production profiles.</w:t>
      </w:r>
    </w:p>
    <w:p>
      <w:pPr>
        <w:pStyle w:val="BodyText"/>
      </w:pPr>
      <w:r>
        <w:t xml:space="preserve">Meridian’s 2027 annual review discovered a</w:t>
      </w:r>
      <w:r>
        <w:t xml:space="preserve"> </w:t>
      </w:r>
      <w:r>
        <w:rPr>
          <w:bCs/>
          <w:b/>
        </w:rPr>
        <w:t xml:space="preserve">general-purpose HSM</w:t>
      </w:r>
      <w:r>
        <w:t xml:space="preserve"> </w:t>
      </w:r>
      <w:r>
        <w:t xml:space="preserve">firmware upgrade that temporarily removed ML-KEM from the validated boundary — a regression caught by certificate monitoring before production impact. The matrix row moved from Closed to Open; steering committee notified within 48 hours.</w:t>
      </w:r>
    </w:p>
    <w:bookmarkEnd w:id="55"/>
    <w:bookmarkStart w:id="56" w:name="ceremony-and-validation-coupling"/>
    <w:p>
      <w:pPr>
        <w:pStyle w:val="Heading3"/>
      </w:pPr>
      <w:r>
        <w:t xml:space="preserve">18.10.3 Ceremony and validation coupling</w:t>
      </w:r>
    </w:p>
    <w:p>
      <w:pPr>
        <w:pStyle w:val="FirstParagraph"/>
      </w:pPr>
      <w:r>
        <w:t xml:space="preserve">Key ceremonies (Chapter 14) must use</w:t>
      </w:r>
      <w:r>
        <w:t xml:space="preserve"> </w:t>
      </w:r>
      <w:r>
        <w:rPr>
          <w:bCs/>
          <w:b/>
        </w:rPr>
        <w:t xml:space="preserve">validated module paths</w:t>
      </w:r>
      <w:r>
        <w:t xml:space="preserve"> </w:t>
      </w:r>
      <w:r>
        <w:t xml:space="preserve">for production key generation. Ceremony scripts are assurance artefacts — assessors sample whether operators followed procedures tied to validated configurations.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Ceremony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HSM firmware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CMVP operational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Listed on 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size / parameter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policy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with validated 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interoperability-testing-programme"/>
    <w:p>
      <w:pPr>
        <w:pStyle w:val="Heading2"/>
      </w:pPr>
      <w:r>
        <w:t xml:space="preserve">18.11 Interoperability Testing Programme</w:t>
      </w:r>
    </w:p>
    <w:p>
      <w:pPr>
        <w:pStyle w:val="FirstParagraph"/>
      </w:pPr>
      <w:r>
        <w:t xml:space="preserve">Interoperability failures are the</w:t>
      </w:r>
      <w:r>
        <w:t xml:space="preserve"> </w:t>
      </w:r>
      <w:r>
        <w:rPr>
          <w:bCs/>
          <w:b/>
        </w:rPr>
        <w:t xml:space="preserve">most common production blocker</w:t>
      </w:r>
      <w:r>
        <w:t xml:space="preserve"> </w:t>
      </w:r>
      <w:r>
        <w:t xml:space="preserve">after validation gaps — especially during H1 hybrid phases when peers present heterogeneous algorithm support.</w:t>
      </w:r>
    </w:p>
    <w:bookmarkStart w:id="58" w:name="partner-test-matrix"/>
    <w:p>
      <w:pPr>
        <w:pStyle w:val="Heading3"/>
      </w:pPr>
      <w:r>
        <w:t xml:space="preserve">18.11.1 Partner test matrix</w:t>
      </w:r>
    </w:p>
    <w:p>
      <w:pPr>
        <w:pStyle w:val="FirstParagraph"/>
      </w:pPr>
      <w:r>
        <w:rPr>
          <w:bCs/>
          <w:b/>
        </w:rPr>
        <w:t xml:space="preserve">Table 18.4 — Partner Interoperability Test Matrix (Template)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44"/>
        <w:gridCol w:w="696"/>
        <w:gridCol w:w="870"/>
        <w:gridCol w:w="1305"/>
        <w:gridCol w:w="1479"/>
        <w:gridCol w:w="957"/>
        <w:gridCol w:w="696"/>
        <w:gridCol w:w="8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Partner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Acquiring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mer-api-h1-v3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+ ML-KEM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2028-04-12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2028-10-12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integrator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apex-cui-tls-v2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CNSA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2028-02-28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2028-08-28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gs-tenant-tls-v4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2028-05-01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Escalated</w:t>
            </w:r>
          </w:p>
        </w:tc>
      </w:tr>
    </w:tbl>
    <w:bookmarkEnd w:id="58"/>
    <w:bookmarkStart w:id="59" w:name="failure-escalation"/>
    <w:p>
      <w:pPr>
        <w:pStyle w:val="Heading3"/>
      </w:pPr>
      <w:r>
        <w:t xml:space="preserve">18.11.2 Failure escalation</w:t>
      </w:r>
    </w:p>
    <w:p>
      <w:pPr>
        <w:pStyle w:val="FirstParagraph"/>
      </w:pPr>
      <w:r>
        <w:t xml:space="preserve">Partner failures trigger</w:t>
      </w:r>
      <w:r>
        <w:t xml:space="preserve"> </w:t>
      </w:r>
      <w:r>
        <w:rPr>
          <w:bCs/>
          <w:b/>
        </w:rPr>
        <w:t xml:space="preserve">CDG review</w:t>
      </w:r>
      <w:r>
        <w:t xml:space="preserve"> </w:t>
      </w:r>
      <w:r>
        <w:t xml:space="preserve">(Chapter 8) — a failed partner may become a blocking node for hundreds of services. GlobalSync’s P-003 failure blocked Wave 2 tenant migrations; programme office engaged partner procurement channel (Chapter 16) with interoperability retest scheduled as contract deliverable.</w:t>
      </w:r>
    </w:p>
    <w:bookmarkEnd w:id="59"/>
    <w:bookmarkStart w:id="60" w:name="certificate-chain-interoperability"/>
    <w:p>
      <w:pPr>
        <w:pStyle w:val="Heading3"/>
      </w:pPr>
      <w:r>
        <w:t xml:space="preserve">18.11.3 Certificate chain interoperability</w:t>
      </w:r>
    </w:p>
    <w:p>
      <w:pPr>
        <w:pStyle w:val="FirstParagraph"/>
      </w:pPr>
      <w:r>
        <w:t xml:space="preserve">PKI overlap (Chapter 13) requires explicit chain tests:</w:t>
      </w:r>
    </w:p>
    <w:p>
      <w:pPr>
        <w:numPr>
          <w:ilvl w:val="0"/>
          <w:numId w:val="1004"/>
        </w:numPr>
        <w:pStyle w:val="Compact"/>
      </w:pPr>
      <w:r>
        <w:t xml:space="preserve">ML-DSA end-entity → ML-DSA intermediate → hybrid root</w:t>
      </w:r>
    </w:p>
    <w:p>
      <w:pPr>
        <w:numPr>
          <w:ilvl w:val="0"/>
          <w:numId w:val="1004"/>
        </w:numPr>
        <w:pStyle w:val="Compact"/>
      </w:pPr>
      <w:r>
        <w:t xml:space="preserve">Cross-sign path to legacy trust anchor</w:t>
      </w:r>
    </w:p>
    <w:p>
      <w:pPr>
        <w:numPr>
          <w:ilvl w:val="0"/>
          <w:numId w:val="1004"/>
        </w:numPr>
        <w:pStyle w:val="Compact"/>
      </w:pPr>
      <w:r>
        <w:t xml:space="preserve">Partner trust store update verification</w:t>
      </w:r>
    </w:p>
    <w:p>
      <w:pPr>
        <w:numPr>
          <w:ilvl w:val="0"/>
          <w:numId w:val="1004"/>
        </w:numPr>
        <w:pStyle w:val="Compact"/>
      </w:pPr>
      <w:r>
        <w:t xml:space="preserve">OCSP/CRL responder signature algorithm check</w:t>
      </w:r>
    </w:p>
    <w:p>
      <w:pPr>
        <w:pStyle w:val="FirstParagraph"/>
      </w:pPr>
      <w:r>
        <w:t xml:space="preserve">Apex packaged chain walk results as</w:t>
      </w:r>
      <w:r>
        <w:t xml:space="preserve"> </w:t>
      </w:r>
      <w:r>
        <w:rPr>
          <w:bCs/>
          <w:b/>
        </w:rPr>
        <w:t xml:space="preserve">signed test reports</w:t>
      </w:r>
      <w:r>
        <w:t xml:space="preserve"> </w:t>
      </w:r>
      <w:r>
        <w:t xml:space="preserve">— federal integrators attached them to their own accreditation evidence, multiplying Apex’s assurance investment.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X4a3bd6df0809e1fc5884c9afc69c7e93fe02d9b"/>
    <w:p>
      <w:pPr>
        <w:pStyle w:val="Heading2"/>
      </w:pPr>
      <w:r>
        <w:t xml:space="preserve">18.12 Performance Testing and Capacity Evidence</w:t>
      </w:r>
    </w:p>
    <w:p>
      <w:pPr>
        <w:pStyle w:val="FirstParagraph"/>
      </w:pPr>
      <w:r>
        <w:t xml:space="preserve">Performance testing produces</w:t>
      </w:r>
      <w:r>
        <w:t xml:space="preserve"> </w:t>
      </w:r>
      <w:r>
        <w:rPr>
          <w:bCs/>
          <w:b/>
        </w:rPr>
        <w:t xml:space="preserve">capacity evidence</w:t>
      </w:r>
      <w:r>
        <w:t xml:space="preserve"> </w:t>
      </w:r>
      <w:r>
        <w:t xml:space="preserve">for regulators and internal SRE teams — demonstrating PQC migration does not breach availability commitments.</w:t>
      </w:r>
    </w:p>
    <w:bookmarkStart w:id="62" w:name="test-design"/>
    <w:p>
      <w:pPr>
        <w:pStyle w:val="Heading3"/>
      </w:pPr>
      <w:r>
        <w:t xml:space="preserve">18.12.1 Test design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10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Load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Steady-state API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p50/p99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at 120% prod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 handshake storm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establishment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perf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HSM signing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TPS sustained 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lab + 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verify fleet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time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sample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 with PQC keys on 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exercise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7" w:name="X0a396600afbcc0af2ebd105dbb73d5dbe7f32a6"/>
    <w:p>
      <w:pPr>
        <w:pStyle w:val="Heading2"/>
      </w:pPr>
      <w:r>
        <w:t xml:space="preserve">18.13 Security Testing: Red Team and Penetration Testing for Cryptography</w:t>
      </w:r>
    </w:p>
    <w:p>
      <w:pPr>
        <w:pStyle w:val="FirstParagraph"/>
      </w:pPr>
      <w:r>
        <w:t xml:space="preserve">Conventional penetration tests check for SQL injection and misconfigured S3 buckets.</w:t>
      </w:r>
      <w:r>
        <w:t xml:space="preserve"> </w:t>
      </w:r>
      <w:r>
        <w:rPr>
          <w:bCs/>
          <w:b/>
        </w:rPr>
        <w:t xml:space="preserve">Cryptographic penetration testing</w:t>
      </w:r>
      <w:r>
        <w:t xml:space="preserve"> </w:t>
      </w:r>
      <w:r>
        <w:t xml:space="preserve">evaluates whether controls enforce policy under adversarial pressure — a distinct discipline easy to scope poorly.</w:t>
      </w:r>
    </w:p>
    <w:bookmarkStart w:id="64" w:name="crypto-specific-pen-test-scope"/>
    <w:p>
      <w:pPr>
        <w:pStyle w:val="Heading3"/>
      </w:pPr>
      <w:r>
        <w:t xml:space="preserve">18.13.1 Crypto-specific pen test scope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40"/>
        <w:gridCol w:w="64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scope (unless explicitly resourced)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 downgrade and weak cipher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 cryptanalysis of ML-KEM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validation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Side-channel lab analysis of HSM 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KMS IAM privilege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Breaking hash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material in logs, crash dumps,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Supply-chain hardware implants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JWT/JWS algorithm confusion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verification of protocols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combiner misconfiguration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PKCS#11 caller misuse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Pen test firms without cryptographic depth produce generic findings (</w:t>
      </w:r>
      <w:r>
        <w:t xml:space="preserve">“</w:t>
      </w:r>
      <w:r>
        <w:t xml:space="preserve">enable TLS 1.3</w:t>
      </w:r>
      <w:r>
        <w:t xml:space="preserve">”</w:t>
      </w:r>
      <w:r>
        <w:t xml:space="preserve">) — useless for PQC assurance. Apex required</w:t>
      </w:r>
      <w:r>
        <w:t xml:space="preserve"> </w:t>
      </w:r>
      <w:r>
        <w:rPr>
          <w:bCs/>
          <w:b/>
        </w:rPr>
        <w:t xml:space="preserve">crypto pen test competency</w:t>
      </w:r>
      <w:r>
        <w:t xml:space="preserve"> </w:t>
      </w:r>
      <w:r>
        <w:t xml:space="preserve">in RFP evaluation: demonstrable prior engagements testing PKI, HSM integrations, and protocol downgrade.</w:t>
      </w:r>
    </w:p>
    <w:bookmarkEnd w:id="64"/>
    <w:bookmarkStart w:id="65" w:name="red-team-considerations"/>
    <w:p>
      <w:pPr>
        <w:pStyle w:val="Heading3"/>
      </w:pPr>
      <w:r>
        <w:t xml:space="preserve">18.13.2 Red team considerations</w:t>
      </w:r>
    </w:p>
    <w:p>
      <w:pPr>
        <w:pStyle w:val="FirstParagraph"/>
      </w:pPr>
      <w:r>
        <w:rPr>
          <w:bCs/>
          <w:b/>
        </w:rPr>
        <w:t xml:space="preserve">Red teams</w:t>
      </w:r>
      <w:r>
        <w:t xml:space="preserve"> </w:t>
      </w:r>
      <w:r>
        <w:t xml:space="preserve">simulate adversaries with objectives — exfiltrate CUI, forge firmware signatures, intercept partner API traffic. Cryptographic red team scenarios for PQC migration: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5"/>
        <w:gridCol w:w="1179"/>
        <w:gridCol w:w="50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criterion for defence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Downgrade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classical-only against hybrid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rejected; alert fired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store poisoning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rogue ML-DSA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before production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KMS key exfiltration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 operator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raw key export; HSM policy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Lab-to-prod bleed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unvalidated module config to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gates prevent promotion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Ceremony social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Impersonate 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Quorum procedure halts ceremony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 confusion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ML-DSA sig as ECDSA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 rejects; logged</w:t>
            </w:r>
          </w:p>
        </w:tc>
      </w:tr>
    </w:tbl>
    <w:p>
      <w:pPr>
        <w:pStyle w:val="BodyText"/>
      </w:pPr>
      <w:r>
        <w:t xml:space="preserve">Red team findings feed</w:t>
      </w:r>
      <w:r>
        <w:t xml:space="preserve"> </w:t>
      </w:r>
      <w:r>
        <w:rPr>
          <w:bCs/>
          <w:b/>
        </w:rPr>
        <w:t xml:space="preserve">steering committee risk register</w:t>
      </w:r>
      <w:r>
        <w:t xml:space="preserve"> </w:t>
      </w:r>
      <w:r>
        <w:t xml:space="preserve">— not only IT ticket queues. Apex’s 2028 red team compromised a</w:t>
      </w:r>
      <w:r>
        <w:t xml:space="preserve"> </w:t>
      </w:r>
      <w:r>
        <w:rPr>
          <w:bCs/>
          <w:b/>
        </w:rPr>
        <w:t xml:space="preserve">staging</w:t>
      </w:r>
      <w:r>
        <w:t xml:space="preserve"> </w:t>
      </w:r>
      <w:r>
        <w:t xml:space="preserve">KMS role — not production — but demonstrated insufficient IAM boundary between environments. Remediation preceded ML-KEM production wrap.</w:t>
      </w:r>
    </w:p>
    <w:bookmarkEnd w:id="65"/>
    <w:bookmarkStart w:id="66" w:name="co-ordinating-with-validated-boundaries"/>
    <w:p>
      <w:pPr>
        <w:pStyle w:val="Heading3"/>
      </w:pPr>
      <w:r>
        <w:t xml:space="preserve">18.13.3 Co-ordinating with validated boundaries</w:t>
      </w:r>
    </w:p>
    <w:p>
      <w:pPr>
        <w:pStyle w:val="FirstParagraph"/>
      </w:pPr>
      <w:r>
        <w:t xml:space="preserve">Red team and pen test activity must</w:t>
      </w:r>
      <w:r>
        <w:t xml:space="preserve"> </w:t>
      </w:r>
      <w:r>
        <w:rPr>
          <w:bCs/>
          <w:b/>
        </w:rPr>
        <w:t xml:space="preserve">not violate FIPS operational environment</w:t>
      </w:r>
      <w:r>
        <w:t xml:space="preserve"> </w:t>
      </w:r>
      <w:r>
        <w:t xml:space="preserve">— destructive tests on production HSMs, entropy exhaustion attacks, or firmware tamper triggers can cause compliance incidents.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HSM pen test read-only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 events affect accreditation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Destructive crypto tests in lab partitions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from production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test windows in change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awareness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novel attack tools on production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Undefined failure modes</w:t>
            </w:r>
          </w:p>
        </w:tc>
      </w:tr>
    </w:tbl>
    <w:p>
      <w:pPr>
        <w:pStyle w:val="BodyText"/>
      </w:pPr>
      <w:r>
        <w:t xml:space="preserve">Pen test findings use standard severity tiers: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key-extraction paths halt production within 72 hours;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downgrade successes on CUI paths within 30 days; documented validation gaps track as steering committee observations with POA&amp;M entries.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validation-dependency-timeline"/>
    <w:p>
      <w:pPr>
        <w:pStyle w:val="Heading2"/>
      </w:pPr>
      <w:r>
        <w:t xml:space="preserve">18.14 Validation Dependency Timeline</w:t>
      </w:r>
    </w:p>
    <w:p>
      <w:pPr>
        <w:pStyle w:val="FirstParagraph"/>
      </w:pPr>
      <w:r>
        <w:t xml:space="preserve">Production PQC deployment follows</w:t>
      </w:r>
      <w:r>
        <w:t xml:space="preserve"> </w:t>
      </w:r>
      <w:r>
        <w:rPr>
          <w:bCs/>
          <w:b/>
        </w:rPr>
        <w:t xml:space="preserve">validation dependencies</w:t>
      </w:r>
      <w:r>
        <w:t xml:space="preserve"> </w:t>
      </w:r>
      <w:r>
        <w:t xml:space="preserve">— not programme ambition alone. Figure 18.1 visualises the critical path.</w:t>
      </w:r>
    </w:p>
    <w:p>
      <w:pPr>
        <w:pStyle w:val="BodyText"/>
      </w:pPr>
      <w:r>
        <w:rPr>
          <w:bCs/>
          <w:b/>
        </w:rPr>
        <w:t xml:space="preserve">Figure 18.1 — Validation Dependency Timeline (Brief)</w:t>
      </w:r>
    </w:p>
    <w:p>
      <w:pPr>
        <w:pStyle w:val="SourceCode"/>
      </w:pPr>
      <w:r>
        <w:rPr>
          <w:rStyle w:val="VerbatimChar"/>
        </w:rPr>
        <w:t xml:space="preserve">2026          2027          2028          2029          2030</w:t>
      </w:r>
      <w:r>
        <w:br/>
      </w:r>
      <w:r>
        <w:rPr>
          <w:rStyle w:val="VerbatimChar"/>
        </w:rPr>
        <w:t xml:space="preserve">  |             |             |             |             |</w:t>
      </w:r>
      <w:r>
        <w:br/>
      </w:r>
      <w:r>
        <w:rPr>
          <w:rStyle w:val="VerbatimChar"/>
        </w:rPr>
        <w:t xml:space="preserve">  v             v             v             v             v</w:t>
      </w:r>
      <w:r>
        <w:br/>
      </w:r>
      <w:r>
        <w:rPr>
          <w:rStyle w:val="VerbatimChar"/>
        </w:rPr>
        <w:t xml:space="preserve">[Algorithm     [CMVP lab     [Module       [Interop      [H2 classical</w:t>
      </w:r>
      <w:r>
        <w:br/>
      </w:r>
      <w:r>
        <w:rPr>
          <w:rStyle w:val="VerbatimChar"/>
        </w:rPr>
        <w:t xml:space="preserve"> policy        submission    cert          partner       sunset</w:t>
      </w:r>
      <w:r>
        <w:br/>
      </w:r>
      <w:r>
        <w:rPr>
          <w:rStyle w:val="VerbatimChar"/>
        </w:rPr>
        <w:t xml:space="preserve"> published]    peak]         issued]       matrix        gate]</w:t>
      </w:r>
      <w:r>
        <w:br/>
      </w:r>
      <w:r>
        <w:rPr>
          <w:rStyle w:val="VerbatimChar"/>
        </w:rPr>
        <w:t xml:space="preserve">                              |            complete]       |</w:t>
      </w:r>
      <w:r>
        <w:br/>
      </w:r>
      <w:r>
        <w:rPr>
          <w:rStyle w:val="VerbatimChar"/>
        </w:rPr>
        <w:t xml:space="preserve">                              v                          v</w:t>
      </w:r>
      <w:r>
        <w:br/>
      </w:r>
      <w:r>
        <w:rPr>
          <w:rStyle w:val="VerbatimChar"/>
        </w:rPr>
        <w:t xml:space="preserve">                    [HSM firmware GA]──────────────&gt;[Production</w:t>
      </w:r>
      <w:r>
        <w:br/>
      </w:r>
      <w:r>
        <w:rPr>
          <w:rStyle w:val="VerbatimChar"/>
        </w:rPr>
        <w:t xml:space="preserve">                              |                    PQC-primary]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       [Ceremony + harness]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       [H1 dual-sign production]</w:t>
      </w:r>
    </w:p>
    <w:p>
      <w:pPr>
        <w:pStyle w:val="FirstParagraph"/>
      </w:pPr>
      <w:r>
        <w:rPr>
          <w:bCs/>
          <w:b/>
        </w:rPr>
        <w:t xml:space="preserve">Production brief — Figure 18.1:</w:t>
      </w:r>
      <w:r>
        <w:t xml:space="preserve"> </w:t>
      </w:r>
      <w:r>
        <w:t xml:space="preserve">Gantt-style chart with swimlanes: Policy, CMVP/vendor, HSM/KMS, Testing (functional/interop/perf), Production gates. Highlight CDG blocking node BN-MER-HSM-001 spanning vendor cert to H1. Annotate Apex CMMC assessment (Oct 2028) relative to module gap closure. Colour-code: green = closed gate; amber = interim H1; red = open gap.</w:t>
      </w:r>
    </w:p>
    <w:bookmarkStart w:id="68" w:name="timeline-construction-method"/>
    <w:p>
      <w:pPr>
        <w:pStyle w:val="Heading3"/>
      </w:pPr>
      <w:r>
        <w:t xml:space="preserve">18.14.1 Timeline construction method</w:t>
      </w:r>
    </w:p>
    <w:p>
      <w:pPr>
        <w:numPr>
          <w:ilvl w:val="0"/>
          <w:numId w:val="1005"/>
        </w:numPr>
        <w:pStyle w:val="Compact"/>
      </w:pPr>
      <w:r>
        <w:t xml:space="preserve">Extract CDG blocking nodes with</w:t>
      </w:r>
      <w:r>
        <w:t xml:space="preserve"> </w:t>
      </w:r>
      <w:r>
        <w:rPr>
          <w:rStyle w:val="VerbatimChar"/>
        </w:rPr>
        <w:t xml:space="preserve">validation_required=true</w:t>
      </w:r>
    </w:p>
    <w:p>
      <w:pPr>
        <w:numPr>
          <w:ilvl w:val="0"/>
          <w:numId w:val="1005"/>
        </w:numPr>
        <w:pStyle w:val="Compact"/>
      </w:pPr>
      <w:r>
        <w:t xml:space="preserve">Query vendor CMVP roadmap dates — contractual, not marketing</w:t>
      </w:r>
    </w:p>
    <w:p>
      <w:pPr>
        <w:numPr>
          <w:ilvl w:val="0"/>
          <w:numId w:val="1005"/>
        </w:numPr>
        <w:pStyle w:val="Compact"/>
      </w:pPr>
      <w:r>
        <w:t xml:space="preserve">Add ceremony and harness lead time (Chapter 14: 60+ days)</w:t>
      </w:r>
    </w:p>
    <w:p>
      <w:pPr>
        <w:numPr>
          <w:ilvl w:val="0"/>
          <w:numId w:val="1005"/>
        </w:numPr>
        <w:pStyle w:val="Compact"/>
      </w:pPr>
      <w:r>
        <w:t xml:space="preserve">Add interoperability partner lead time (slowest Tier 1 partner)</w:t>
      </w:r>
    </w:p>
    <w:p>
      <w:pPr>
        <w:numPr>
          <w:ilvl w:val="0"/>
          <w:numId w:val="1005"/>
        </w:numPr>
        <w:pStyle w:val="Compact"/>
      </w:pPr>
      <w:r>
        <w:t xml:space="preserve">Add regulatory examination windows — avoid production changes before audits unless planned</w:t>
      </w:r>
    </w:p>
    <w:p>
      <w:pPr>
        <w:numPr>
          <w:ilvl w:val="0"/>
          <w:numId w:val="1005"/>
        </w:numPr>
        <w:pStyle w:val="Compact"/>
      </w:pPr>
      <w:r>
        <w:t xml:space="preserve">Publish integrated timeline to steering committee</w:t>
      </w:r>
    </w:p>
    <w:p>
      <w:pPr>
        <w:pStyle w:val="FirstParagraph"/>
      </w:pPr>
      <w:r>
        <w:t xml:space="preserve">Meridian’s timeline showed</w:t>
      </w:r>
      <w:r>
        <w:t xml:space="preserve"> </w:t>
      </w:r>
      <w:r>
        <w:rPr>
          <w:bCs/>
          <w:b/>
        </w:rPr>
        <w:t xml:space="preserve">eighteen months</w:t>
      </w:r>
      <w:r>
        <w:t xml:space="preserve"> </w:t>
      </w:r>
      <w:r>
        <w:t xml:space="preserve">from module GA to H3 classical key destroy — dual-signature fleet propagation dominated, not cryptography. Programme directors should treat the timeline as a</w:t>
      </w:r>
      <w:r>
        <w:t xml:space="preserve"> </w:t>
      </w:r>
      <w:r>
        <w:rPr>
          <w:bCs/>
          <w:b/>
        </w:rPr>
        <w:t xml:space="preserve">steering committee artefact</w:t>
      </w:r>
      <w:r>
        <w:t xml:space="preserve">, revised quarterly when CMVP listings change or partners slip interop windows. Static timelines displayed once become liability when assessors compare slides to production reality.</w:t>
      </w:r>
    </w:p>
    <w:p>
      <w:pPr>
        <w:pStyle w:val="BlockText"/>
      </w:pPr>
      <w:r>
        <w:rPr>
          <w:bCs/>
          <w:b/>
        </w:rPr>
        <w:t xml:space="preserve">Architect’s Decision</w:t>
      </w:r>
    </w:p>
    <w:p>
      <w:pPr>
        <w:pStyle w:val="BlockText"/>
      </w:pPr>
      <w:r>
        <w:rPr>
          <w:bCs/>
          <w:b/>
        </w:rPr>
        <w:t xml:space="preserve">Schedule production PQC dates from validation dependency timeline backward — not from NIST 2035 forward.</w:t>
      </w:r>
      <w:r>
        <w:t xml:space="preserve"> </w:t>
      </w:r>
      <w:r>
        <w:t xml:space="preserve">NIST dates are policy anchors; your critical path is CMVP listings, partner matrices, and fleet trust propagation. Apex’s CMMC assessment succeeded because the timeline honestly showed ML-DSA gap closure in Q2 2029 — not because the slide claimed 2027 PQC completion.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X580d4c412794ff0a1512359a4decd637800fce2"/>
    <w:p>
      <w:pPr>
        <w:pStyle w:val="Heading2"/>
      </w:pPr>
      <w:r>
        <w:t xml:space="preserve">18.15 Case Study: Apex Defense CMMC Assessment Evidence Package</w:t>
      </w:r>
    </w:p>
    <w:p>
      <w:pPr>
        <w:pStyle w:val="FirstParagraph"/>
      </w:pPr>
      <w:r>
        <w:t xml:space="preserve">Apex’s CMMC Level 2 evidence package for cryptographic controls demonstrates</w:t>
      </w:r>
      <w:r>
        <w:t xml:space="preserve"> </w:t>
      </w:r>
      <w:r>
        <w:rPr>
          <w:bCs/>
          <w:b/>
        </w:rPr>
        <w:t xml:space="preserve">assurance architecture</w:t>
      </w:r>
      <w:r>
        <w:t xml:space="preserve"> </w:t>
      </w:r>
      <w:r>
        <w:t xml:space="preserve">— reusable across assessments, customer audits, and FedRAMP customer responsibility documentation.</w:t>
      </w:r>
    </w:p>
    <w:bookmarkStart w:id="70" w:name="package-structure"/>
    <w:p>
      <w:pPr>
        <w:pStyle w:val="Heading3"/>
      </w:pPr>
      <w:r>
        <w:t xml:space="preserve">18.15.1 Package 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1760"/>
        <w:gridCol w:w="29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Folder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CRYPTO-POLICY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standards matrix; hybrid policy; CNSA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SC-13, 3.13.x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VALIDATION-MATRIX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18.1 export; gap remediation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3.13.11, 3.13.16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CMVP-CERTS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certificates; operational environment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CONFIG-BASELINE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HSM partition config; TLS baseline; STIG checklists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3.13.8, 3.13.11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KEY-MGMT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Ceremony procedures; sample redacted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3.13.10, 3.13.12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Harness reports (commercial zone)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TEST-INTEROP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Integrator signed matrices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TEST-PERF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reports for CUI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 test executive summary; finding 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3.12.1, 3.14.x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PQC-TRANSITION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dependency timeline; steering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POA&amp;M items</w:t>
            </w:r>
          </w:p>
        </w:tc>
      </w:tr>
    </w:tbl>
    <w:bookmarkEnd w:id="70"/>
    <w:bookmarkStart w:id="71" w:name="evidence-traceability"/>
    <w:p>
      <w:pPr>
        <w:pStyle w:val="Heading3"/>
      </w:pPr>
      <w:r>
        <w:t xml:space="preserve">18.15.2 Evidence traceability</w:t>
      </w:r>
    </w:p>
    <w:p>
      <w:pPr>
        <w:pStyle w:val="FirstParagraph"/>
      </w:pPr>
      <w:r>
        <w:t xml:space="preserve">Each artefact carried</w:t>
      </w:r>
      <w:r>
        <w:t xml:space="preserve"> </w:t>
      </w:r>
      <w:r>
        <w:rPr>
          <w:bCs/>
          <w:b/>
        </w:rPr>
        <w:t xml:space="preserve">metadata</w:t>
      </w:r>
      <w:r>
        <w:t xml:space="preserve">: owner, creation date, review date, system class, classification zone. Apex’s GRC tool generated</w:t>
      </w:r>
      <w:r>
        <w:t xml:space="preserve"> </w:t>
      </w:r>
      <w:r>
        <w:rPr>
          <w:bCs/>
          <w:b/>
        </w:rPr>
        <w:t xml:space="preserve">traceability matrices</w:t>
      </w:r>
      <w:r>
        <w:t xml:space="preserve"> </w:t>
      </w:r>
      <w:r>
        <w:t xml:space="preserve">linking assessor questions to artefact IDs — reducing interview time.</w:t>
      </w:r>
    </w:p>
    <w:bookmarkEnd w:id="71"/>
    <w:bookmarkStart w:id="72" w:name="the-ml-dsa-observation"/>
    <w:p>
      <w:pPr>
        <w:pStyle w:val="Heading3"/>
      </w:pPr>
      <w:r>
        <w:t xml:space="preserve">18.15.3 The ML-DSA observation</w:t>
      </w:r>
    </w:p>
    <w:p>
      <w:pPr>
        <w:pStyle w:val="FirstParagraph"/>
      </w:pPr>
      <w:r>
        <w:t xml:space="preserve">The C3PAO observation on ML-DSA module gap received a</w:t>
      </w:r>
      <w:r>
        <w:t xml:space="preserve"> </w:t>
      </w:r>
      <w:r>
        <w:rPr>
          <w:bCs/>
          <w:b/>
        </w:rPr>
        <w:t xml:space="preserve">Plan of Action and Milestones (POA&amp;M)</w:t>
      </w:r>
      <w:r>
        <w:t xml:space="preserve"> </w:t>
      </w:r>
      <w:r>
        <w:t xml:space="preserve">entry: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ML-DSA not in CUI signing partition validated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Compensating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 FIPS module; no CUI signed with unvalidated PQC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CMVP cert expected Q2 2029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contract; validation matrix row; timeline Figure 18.1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signed; customer notification for affected contracts</w:t>
            </w:r>
          </w:p>
        </w:tc>
      </w:tr>
    </w:tbl>
    <w:p>
      <w:pPr>
        <w:pStyle w:val="BodyText"/>
      </w:pPr>
      <w:r>
        <w:t xml:space="preserve">Honest POA&amp;M entries preserve</w:t>
      </w:r>
      <w:r>
        <w:t xml:space="preserve"> </w:t>
      </w:r>
      <w:r>
        <w:rPr>
          <w:bCs/>
          <w:b/>
        </w:rPr>
        <w:t xml:space="preserve">assessment credibility</w:t>
      </w:r>
      <w:r>
        <w:t xml:space="preserve"> </w:t>
      </w:r>
      <w:r>
        <w:t xml:space="preserve">for re-certification. Apex avoided the competitor failure mode from Chapter 4 — claiming PQC support without validated modules.</w:t>
      </w:r>
    </w:p>
    <w:bookmarkEnd w:id="72"/>
    <w:bookmarkStart w:id="73" w:name="zone-separation-in-evidence"/>
    <w:p>
      <w:pPr>
        <w:pStyle w:val="Heading3"/>
      </w:pPr>
      <w:r>
        <w:t xml:space="preserve">18.15.4 Zone separation in evidence</w:t>
      </w:r>
    </w:p>
    <w:p>
      <w:pPr>
        <w:pStyle w:val="FirstParagraph"/>
      </w:pPr>
      <w:r>
        <w:t xml:space="preserve">Classified NSS evidence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appeared in CMMC packages. Cross-references stated</w:t>
      </w:r>
      <w:r>
        <w:t xml:space="preserve"> </w:t>
      </w:r>
      <w:r>
        <w:t xml:space="preserve">“</w:t>
      </w:r>
      <w:r>
        <w:t xml:space="preserve">NSS zone — separate accreditation</w:t>
      </w:r>
      <w:r>
        <w:t xml:space="preserve">”</w:t>
      </w:r>
      <w:r>
        <w:t xml:space="preserve"> </w:t>
      </w:r>
      <w:r>
        <w:t xml:space="preserve">with sanitised summaries only. Priya’s team rejected a well-meaning engineer’s suggestion to</w:t>
      </w:r>
      <w:r>
        <w:t xml:space="preserve"> </w:t>
      </w:r>
      <w:r>
        <w:t xml:space="preserve">“</w:t>
      </w:r>
      <w:r>
        <w:t xml:space="preserve">show the classified harness results</w:t>
      </w:r>
      <w:r>
        <w:t xml:space="preserve">”</w:t>
      </w:r>
      <w:r>
        <w:t xml:space="preserve"> </w:t>
      </w:r>
      <w:r>
        <w:t xml:space="preserve">— accreditation boundary violation.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X4a1aa9e22c2e035283c833313c01b510ca25751"/>
    <w:p>
      <w:pPr>
        <w:pStyle w:val="Heading2"/>
      </w:pPr>
      <w:r>
        <w:t xml:space="preserve">18.16 Case Study: Meridian DORA Testing Evidence</w:t>
      </w:r>
    </w:p>
    <w:p>
      <w:pPr>
        <w:pStyle w:val="FirstParagraph"/>
      </w:pPr>
      <w:r>
        <w:t xml:space="preserve">Meridian Mutual Bank’s supervisory dialogue under DORA required</w:t>
      </w:r>
      <w:r>
        <w:t xml:space="preserve"> </w:t>
      </w:r>
      <w:r>
        <w:rPr>
          <w:bCs/>
          <w:b/>
        </w:rPr>
        <w:t xml:space="preserve">testing evidence</w:t>
      </w:r>
      <w:r>
        <w:t xml:space="preserve"> </w:t>
      </w:r>
      <w:r>
        <w:t xml:space="preserve">for ICT systems supporting payment critical functions — not policy PDFs alone.</w:t>
      </w:r>
    </w:p>
    <w:bookmarkStart w:id="75" w:name="evidence-mapping-to-rts-expectations"/>
    <w:p>
      <w:pPr>
        <w:pStyle w:val="Heading3"/>
      </w:pPr>
      <w:r>
        <w:t xml:space="preserve">18.16.1 Evidence mapping to RTS expectations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6"/>
        <w:gridCol w:w="3344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RTS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Encryption policy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matrix v3.2 + horizon review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ICT change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tickets with harness PDF 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Resilience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DR exercise including PQC KMS failover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+ 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 test report § crypto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validation matrix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</w:tr>
    </w:tbl>
    <w:bookmarkEnd w:id="75"/>
    <w:bookmarkStart w:id="76" w:name="thematic-review-sample"/>
    <w:p>
      <w:pPr>
        <w:pStyle w:val="Heading3"/>
      </w:pPr>
      <w:r>
        <w:t xml:space="preserve">18.16.2 Thematic review sample</w:t>
      </w:r>
    </w:p>
    <w:p>
      <w:pPr>
        <w:pStyle w:val="FirstParagraph"/>
      </w:pPr>
      <w:r>
        <w:t xml:space="preserve">EBA thematic review in 2028 sampled</w:t>
      </w:r>
      <w:r>
        <w:t xml:space="preserve"> </w:t>
      </w:r>
      <w:r>
        <w:rPr>
          <w:bCs/>
          <w:b/>
        </w:rPr>
        <w:t xml:space="preserve">fourteen production changes</w:t>
      </w:r>
      <w:r>
        <w:t xml:space="preserve"> </w:t>
      </w:r>
      <w:r>
        <w:t xml:space="preserve">to payment-channel systems. Meridian produced:</w:t>
      </w:r>
    </w:p>
    <w:p>
      <w:pPr>
        <w:numPr>
          <w:ilvl w:val="0"/>
          <w:numId w:val="1006"/>
        </w:numPr>
        <w:pStyle w:val="Compact"/>
      </w:pPr>
      <w:r>
        <w:t xml:space="preserve">Change record with risk classification</w:t>
      </w:r>
    </w:p>
    <w:p>
      <w:pPr>
        <w:numPr>
          <w:ilvl w:val="0"/>
          <w:numId w:val="1006"/>
        </w:numPr>
        <w:pStyle w:val="Compact"/>
      </w:pPr>
      <w:r>
        <w:t xml:space="preserve">Harness report showing profile</w:t>
      </w:r>
      <w:r>
        <w:t xml:space="preserve"> </w:t>
      </w:r>
      <w:r>
        <w:rPr>
          <w:rStyle w:val="VerbatimChar"/>
        </w:rPr>
        <w:t xml:space="preserve">mer-payment-tls-h1-v2</w:t>
      </w:r>
      <w:r>
        <w:t xml:space="preserve"> </w:t>
      </w:r>
      <w:r>
        <w:t xml:space="preserve">pass</w:t>
      </w:r>
    </w:p>
    <w:p>
      <w:pPr>
        <w:numPr>
          <w:ilvl w:val="0"/>
          <w:numId w:val="1006"/>
        </w:numPr>
        <w:pStyle w:val="Compact"/>
      </w:pPr>
      <w:r>
        <w:t xml:space="preserve">Interop log with acquiring bank retest</w:t>
      </w:r>
    </w:p>
    <w:p>
      <w:pPr>
        <w:numPr>
          <w:ilvl w:val="0"/>
          <w:numId w:val="1006"/>
        </w:numPr>
        <w:pStyle w:val="Compact"/>
      </w:pPr>
      <w:r>
        <w:t xml:space="preserve">Validation matrix row showing Closed status for cloud KMS EU region</w:t>
      </w:r>
    </w:p>
    <w:p>
      <w:pPr>
        <w:numPr>
          <w:ilvl w:val="0"/>
          <w:numId w:val="1006"/>
        </w:numPr>
        <w:pStyle w:val="Compact"/>
      </w:pPr>
      <w:r>
        <w:t xml:space="preserve">Open row for payment HSM with remediation plan</w:t>
      </w:r>
    </w:p>
    <w:p>
      <w:pPr>
        <w:pStyle w:val="FirstParagraph"/>
      </w:pPr>
      <w:r>
        <w:t xml:space="preserve">Supervisors accepted the</w:t>
      </w:r>
      <w:r>
        <w:t xml:space="preserve"> </w:t>
      </w:r>
      <w:r>
        <w:rPr>
          <w:bCs/>
          <w:b/>
        </w:rPr>
        <w:t xml:space="preserve">open payment HSM row</w:t>
      </w:r>
      <w:r>
        <w:t xml:space="preserve"> </w:t>
      </w:r>
      <w:r>
        <w:t xml:space="preserve">because evidence demonstrated controlled H1 dual-signature operation — classical validated path primary, PQC in staged rollout — not uncontrolled algorithm improvisation.</w:t>
      </w:r>
    </w:p>
    <w:bookmarkEnd w:id="76"/>
    <w:bookmarkStart w:id="77" w:name="thomas-bergströms-evidence-principles"/>
    <w:p>
      <w:pPr>
        <w:pStyle w:val="Heading3"/>
      </w:pPr>
      <w:r>
        <w:t xml:space="preserve">18.16.3 Thomas Bergström’s evidence principles</w:t>
      </w:r>
    </w:p>
    <w:p>
      <w:pPr>
        <w:pStyle w:val="FirstParagraph"/>
      </w:pPr>
      <w:r>
        <w:t xml:space="preserve">Meridian’s Head of Regulatory Affairs codified three principles: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Every production crypto change has a test artefact</w:t>
      </w:r>
      <w:r>
        <w:t xml:space="preserve"> </w:t>
      </w:r>
      <w:r>
        <w:t xml:space="preserve">— no exceptions for</w:t>
      </w:r>
      <w:r>
        <w:t xml:space="preserve"> </w:t>
      </w:r>
      <w:r>
        <w:t xml:space="preserve">“</w:t>
      </w:r>
      <w:r>
        <w:t xml:space="preserve">minor config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Open validation gaps appear in the same pack as closed rows</w:t>
      </w:r>
      <w:r>
        <w:t xml:space="preserve"> </w:t>
      </w:r>
      <w:r>
        <w:t xml:space="preserve">— supervisors distrust selective disclosure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Third-party crypto inherits the same evidence standard</w:t>
      </w:r>
      <w:r>
        <w:t xml:space="preserve"> </w:t>
      </w:r>
      <w:r>
        <w:t xml:space="preserve">— vendor matrix rows mandatory (Chapter 16)</w:t>
      </w:r>
    </w:p>
    <w:bookmarkEnd w:id="77"/>
    <w:bookmarkStart w:id="78" w:name="dora-resilience-test-scenario"/>
    <w:p>
      <w:pPr>
        <w:pStyle w:val="Heading3"/>
      </w:pPr>
      <w:r>
        <w:t xml:space="preserve">18.16.4 DORA resilience test scenario</w:t>
      </w:r>
    </w:p>
    <w:p>
      <w:pPr>
        <w:pStyle w:val="FirstParagraph"/>
      </w:pPr>
      <w:r>
        <w:t xml:space="preserve">Meridian’s 2028 resilience exercise scenario:</w:t>
      </w:r>
      <w:r>
        <w:t xml:space="preserve"> </w:t>
      </w:r>
      <w:r>
        <w:rPr>
          <w:bCs/>
          <w:b/>
        </w:rPr>
        <w:t xml:space="preserve">primary payment HSM unavailable; failover to secondary partition with ML-KEM wrap keys.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Failover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at RTO 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 operations on 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ML-DSA sign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Harness rerun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Acquiring bank 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Interop smoke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comms record</w:t>
            </w:r>
          </w:p>
        </w:tc>
      </w:tr>
    </w:tbl>
    <w:p>
      <w:pPr>
        <w:pStyle w:val="BodyText"/>
      </w:pPr>
      <w:r>
        <w:t xml:space="preserve">The exercise demonstrated</w:t>
      </w:r>
      <w:r>
        <w:t xml:space="preserve"> </w:t>
      </w:r>
      <w:r>
        <w:rPr>
          <w:bCs/>
          <w:b/>
        </w:rPr>
        <w:t xml:space="preserve">operational resilience of PQC-capable custody</w:t>
      </w:r>
      <w:r>
        <w:t xml:space="preserve"> </w:t>
      </w:r>
      <w:r>
        <w:t xml:space="preserve">— not merely laboratory correctness.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case-study-globalsync-tenant-assurance"/>
    <w:p>
      <w:pPr>
        <w:pStyle w:val="Heading2"/>
      </w:pPr>
      <w:r>
        <w:t xml:space="preserve">18.17 Case Study: GlobalSync Tenant Assurance</w:t>
      </w:r>
    </w:p>
    <w:p>
      <w:pPr>
        <w:pStyle w:val="FirstParagraph"/>
      </w:pPr>
      <w:r>
        <w:t xml:space="preserve">GlobalSync Logistics operates</w:t>
      </w:r>
      <w:r>
        <w:t xml:space="preserve"> </w:t>
      </w:r>
      <w:r>
        <w:rPr>
          <w:bCs/>
          <w:b/>
        </w:rPr>
        <w:t xml:space="preserve">multi-tenant SaaS</w:t>
      </w:r>
      <w:r>
        <w:t xml:space="preserve"> </w:t>
      </w:r>
      <w:r>
        <w:t xml:space="preserve">across forty countries. Tenant assurance — proving each customer’s cryptographic isolation and policy compliance — is a product differentiator and contractual obligation.</w:t>
      </w:r>
    </w:p>
    <w:bookmarkStart w:id="80" w:name="tenant-assurance-tiers"/>
    <w:p>
      <w:pPr>
        <w:pStyle w:val="Heading3"/>
      </w:pPr>
      <w:r>
        <w:t xml:space="preserve">18.17.1 Tenant assurance tiers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56"/>
        <w:gridCol w:w="3168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 —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platform KMS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FedRAMP/GDPR docs + SOC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T2 — Regulated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services 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Per-tenant validation matrix excerpt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T3 — BYOK/HYOK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Customer-managed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module cert + interop test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T4 — Sovereign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region/deployment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boundary evidence; custom pen test</w:t>
            </w:r>
          </w:p>
        </w:tc>
      </w:tr>
    </w:tbl>
    <w:bookmarkEnd w:id="80"/>
    <w:bookmarkStart w:id="81" w:name="tenant-facing-assurance-pack"/>
    <w:p>
      <w:pPr>
        <w:pStyle w:val="Heading3"/>
      </w:pPr>
      <w:r>
        <w:t xml:space="preserve">18.17.2 Tenant-facing assurance pack</w:t>
      </w:r>
    </w:p>
    <w:p>
      <w:pPr>
        <w:pStyle w:val="FirstParagraph"/>
      </w:pPr>
      <w:r>
        <w:t xml:space="preserve">GlobalSync published</w:t>
      </w:r>
      <w:r>
        <w:t xml:space="preserve"> </w:t>
      </w:r>
      <w:r>
        <w:rPr>
          <w:bCs/>
          <w:b/>
        </w:rPr>
        <w:t xml:space="preserve">annual tenant assurance packs</w:t>
      </w:r>
      <w:r>
        <w:t xml:space="preserve"> </w:t>
      </w:r>
      <w:r>
        <w:t xml:space="preserve">containing:</w:t>
      </w:r>
    </w:p>
    <w:p>
      <w:pPr>
        <w:numPr>
          <w:ilvl w:val="0"/>
          <w:numId w:val="1008"/>
        </w:numPr>
        <w:pStyle w:val="Compact"/>
      </w:pPr>
      <w:r>
        <w:t xml:space="preserve">Platform validation matrix (redacted to tenant-relevant rows)</w:t>
      </w:r>
    </w:p>
    <w:p>
      <w:pPr>
        <w:numPr>
          <w:ilvl w:val="0"/>
          <w:numId w:val="1008"/>
        </w:numPr>
        <w:pStyle w:val="Compact"/>
      </w:pPr>
      <w:r>
        <w:t xml:space="preserve">Hybrid TLS policy and sunset schedule</w:t>
      </w:r>
    </w:p>
    <w:p>
      <w:pPr>
        <w:numPr>
          <w:ilvl w:val="0"/>
          <w:numId w:val="1008"/>
        </w:numPr>
        <w:pStyle w:val="Compact"/>
      </w:pPr>
      <w:r>
        <w:t xml:space="preserve">Pen test executive summary (sanitised)</w:t>
      </w:r>
    </w:p>
    <w:p>
      <w:pPr>
        <w:numPr>
          <w:ilvl w:val="0"/>
          <w:numId w:val="1008"/>
        </w:numPr>
        <w:pStyle w:val="Compact"/>
      </w:pPr>
      <w:r>
        <w:t xml:space="preserve">Subprocessor crypto change notification log</w:t>
      </w:r>
    </w:p>
    <w:p>
      <w:pPr>
        <w:numPr>
          <w:ilvl w:val="0"/>
          <w:numId w:val="1008"/>
        </w:numPr>
        <w:pStyle w:val="Compact"/>
      </w:pPr>
      <w:r>
        <w:t xml:space="preserve">Incident history involving cryptographic controls (if any)</w:t>
      </w:r>
    </w:p>
    <w:p>
      <w:pPr>
        <w:pStyle w:val="FirstParagraph"/>
      </w:pPr>
      <w:r>
        <w:t xml:space="preserve">EU tenants received</w:t>
      </w:r>
      <w:r>
        <w:t xml:space="preserve"> </w:t>
      </w:r>
      <w:r>
        <w:rPr>
          <w:bCs/>
          <w:b/>
        </w:rPr>
        <w:t xml:space="preserve">GDPR Article 28</w:t>
      </w:r>
      <w:r>
        <w:t xml:space="preserve"> </w:t>
      </w:r>
      <w:r>
        <w:t xml:space="preserve">processor documentation cross-linking assurance packs. US federal tenants received</w:t>
      </w:r>
      <w:r>
        <w:t xml:space="preserve"> </w:t>
      </w:r>
      <w:r>
        <w:rPr>
          <w:bCs/>
          <w:b/>
        </w:rPr>
        <w:t xml:space="preserve">FedRAMP responsibility matrix</w:t>
      </w:r>
      <w:r>
        <w:t xml:space="preserve"> </w:t>
      </w:r>
      <w:r>
        <w:t xml:space="preserve">excerpts mapping shared controls.</w:t>
      </w:r>
    </w:p>
    <w:bookmarkEnd w:id="81"/>
    <w:bookmarkStart w:id="82" w:name="per-tenant-harness-evidence"/>
    <w:p>
      <w:pPr>
        <w:pStyle w:val="Heading3"/>
      </w:pPr>
      <w:r>
        <w:t xml:space="preserve">18.17.3 Per-tenant harness evidence</w:t>
      </w:r>
    </w:p>
    <w:p>
      <w:pPr>
        <w:pStyle w:val="FirstParagraph"/>
      </w:pPr>
      <w:r>
        <w:t xml:space="preserve">T2+ tenants could request</w:t>
      </w:r>
      <w:r>
        <w:t xml:space="preserve"> </w:t>
      </w:r>
      <w:r>
        <w:rPr>
          <w:bCs/>
          <w:b/>
        </w:rPr>
        <w:t xml:space="preserve">profile-specific harness reports</w:t>
      </w:r>
      <w:r>
        <w:t xml:space="preserve"> </w:t>
      </w:r>
      <w:r>
        <w:t xml:space="preserve">— proving their configured algorithm profiles passed functional testing in the tenant’s isolation boundary. Marcus Chen’s platform team automated generation from CI artefacts — reducing manual audit support from weeks to hours.</w:t>
      </w:r>
    </w:p>
    <w:bookmarkEnd w:id="82"/>
    <w:bookmarkStart w:id="83" w:name="tenant-migration-gates"/>
    <w:p>
      <w:pPr>
        <w:pStyle w:val="Heading3"/>
      </w:pPr>
      <w:r>
        <w:t xml:space="preserve">18.17.4 Tenant migration gates</w:t>
      </w:r>
    </w:p>
    <w:p>
      <w:pPr>
        <w:pStyle w:val="FirstParagraph"/>
      </w:pPr>
      <w:r>
        <w:t xml:space="preserve">Chapter 11 hybrid patterns required</w:t>
      </w:r>
      <w:r>
        <w:t xml:space="preserve"> </w:t>
      </w:r>
      <w:r>
        <w:rPr>
          <w:bCs/>
          <w:b/>
        </w:rPr>
        <w:t xml:space="preserve">per-tenant sunset consent</w:t>
      </w:r>
      <w:r>
        <w:t xml:space="preserve"> </w:t>
      </w:r>
      <w:r>
        <w:t xml:space="preserve">for classical algorithm removal. GlobalSync’s assurance model tied tenant migration waves to:</w:t>
      </w:r>
    </w:p>
    <w:p>
      <w:pPr>
        <w:numPr>
          <w:ilvl w:val="0"/>
          <w:numId w:val="1009"/>
        </w:numPr>
        <w:pStyle w:val="Compact"/>
      </w:pPr>
      <w:r>
        <w:t xml:space="preserve">Tenant notification 90 days ahead</w:t>
      </w:r>
    </w:p>
    <w:p>
      <w:pPr>
        <w:numPr>
          <w:ilvl w:val="0"/>
          <w:numId w:val="1009"/>
        </w:numPr>
        <w:pStyle w:val="Compact"/>
      </w:pPr>
      <w:r>
        <w:t xml:space="preserve">Interop test offer with tenant’s test endpoints</w:t>
      </w:r>
    </w:p>
    <w:p>
      <w:pPr>
        <w:numPr>
          <w:ilvl w:val="0"/>
          <w:numId w:val="1009"/>
        </w:numPr>
        <w:pStyle w:val="Compact"/>
      </w:pPr>
      <w:r>
        <w:t xml:space="preserve">Harness report for tenant profiles</w:t>
      </w:r>
    </w:p>
    <w:p>
      <w:pPr>
        <w:numPr>
          <w:ilvl w:val="0"/>
          <w:numId w:val="1009"/>
        </w:numPr>
        <w:pStyle w:val="Compact"/>
      </w:pPr>
      <w:r>
        <w:t xml:space="preserve">Validation matrix confirmation for tenant region</w:t>
      </w:r>
    </w:p>
    <w:p>
      <w:pPr>
        <w:numPr>
          <w:ilvl w:val="0"/>
          <w:numId w:val="1009"/>
        </w:numPr>
        <w:pStyle w:val="Compact"/>
      </w:pPr>
      <w:r>
        <w:t xml:space="preserve">Contract amendment for H2/H3 transitions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T3 BYOK tenant</w:t>
      </w:r>
      <w:r>
        <w:t xml:space="preserve"> </w:t>
      </w:r>
      <w:r>
        <w:t xml:space="preserve">in Germany delayed H2 migration until their customer-managed HSM received ML-KEM validation — GlobalSync’s platform was ready; tenant custody was not. The validation dependency timeline applied per-tenant, not per-platform.</w:t>
      </w:r>
    </w:p>
    <w:p>
      <w:pPr>
        <w:pStyle w:val="BlockText"/>
      </w:pPr>
      <w:r>
        <w:rPr>
          <w:bCs/>
          <w:b/>
        </w:rPr>
        <w:t xml:space="preserve">Migration Moment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Our SaaS is FedRAMP authorised — tenants inherit PQC automatically.</w:t>
      </w:r>
      <w:r>
        <w:rPr>
          <w:iCs/>
          <w:i/>
        </w:rPr>
        <w:t xml:space="preserve">”</w:t>
      </w:r>
    </w:p>
    <w:p>
      <w:pPr>
        <w:pStyle w:val="BlockText"/>
      </w:pPr>
      <w:r>
        <w:t xml:space="preserve">Authorisation covers the</w:t>
      </w:r>
      <w:r>
        <w:t xml:space="preserve"> </w:t>
      </w:r>
      <w:r>
        <w:rPr>
          <w:bCs/>
          <w:b/>
        </w:rPr>
        <w:t xml:space="preserve">provider boundary</w:t>
      </w:r>
      <w:r>
        <w:t xml:space="preserve">. Tenants using BYOK, custom cipher policies, or regional data residency still need</w:t>
      </w:r>
      <w:r>
        <w:t xml:space="preserve"> </w:t>
      </w:r>
      <w:r>
        <w:rPr>
          <w:bCs/>
          <w:b/>
        </w:rPr>
        <w:t xml:space="preserve">their own validation evidence</w:t>
      </w:r>
      <w:r>
        <w:t xml:space="preserve"> </w:t>
      </w:r>
      <w:r>
        <w:t xml:space="preserve">inside their custody model. GlobalSync learned to sell</w:t>
      </w:r>
      <w:r>
        <w:t xml:space="preserve"> </w:t>
      </w:r>
      <w:r>
        <w:t xml:space="preserve">“</w:t>
      </w:r>
      <w:r>
        <w:t xml:space="preserve">assurance enablement</w:t>
      </w:r>
      <w:r>
        <w:t xml:space="preserve">”</w:t>
      </w:r>
      <w:r>
        <w:t xml:space="preserve"> </w:t>
      </w:r>
      <w:r>
        <w:t xml:space="preserve">— packs and test support — not assume inheritance.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assembling-evidence-packages"/>
    <w:p>
      <w:pPr>
        <w:pStyle w:val="Heading2"/>
      </w:pPr>
      <w:r>
        <w:t xml:space="preserve">18.18 Assembling Evidence Packages</w:t>
      </w:r>
    </w:p>
    <w:p>
      <w:pPr>
        <w:pStyle w:val="FirstParagraph"/>
      </w:pPr>
      <w:r>
        <w:t xml:space="preserve">Cross-framework evidence reuse reduces programme cost. Apex, Meridian, and GlobalSync converged on a</w:t>
      </w:r>
      <w:r>
        <w:t xml:space="preserve"> </w:t>
      </w:r>
      <w:r>
        <w:rPr>
          <w:bCs/>
          <w:b/>
        </w:rPr>
        <w:t xml:space="preserve">common evidence taxonomy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CMVP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Interop matrices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 test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ceremony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 transition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</w:tbl>
    <w:p>
      <w:pPr>
        <w:pStyle w:val="BodyText"/>
      </w:pPr>
      <w:r>
        <w:t xml:space="preserve">✓ = commonly requested; ○ = optional or mapped to broader controls</w:t>
      </w:r>
    </w:p>
    <w:p>
      <w:pPr>
        <w:pStyle w:val="BodyText"/>
      </w:pPr>
      <w:r>
        <w:t xml:space="preserve">Evidence stores require integrity controls — hashed harness artefacts, access audit, retention aligned to DORA and contract schedules. Internal audit quarterly samples matrix accuracy against CMVP listings, harness freshness, POA&amp;M ownership, and config baseline drift.</w:t>
      </w:r>
    </w:p>
    <w:p>
      <w:r>
        <w:pict>
          <v:rect style="width:0;height:1.5pt" o:hralign="center" o:hrstd="t" o:hr="t"/>
        </w:pict>
      </w:r>
    </w:p>
    <w:bookmarkEnd w:id="85"/>
    <w:bookmarkStart w:id="86" w:name="common-assurance-failures"/>
    <w:p>
      <w:pPr>
        <w:pStyle w:val="Heading2"/>
      </w:pPr>
      <w:r>
        <w:t xml:space="preserve">18.19 Common Assurance Failures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2299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theatre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Certs in folder; production uses different 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environment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acceptance becomes permanent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expiry on waivers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Interop optimism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partner test generalised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matrix per Tier 1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surprise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latency after cert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Pre-production load test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 test 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scope; no crypto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Crypto-qualified assessors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 contamination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Classified config in commercial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taxonomy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 fiction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2035 on slides; CMVP 2029 in reality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dependency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ready = tenant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Per-tenant custody matrix</w:t>
            </w:r>
          </w:p>
        </w:tc>
      </w:tr>
    </w:tbl>
    <w:p>
      <w:pPr>
        <w:pStyle w:val="BodyText"/>
      </w:pPr>
      <w:r>
        <w:t xml:space="preserve">Northfield Energy’s OT programme added</w:t>
      </w:r>
      <w:r>
        <w:t xml:space="preserve"> </w:t>
      </w:r>
      <w:r>
        <w:rPr>
          <w:bCs/>
          <w:b/>
        </w:rPr>
        <w:t xml:space="preserve">vendor validation flow-down</w:t>
      </w:r>
      <w:r>
        <w:t xml:space="preserve"> </w:t>
      </w:r>
      <w:r>
        <w:t xml:space="preserve">as assurance failure prevention — OT devices with vendor-held keys require contractual CMVP evidence, not enterprise self-attestation.</w:t>
      </w:r>
    </w:p>
    <w:p>
      <w:r>
        <w:pict>
          <v:rect style="width:0;height:1.5pt" o:hralign="center" o:hrstd="t" o:hr="t"/>
        </w:pict>
      </w:r>
    </w:p>
    <w:bookmarkEnd w:id="86"/>
    <w:bookmarkStart w:id="87" w:name="cross-reference-map"/>
    <w:p>
      <w:pPr>
        <w:pStyle w:val="Heading2"/>
      </w:pPr>
      <w:r>
        <w:t xml:space="preserve">18.20 Cross-Reference 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2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 standards and validation matrix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4 §4.26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lifecycle and sunset testing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CBOM validation 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CDG blocking nodes and partner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gates and MPI sequencing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test harness, agility NFRs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10 §10.14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interoperability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test matrices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PKI chain interoperability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HSM assessment matrix, ceremonies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14 §14.7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Programme governance, steering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evidence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verification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Sector-specific assurance (banking, defence)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 19–20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apply-in-your-organisation"/>
    <w:p>
      <w:pPr>
        <w:pStyle w:val="Heading2"/>
      </w:pPr>
      <w:r>
        <w:t xml:space="preserve">18.21 Apply in Your Organisation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Publish a validation coverage matrix</w:t>
      </w:r>
      <w:r>
        <w:t xml:space="preserve"> </w:t>
      </w:r>
      <w:r>
        <w:t xml:space="preserve">(Table 18.1) — extend Chapter 4’s example with CMVP cert IDs, operational environments, and CDG blocking refs.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Distinguish module validation from algorithm availability</w:t>
      </w:r>
      <w:r>
        <w:t xml:space="preserve"> </w:t>
      </w:r>
      <w:r>
        <w:t xml:space="preserve">— train procurement and engineering on module boundary discipline (§18.2).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Adopt the test category matrix</w:t>
      </w:r>
      <w:r>
        <w:t xml:space="preserve"> </w:t>
      </w:r>
      <w:r>
        <w:t xml:space="preserve">(Table 18.2) — assign owners and gate types per category.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Integrate Chapter 10’s harness</w:t>
      </w:r>
      <w:r>
        <w:t xml:space="preserve"> </w:t>
      </w:r>
      <w:r>
        <w:t xml:space="preserve">as the functional testing backbone — non-bypassable CI gate for in-scope systems.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Score HSM/KMS platforms with Chapter 14 Table 14.1</w:t>
      </w:r>
      <w:r>
        <w:t xml:space="preserve"> </w:t>
      </w:r>
      <w:r>
        <w:t xml:space="preserve">— link scores to production authorisation levels.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Build the validation dependency timeline</w:t>
      </w:r>
      <w:r>
        <w:t xml:space="preserve"> </w:t>
      </w:r>
      <w:r>
        <w:t xml:space="preserve">(Figure 18.1) — schedule production dates backward from CMVP and partner gates.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Map assurance artefacts to your regulatory frameworks</w:t>
      </w:r>
      <w:r>
        <w:t xml:space="preserve"> </w:t>
      </w:r>
      <w:r>
        <w:t xml:space="preserve">— CMMC, FedRAMP, DORA, NIS2, SOC 2 reuse taxonomy (§18.18).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Scope crypto-qualified penetration tests</w:t>
      </w:r>
      <w:r>
        <w:t xml:space="preserve"> </w:t>
      </w:r>
      <w:r>
        <w:t xml:space="preserve">— downgrade, KMS IAM, algorithm confusion in scope; novel cryptanalysis out of scope unless resourced.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Run red team scenarios</w:t>
      </w:r>
      <w:r>
        <w:t xml:space="preserve"> </w:t>
      </w:r>
      <w:r>
        <w:t xml:space="preserve">against staging — production HSM destructive tests prohibited.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Maintain partner interoperability matrices</w:t>
      </w:r>
      <w:r>
        <w:t xml:space="preserve"> </w:t>
      </w:r>
      <w:r>
        <w:t xml:space="preserve">— escalate failures through CDG and procurement (Chapter 16).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Package evidence with traceability metadata</w:t>
      </w:r>
      <w:r>
        <w:t xml:space="preserve"> </w:t>
      </w:r>
      <w:r>
        <w:t xml:space="preserve">— owner, review date, control mapping; Apex folder structure as template.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Document open validation gaps honestly</w:t>
      </w:r>
      <w:r>
        <w:t xml:space="preserve"> </w:t>
      </w:r>
      <w:r>
        <w:t xml:space="preserve">— POA&amp;M with compensating controls beats false production claims.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Separate classified and commercial evidence zones</w:t>
      </w:r>
      <w:r>
        <w:t xml:space="preserve"> </w:t>
      </w:r>
      <w:r>
        <w:t xml:space="preserve">— Apex zone separation pattern.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Publish tenant assurance packs</w:t>
      </w:r>
      <w:r>
        <w:t xml:space="preserve"> </w:t>
      </w:r>
      <w:r>
        <w:t xml:space="preserve">for SaaS operators — per-tier evidence (GlobalSync model).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Quarterly assurance dashboard to steering committee</w:t>
      </w:r>
      <w:r>
        <w:t xml:space="preserve"> </w:t>
      </w:r>
      <w:r>
        <w:t xml:space="preserve">— open gaps, harness coverage, pen test status, interop freshness.</w:t>
      </w:r>
    </w:p>
    <w:p>
      <w:r>
        <w:pict>
          <v:rect style="width:0;height:1.5pt" o:hralign="center" o:hrstd="t" o:hr="t"/>
        </w:pict>
      </w:r>
    </w:p>
    <w:bookmarkEnd w:id="88"/>
    <w:bookmarkStart w:id="89" w:name="chapter-summary"/>
    <w:p>
      <w:pPr>
        <w:pStyle w:val="Heading2"/>
      </w:pPr>
      <w:r>
        <w:t xml:space="preserve">18.22 Chapter Summary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Validation is a programme constraint</w:t>
      </w:r>
      <w:r>
        <w:t xml:space="preserve"> </w:t>
      </w:r>
      <w:r>
        <w:t xml:space="preserve">— FIPS 140-3 module transitions gate production in regulated paths; algorithm standardisation alone does not authorise deployment.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Module validation differs from algorithm validation</w:t>
      </w:r>
      <w:r>
        <w:t xml:space="preserve"> </w:t>
      </w:r>
      <w:r>
        <w:t xml:space="preserve">— CMVP certificates list algorithms inside bounded operational environments; CAVP alone is insufficient.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validation coverage matrix</w:t>
      </w:r>
      <w:r>
        <w:t xml:space="preserve"> </w:t>
      </w:r>
      <w:r>
        <w:t xml:space="preserve">operationalises Chapter 4’s framework — quarterly updated, linked to CDG blocking nodes, with honest gap status.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Four test categories</w:t>
      </w:r>
      <w:r>
        <w:t xml:space="preserve"> </w:t>
      </w:r>
      <w:r>
        <w:t xml:space="preserve">— functional, interoperability, performance, security — each with distinct owners, environments, and evidence artefacts.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Chapter 10’s test harness</w:t>
      </w:r>
      <w:r>
        <w:t xml:space="preserve"> </w:t>
      </w:r>
      <w:r>
        <w:t xml:space="preserve">provides functional testing backbone; it does not replace HSM integration tests, partner interop, or pen testing.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Chapter 14’s HSM assessment</w:t>
      </w:r>
      <w:r>
        <w:t xml:space="preserve"> </w:t>
      </w:r>
      <w:r>
        <w:t xml:space="preserve">converts platform scores into assurance gates — annual rescore on firmware change.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CMMC assessors</w:t>
      </w:r>
      <w:r>
        <w:t xml:space="preserve"> </w:t>
      </w:r>
      <w:r>
        <w:t xml:space="preserve">evaluate documented FIPS implementation and credible PQC transition plans — not roadmap slides without evidence.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FedRAMP</w:t>
      </w:r>
      <w:r>
        <w:t xml:space="preserve"> </w:t>
      </w:r>
      <w:r>
        <w:t xml:space="preserve">requires significant change reassessment when cryptographic modules change — customer responsibility matrix must stay current.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DORA and NIS2</w:t>
      </w:r>
      <w:r>
        <w:t xml:space="preserve"> </w:t>
      </w:r>
      <w:r>
        <w:t xml:space="preserve">expect testing evidence demonstrating cryptographic resilience — harness results, DR exercises, pen test closure.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Crypto pen tests and red teams</w:t>
      </w:r>
      <w:r>
        <w:t xml:space="preserve"> </w:t>
      </w:r>
      <w:r>
        <w:t xml:space="preserve">target downgrade, KMS misuse, and algorithm confusion — scoped to avoid production HSM compliance incidents.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Validation dependency timeline</w:t>
      </w:r>
      <w:r>
        <w:t xml:space="preserve"> </w:t>
      </w:r>
      <w:r>
        <w:t xml:space="preserve">schedules production backward from CMVP listings, ceremonies, and partner matrices — not forward from NIST 2035 alone.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Apex’s CMMC package</w:t>
      </w:r>
      <w:r>
        <w:t xml:space="preserve"> </w:t>
      </w:r>
      <w:r>
        <w:t xml:space="preserve">demonstrates traceable evidence taxonomy with honest POA&amp;M for open ML-DSA gaps.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Meridian’s DORA evidence</w:t>
      </w:r>
      <w:r>
        <w:t xml:space="preserve"> </w:t>
      </w:r>
      <w:r>
        <w:t xml:space="preserve">maps test categories to supervisory expectations — open gaps disclosed with compensating controls.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GlobalSync tenant assurance</w:t>
      </w:r>
      <w:r>
        <w:t xml:space="preserve"> </w:t>
      </w:r>
      <w:r>
        <w:t xml:space="preserve">tiers evidence by custody model — platform authorisation does not substitute for tenant BYOK validation.</w:t>
      </w:r>
    </w:p>
    <w:p>
      <w:pPr>
        <w:pStyle w:val="FirstParagraph"/>
      </w:pPr>
      <w:r>
        <w:rPr>
          <w:bCs/>
          <w:b/>
        </w:rPr>
        <w:t xml:space="preserve">Closing note:</w:t>
      </w:r>
      <w:r>
        <w:t xml:space="preserve"> </w:t>
      </w:r>
      <w:r>
        <w:t xml:space="preserve">Assurance is where architecture meets accountability. The enterprises in this book that passed assessments without delaying migration treated validation and testing as</w:t>
      </w:r>
      <w:r>
        <w:t xml:space="preserve"> </w:t>
      </w:r>
      <w:r>
        <w:rPr>
          <w:bCs/>
          <w:b/>
        </w:rPr>
        <w:t xml:space="preserve">Wave 0 programme infrastructure</w:t>
      </w:r>
      <w:r>
        <w:t xml:space="preserve"> </w:t>
      </w:r>
      <w:r>
        <w:t xml:space="preserve">— planned on the dependency timeline, evidenced continuously, and disclosed honestly when gaps remained open.</w:t>
      </w:r>
    </w:p>
    <w:p>
      <w:pPr>
        <w:pStyle w:val="BodyText"/>
      </w:pPr>
      <w:r>
        <w:rPr>
          <w:bCs/>
          <w:b/>
        </w:rPr>
        <w:t xml:space="preserve">Next:</w:t>
      </w:r>
      <w:r>
        <w:t xml:space="preserve"> </w:t>
      </w:r>
      <w:r>
        <w:t xml:space="preserve">Part VI applies the full programme model to sector playbooks — banking, defence, cloud, and sustained quantum resilience.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Chapter 18 — References</w:t>
      </w:r>
    </w:p>
    <w:p>
      <w:pPr>
        <w:numPr>
          <w:ilvl w:val="0"/>
          <w:numId w:val="1012"/>
        </w:numPr>
        <w:pStyle w:val="Compact"/>
      </w:pPr>
      <w:r>
        <w:t xml:space="preserve">Cybersecurity Maturity Model Certification Program. (2024–2026).</w:t>
      </w:r>
      <w:r>
        <w:t xml:space="preserve"> </w:t>
      </w:r>
      <w:r>
        <w:rPr>
          <w:iCs/>
          <w:i/>
        </w:rPr>
        <w:t xml:space="preserve">CMMC assessment guides</w:t>
      </w:r>
      <w:r>
        <w:t xml:space="preserve"> </w:t>
      </w:r>
      <w:r>
        <w:t xml:space="preserve">and Level 2 scoping guidance. U.S. Department of Defense Chief Information Officer. https://dodcio.defense.gov/CMMC/</w:t>
      </w:r>
    </w:p>
    <w:p>
      <w:pPr>
        <w:numPr>
          <w:ilvl w:val="0"/>
          <w:numId w:val="1012"/>
        </w:numPr>
        <w:pStyle w:val="Compact"/>
      </w:pPr>
      <w:r>
        <w:t xml:space="preserve">European Banking Authority. (2024–2026).</w:t>
      </w:r>
      <w:r>
        <w:t xml:space="preserve"> </w:t>
      </w:r>
      <w:r>
        <w:rPr>
          <w:iCs/>
          <w:i/>
        </w:rPr>
        <w:t xml:space="preserve">DORA implementation</w:t>
      </w:r>
      <w:r>
        <w:t xml:space="preserve"> </w:t>
      </w:r>
      <w:r>
        <w:t xml:space="preserve">and ICT risk testing guidance. https://www.eba.europa.eu/</w:t>
      </w:r>
    </w:p>
    <w:p>
      <w:pPr>
        <w:numPr>
          <w:ilvl w:val="0"/>
          <w:numId w:val="1012"/>
        </w:numPr>
        <w:pStyle w:val="Compact"/>
      </w:pPr>
      <w:r>
        <w:t xml:space="preserve">European Union. (2022). Regulation (EU) 2022/2554 on digital operational resilience for the financial sector (DORA).</w:t>
      </w:r>
      <w:r>
        <w:t xml:space="preserve"> </w:t>
      </w:r>
      <w:r>
        <w:rPr>
          <w:iCs/>
          <w:i/>
        </w:rPr>
        <w:t xml:space="preserve">Official Journal of the European Union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European Union. (2022). Directive (EU) 2022/2555 on measures for a high common level of cybersecurity (NIS2).</w:t>
      </w:r>
      <w:r>
        <w:t xml:space="preserve"> </w:t>
      </w:r>
      <w:r>
        <w:rPr>
          <w:iCs/>
          <w:i/>
        </w:rPr>
        <w:t xml:space="preserve">Official Journal of the European Union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FedRAMP Program Management Office. (2024–2026).</w:t>
      </w:r>
      <w:r>
        <w:t xml:space="preserve"> </w:t>
      </w:r>
      <w:r>
        <w:rPr>
          <w:iCs/>
          <w:i/>
        </w:rPr>
        <w:t xml:space="preserve">FedRAMP authorisation playbook</w:t>
      </w:r>
      <w:r>
        <w:t xml:space="preserve"> </w:t>
      </w:r>
      <w:r>
        <w:t xml:space="preserve">and significant change policy. https://www.fedramp.gov/</w:t>
      </w:r>
    </w:p>
    <w:p>
      <w:pPr>
        <w:numPr>
          <w:ilvl w:val="0"/>
          <w:numId w:val="1012"/>
        </w:numPr>
        <w:pStyle w:val="Compact"/>
      </w:pPr>
      <w:r>
        <w:t xml:space="preserve">National Institute of Standards and Technology. (2019). FIPS 140-3: Security Requirements for Cryptographic Modules. https://doi.org/10.6028/NIST.FIPS.140-3</w:t>
      </w:r>
    </w:p>
    <w:p>
      <w:pPr>
        <w:numPr>
          <w:ilvl w:val="0"/>
          <w:numId w:val="1012"/>
        </w:numPr>
        <w:pStyle w:val="Compact"/>
      </w:pPr>
      <w:r>
        <w:t xml:space="preserve">National Institute of Standards and Technology. (2024). FIPS 203: Module-Lattice-Based Key-Encapsulation Mechanism Standard. https://doi.org/10.6028/NIST.FIPS.203</w:t>
      </w:r>
    </w:p>
    <w:p>
      <w:pPr>
        <w:numPr>
          <w:ilvl w:val="0"/>
          <w:numId w:val="1012"/>
        </w:numPr>
        <w:pStyle w:val="Compact"/>
      </w:pPr>
      <w:r>
        <w:t xml:space="preserve">National Institute of Standards and Technology. (2024). NIST IR 8547 (Initial Public Draft): Transition to post-quantum cryptography standards. https://doi.org/10.6028/NIST.IR.8547.ipd</w:t>
      </w:r>
    </w:p>
    <w:p>
      <w:pPr>
        <w:numPr>
          <w:ilvl w:val="0"/>
          <w:numId w:val="1012"/>
        </w:numPr>
        <w:pStyle w:val="Compact"/>
      </w:pPr>
      <w:r>
        <w:t xml:space="preserve">National Institute of Standards and Technology. (2024).</w:t>
      </w:r>
      <w:r>
        <w:t xml:space="preserve"> </w:t>
      </w:r>
      <w:r>
        <w:rPr>
          <w:iCs/>
          <w:i/>
        </w:rPr>
        <w:t xml:space="preserve">Cryptographic Module Validation Program (CMVP)</w:t>
      </w:r>
      <w:r>
        <w:t xml:space="preserve">. https://csrc.nist.gov/projects/cmvp</w:t>
      </w:r>
    </w:p>
    <w:p>
      <w:pPr>
        <w:numPr>
          <w:ilvl w:val="0"/>
          <w:numId w:val="1012"/>
        </w:numPr>
        <w:pStyle w:val="Compact"/>
      </w:pPr>
      <w:r>
        <w:t xml:space="preserve">National Institute of Standards and Technology. (2020). NIST SP 800-171: Protecting Controlled Unclassified Information in Nonfederal Systems and Organizations. https://doi.org/10.6028/NIST.SP.800-171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Part V. Proceed to Part VI: Sector Playbooks and Proof.</w:t>
      </w:r>
    </w:p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2026-06-12T10:03:15Z</dcterms:created>
  <dcterms:modified xsi:type="dcterms:W3CDTF">2026-06-12T10:03:15Z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