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hapter-21"/>
    <w:p>
      <w:pPr>
        <w:pStyle w:val="Heading1"/>
      </w:pPr>
      <w:r>
        <w:t xml:space="preserve">Chapter 21</w:t>
      </w:r>
    </w:p>
    <w:bookmarkEnd w:id="20"/>
    <w:bookmarkStart w:id="76" w:name="cloud-saas-and-multinational-compliance"/>
    <w:p>
      <w:pPr>
        <w:pStyle w:val="Heading1"/>
      </w:pPr>
      <w:r>
        <w:t xml:space="preserve">Cloud, SaaS, and Multinational Compliance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January 2028, GlobalSync Logistics’ Dublin data protection officer received a supervisory information request from a German healthcare tenant:</w:t>
      </w:r>
      <w:r>
        <w:t xml:space="preserve"> </w:t>
      </w:r>
      <w:r>
        <w:rPr>
          <w:iCs/>
          <w:i/>
        </w:rPr>
        <w:t xml:space="preserve">demonstrate state-of-the-art encryption for cross-border shipment metadata processing, including post-quantum readiness, with evidence that tenant cryptographic isolation was maintained during the platform’s Wave 1 hybrid transition.</w:t>
      </w:r>
    </w:p>
    <w:p>
      <w:pPr>
        <w:pStyle w:val="BodyText"/>
      </w:pPr>
      <w:r>
        <w:t xml:space="preserve">The request arrived forty-eight hours after Sofia Lindström’s programme office declared Wave 1 exit criteria met across all three regions. Marcus Chen’s security architecture team had the technical answer — hybrid TLS profiles deployed, tenant-scoped key hierarchies operational, CI/CD gates enforcing agility standards on every container promotion. What the DPO lacked was a</w:t>
      </w:r>
      <w:r>
        <w:t xml:space="preserve"> </w:t>
      </w:r>
      <w:r>
        <w:rPr>
          <w:bCs/>
          <w:b/>
        </w:rPr>
        <w:t xml:space="preserve">single cross-border evidence pack</w:t>
      </w:r>
      <w:r>
        <w:t xml:space="preserve"> </w:t>
      </w:r>
      <w:r>
        <w:t xml:space="preserve">linking platform CBOM rows, cloud provider shared-responsibility attestations, tenant contract profile mappings, and GDPR Article 32 documentation into a coherent supervisory narrative.</w:t>
      </w:r>
    </w:p>
    <w:p>
      <w:pPr>
        <w:pStyle w:val="BodyText"/>
      </w:pPr>
      <w:r>
        <w:t xml:space="preserve">Sofia convened a forty-eight-hour evidence sprint — not because GlobalSync had failed migration, but because</w:t>
      </w:r>
      <w:r>
        <w:t xml:space="preserve"> </w:t>
      </w:r>
      <w:r>
        <w:rPr>
          <w:bCs/>
          <w:b/>
        </w:rPr>
        <w:t xml:space="preserve">cloud centralisation had concentrated regulatory scrutiny</w:t>
      </w:r>
      <w:r>
        <w:t xml:space="preserve"> </w:t>
      </w:r>
      <w:r>
        <w:t xml:space="preserve">along with cryptographic agility. One platform change affected four hundred tenants across twelve jurisdictions. One KMS module gap blocked seventy-three BYOK customers. One partner gateway profile negotiation determined whether two hundred microservices could exit H1 hybrid phase. The programme had optimised for engineering velocity; the supervisory request exposed that</w:t>
      </w:r>
      <w:r>
        <w:t xml:space="preserve"> </w:t>
      </w:r>
      <w:r>
        <w:rPr>
          <w:bCs/>
          <w:b/>
        </w:rPr>
        <w:t xml:space="preserve">velocity without jurisdictional evidence architecture</w:t>
      </w:r>
      <w:r>
        <w:t xml:space="preserve"> </w:t>
      </w:r>
      <w:r>
        <w:t xml:space="preserve">creates compliance latency at the worst moment.</w:t>
      </w:r>
    </w:p>
    <w:p>
      <w:pPr>
        <w:pStyle w:val="BodyText"/>
      </w:pPr>
      <w:r>
        <w:t xml:space="preserve">GlobalSync delivered the pack on time. The tenant renewed. The lesson generalises: for multinational SaaS operators, post-quantum migration is simultaneously an</w:t>
      </w:r>
      <w:r>
        <w:t xml:space="preserve"> </w:t>
      </w:r>
      <w:r>
        <w:rPr>
          <w:bCs/>
          <w:b/>
        </w:rPr>
        <w:t xml:space="preserve">agility opportunity</w:t>
      </w:r>
      <w:r>
        <w:t xml:space="preserve"> </w:t>
      </w:r>
      <w:r>
        <w:t xml:space="preserve">— centralised policy, automated gates, tenant profile inheritance — and a</w:t>
      </w:r>
      <w:r>
        <w:t xml:space="preserve"> </w:t>
      </w:r>
      <w:r>
        <w:rPr>
          <w:bCs/>
          <w:b/>
        </w:rPr>
        <w:t xml:space="preserve">regulatory concentration risk</w:t>
      </w:r>
      <w:r>
        <w:t xml:space="preserve"> </w:t>
      </w:r>
      <w:r>
        <w:t xml:space="preserve">— single points of cryptographic failure, cross-border evidence gaps, and contractual custody ambiguities that supervisors and enterprise customers now interrogate with increasing precision.</w:t>
      </w:r>
    </w:p>
    <w:p>
      <w:pPr>
        <w:pStyle w:val="BodyText"/>
      </w:pPr>
      <w:r>
        <w:t xml:space="preserve">This chapter develops the</w:t>
      </w:r>
      <w:r>
        <w:t xml:space="preserve"> </w:t>
      </w:r>
      <w:r>
        <w:rPr>
          <w:bCs/>
          <w:b/>
        </w:rPr>
        <w:t xml:space="preserve">cloud and SaaS sector overlay</w:t>
      </w:r>
      <w:r>
        <w:t xml:space="preserve"> </w:t>
      </w:r>
      <w:r>
        <w:t xml:space="preserve">for post-quantum migration: multi-tenant architecture patterns, shared responsibility models, BYOK and HYOK custody, vendor-neutral cloud capability assessment, three-region programme design, and GDPR-aligned cross-border evidence. It completes GlobalSync’s teaching arc from programme charter (Chapter 15) through supply chain enforcement (Chapter 17) and procurement leverage (Chapter 16) into sector proof — demonstrating how a platform operator sustains PQ-ADAPT Level 4 operations across forty countries without fragmenting into incompatible regional cryptography programmes.</w:t>
      </w:r>
    </w:p>
    <w:p>
      <w:r>
        <w:pict>
          <v:rect style="width:0;height:1.5pt" o:hralign="center" o:hrstd="t" o:hr="t"/>
        </w:pict>
      </w:r>
    </w:p>
    <w:bookmarkStart w:id="22" w:name="X5a089545bd64b1c8a5207b6edab5c09a37730a4"/>
    <w:p>
      <w:pPr>
        <w:pStyle w:val="Heading2"/>
      </w:pPr>
      <w:r>
        <w:t xml:space="preserve">21.1 Sector Overlay: SaaS and Platform Economics</w:t>
      </w:r>
    </w:p>
    <w:p>
      <w:pPr>
        <w:pStyle w:val="FirstParagraph"/>
      </w:pPr>
      <w:r>
        <w:t xml:space="preserve">Part VI applies the</w:t>
      </w:r>
      <w:r>
        <w:t xml:space="preserve"> </w:t>
      </w:r>
      <w:r>
        <w:rPr>
          <w:bCs/>
          <w:b/>
        </w:rPr>
        <w:t xml:space="preserve">Sector Overlay Matrix (SOM)</w:t>
      </w:r>
      <w:r>
        <w:t xml:space="preserve"> </w:t>
      </w:r>
      <w:r>
        <w:t xml:space="preserve">to modify universal TRADE weights, HLM timelines, and evidence requirements without duplicating programme machinery from Parts I–V. For SaaS and cloud-native platform operators, the SOM adjustment is precise: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21"/>
        <w:gridCol w:w="4242"/>
        <w:gridCol w:w="155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SOM 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/ platform 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weight — Ecosystem (wE)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+0.25</w:t>
            </w:r>
            <w:r>
              <w:t xml:space="preserve"> </w:t>
            </w:r>
            <w:r>
              <w:t xml:space="preserve">(default 0.75 → 1.00)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APIs, tenant integrations, and cloud provider roadmaps gate execution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weight — Regulatory (wR)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+0.10 for EU-regulated tenant segments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GDPR, NIS2, DORA flow-down via customer contracts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HLM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ecosystem Wave 0 mandatory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CDG blocking at gateway tier (Chapter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Per-tenant assurance tiers; cross-border packs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profile mapping; processor documentation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Procurement emphasis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KMS/HSM; tenant addenda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responsibility clarity (Chapter 16)</w:t>
            </w:r>
          </w:p>
        </w:tc>
      </w:tr>
    </w:tbl>
    <w:p>
      <w:pPr>
        <w:pStyle w:val="BodyText"/>
      </w:pPr>
      <w:r>
        <w:rPr>
          <w:bCs/>
          <w:b/>
        </w:rPr>
        <w:t xml:space="preserve">MPI impact:</w:t>
      </w:r>
      <w:r>
        <w:t xml:space="preserve"> </w:t>
      </w:r>
      <w:r>
        <w:t xml:space="preserve">Chapter 9 documented that ±0.25 on wE moved approximately eleven percent of systems across wave boundaries in sensitivity analysis. SaaS operators must</w:t>
      </w:r>
      <w:r>
        <w:t xml:space="preserve"> </w:t>
      </w:r>
      <w:r>
        <w:rPr>
          <w:bCs/>
          <w:b/>
        </w:rPr>
        <w:t xml:space="preserve">document wE +0.25 in programme charter before scoring</w:t>
      </w:r>
      <w:r>
        <w:t xml:space="preserve"> </w:t>
      </w:r>
      <w:r>
        <w:t xml:space="preserve">— retroactive weight changes invalidate year-over-year MPI comparison and undermine board confidence in wave sequencing.</w:t>
      </w:r>
    </w:p>
    <w:p>
      <w:pPr>
        <w:pStyle w:val="BodyText"/>
      </w:pPr>
      <w:r>
        <w:t xml:space="preserve">The sector overlay does not declare SaaS migration</w:t>
      </w:r>
      <w:r>
        <w:t xml:space="preserve"> </w:t>
      </w:r>
      <w:r>
        <w:t xml:space="preserve">“</w:t>
      </w:r>
      <w:r>
        <w:t xml:space="preserve">easier</w:t>
      </w:r>
      <w:r>
        <w:t xml:space="preserve">”</w:t>
      </w:r>
      <w:r>
        <w:t xml:space="preserve"> </w:t>
      </w:r>
      <w:r>
        <w:t xml:space="preserve">because cloud providers ship features faster. It declares SaaS migration</w:t>
      </w:r>
      <w:r>
        <w:t xml:space="preserve"> </w:t>
      </w:r>
      <w:r>
        <w:rPr>
          <w:bCs/>
          <w:b/>
        </w:rPr>
        <w:t xml:space="preserve">ecosystem-gated</w:t>
      </w:r>
      <w:r>
        <w:t xml:space="preserve"> </w:t>
      </w:r>
      <w:r>
        <w:t xml:space="preserve">— platform engineering can deploy hybrids in weeks while partner negotiation, tenant contractual sunsets, and cloud KMS validation cycles determine whether those hybrids constitute programme progress or pilot theatre.</w:t>
      </w:r>
    </w:p>
    <w:p>
      <w:pPr>
        <w:pStyle w:val="BlockText"/>
      </w:pPr>
      <w:r>
        <w:rPr>
          <w:bCs/>
          <w:b/>
        </w:rPr>
        <w:t xml:space="preserve">Migration Moment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We’re cloud-native — our provider handles encryption. PQC is their problem.</w:t>
      </w:r>
      <w:r>
        <w:rPr>
          <w:iCs/>
          <w:i/>
        </w:rPr>
        <w:t xml:space="preserve">”</w:t>
      </w:r>
    </w:p>
    <w:p>
      <w:pPr>
        <w:pStyle w:val="BlockText"/>
      </w:pPr>
      <w:r>
        <w:t xml:space="preserve">Cloud providers manage infrastructure cryptography under a</w:t>
      </w:r>
      <w:r>
        <w:t xml:space="preserve"> </w:t>
      </w:r>
      <w:r>
        <w:rPr>
          <w:bCs/>
          <w:b/>
        </w:rPr>
        <w:t xml:space="preserve">shared responsibility model</w:t>
      </w:r>
      <w:r>
        <w:t xml:space="preserve">. Tenant data encryption, application-layer signing, mutual TLS to partners, JWT validation, and customer-managed keys remain</w:t>
      </w:r>
      <w:r>
        <w:t xml:space="preserve"> </w:t>
      </w:r>
      <w:r>
        <w:rPr>
          <w:bCs/>
          <w:b/>
        </w:rPr>
        <w:t xml:space="preserve">customer responsibilities</w:t>
      </w:r>
      <w:r>
        <w:t xml:space="preserve"> </w:t>
      </w:r>
      <w:r>
        <w:t xml:space="preserve">— or SaaS provider responsibilities in the application layer, depending on contract tier. Provider roadmap announcements do not migrate your microservices, your tenant profiles, or your cross-border evidence packs. GlobalSync’s 2026 stall occurred precisely where provider readiness slides met</w:t>
      </w:r>
      <w:r>
        <w:t xml:space="preserve"> </w:t>
      </w:r>
      <w:r>
        <w:rPr>
          <w:bCs/>
          <w:b/>
        </w:rPr>
        <w:t xml:space="preserve">application custody reality</w:t>
      </w:r>
      <w:r>
        <w:t xml:space="preserve">.</w:t>
      </w:r>
    </w:p>
    <w:bookmarkStart w:id="21" w:name="the-chapters-central-argument"/>
    <w:p>
      <w:pPr>
        <w:pStyle w:val="Heading3"/>
      </w:pPr>
      <w:r>
        <w:t xml:space="preserve">21.1.1 The chapter’s central argument</w:t>
      </w:r>
    </w:p>
    <w:p>
      <w:pPr>
        <w:pStyle w:val="FirstParagraph"/>
      </w:pPr>
      <w:r>
        <w:rPr>
          <w:bCs/>
          <w:b/>
        </w:rPr>
        <w:t xml:space="preserve">Cloud centralisation is an agility opportunity and a regulatory concentration risk.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08"/>
        <w:gridCol w:w="3105"/>
        <w:gridCol w:w="310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Agility opportunity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Policy deployment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crypto-agility standard propagates via CI/CD to hundreds of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policy error propagates at equal speed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Centralised KMS patterns; profile inheritance across tenants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module validation gap blocks entire tenant tiers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CBOM covers fan-in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obscurity masks 30–40% of estate (Chapter 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Gateway-tier centralisation resolves CDG blocking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incompatible partner profile stalls wave 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pipeline artefacts; tenant assurance packs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Supervisory requests target platform operator as single processor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Harmonised HLM timeline with regional overlays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transfer documentation must cite actual custody</w:t>
            </w:r>
          </w:p>
        </w:tc>
      </w:tr>
    </w:tbl>
    <w:p>
      <w:pPr>
        <w:pStyle w:val="BodyText"/>
      </w:pPr>
      <w:r>
        <w:t xml:space="preserve">Enterprises that optimise only for the left column discover concentration risk during examination, tenant audit, or Wave exit review. Enterprises that optimise only for the right column forfeit the decade-long migration speed advantage cloud architecture provides.</w:t>
      </w:r>
      <w:r>
        <w:t xml:space="preserve"> </w:t>
      </w:r>
      <w:r>
        <w:rPr>
          <w:bCs/>
          <w:b/>
        </w:rPr>
        <w:t xml:space="preserve">Sector playbook discipline</w:t>
      </w:r>
      <w:r>
        <w:t xml:space="preserve"> </w:t>
      </w:r>
      <w:r>
        <w:t xml:space="preserve">holds both columns in programme balance.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arcs-proof-and-pq-adapt-positioning"/>
    <w:p>
      <w:pPr>
        <w:pStyle w:val="Heading2"/>
      </w:pPr>
      <w:r>
        <w:t xml:space="preserve">21.2 ARCS Proof and PQ-ADAPT Positioning</w:t>
      </w:r>
    </w:p>
    <w:p>
      <w:pPr>
        <w:pStyle w:val="FirstParagraph"/>
      </w:pPr>
      <w:r>
        <w:t xml:space="preserve">Chapter 21 sits in</w:t>
      </w:r>
      <w:r>
        <w:t xml:space="preserve"> </w:t>
      </w:r>
      <w:r>
        <w:rPr>
          <w:bCs/>
          <w:b/>
        </w:rPr>
        <w:t xml:space="preserve">Part VI — Sector Playbooks and Proof</w:t>
      </w:r>
      <w:r>
        <w:t xml:space="preserve">, completing the</w:t>
      </w:r>
      <w:r>
        <w:t xml:space="preserve"> </w:t>
      </w:r>
      <w:r>
        <w:rPr>
          <w:bCs/>
          <w:b/>
        </w:rPr>
        <w:t xml:space="preserve">Proof</w:t>
      </w:r>
      <w:r>
        <w:t xml:space="preserve"> </w:t>
      </w:r>
      <w:r>
        <w:t xml:space="preserve">phase of ARCS for cloud and multinational operators. Parts I–V delivered universal migration architecture; Part VI demonstrates survivability under sector constraints.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20"/>
        <w:gridCol w:w="55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21 contribution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ARCS — Proof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Tenant-isolated PQC architecture; cross-border evidence; Year 2–3 GlobalSync outcomes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PQ-ADAPT Level 4 →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Sustained hybrid operations with tenant contractual sunsets; disallowance readiness per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SOM — SaaS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 +0.25; partner Wave 0; assurance tier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PQC Governance 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Three-region programme office; tenant governance in Programme layer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TRADE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Ecosystem-weighted prioritisation for platform estates</w:t>
            </w:r>
          </w:p>
        </w:tc>
      </w:tr>
    </w:tbl>
    <w:p>
      <w:pPr>
        <w:pStyle w:val="BodyText"/>
      </w:pPr>
      <w:r>
        <w:rPr>
          <w:bCs/>
          <w:b/>
        </w:rPr>
        <w:t xml:space="preserve">PQ-ADAPT Level 4</w:t>
      </w:r>
      <w:r>
        <w:t xml:space="preserve"> </w:t>
      </w:r>
      <w:r>
        <w:t xml:space="preserve">for SaaS operators requires production hybrids under programme governance — not merely platform engineering enthusiasm. GlobalSync declared Level 4 Q2 2027 (Chapter 15). Level 5 approaches when quantum-vulnerable public-key cryptography is retired from in-scope production per wave plan and tenant contractual obligations — typically aligned to 2030–2035 disallowance horizons with</w:t>
      </w:r>
      <w:r>
        <w:t xml:space="preserve"> </w:t>
      </w:r>
      <w:r>
        <w:rPr>
          <w:bCs/>
          <w:b/>
        </w:rPr>
        <w:t xml:space="preserve">per-tenant sunset schedules</w:t>
      </w:r>
      <w:r>
        <w:t xml:space="preserve"> </w:t>
      </w:r>
      <w:r>
        <w:t xml:space="preserve">for BYOK and regulated tiers.</w:t>
      </w:r>
    </w:p>
    <w:p>
      <w:r>
        <w:pict>
          <v:rect style="width:0;height:1.5pt" o:hralign="center" o:hrstd="t" o:hr="t"/>
        </w:pict>
      </w:r>
    </w:p>
    <w:bookmarkEnd w:id="23"/>
    <w:bookmarkStart w:id="28" w:name="multi-tenant-pqc-architecture"/>
    <w:p>
      <w:pPr>
        <w:pStyle w:val="Heading2"/>
      </w:pPr>
      <w:r>
        <w:t xml:space="preserve">21.3 Multi-Tenant PQC Architecture</w:t>
      </w:r>
    </w:p>
    <w:p>
      <w:pPr>
        <w:pStyle w:val="FirstParagraph"/>
      </w:pPr>
      <w:r>
        <w:t xml:space="preserve">Multi-tenant SaaS cryptography differs from single-enterprise migration in one structural respect:</w:t>
      </w:r>
      <w:r>
        <w:t xml:space="preserve"> </w:t>
      </w:r>
      <w:r>
        <w:rPr>
          <w:bCs/>
          <w:b/>
        </w:rPr>
        <w:t xml:space="preserve">cryptographic policy must compose</w:t>
      </w:r>
      <w:r>
        <w:t xml:space="preserve"> </w:t>
      </w:r>
      <w:r>
        <w:t xml:space="preserve">— platform baseline plus tenant overlay plus jurisdiction constraint — without per-tenant code forks. Chapter 10’s profile inheritance model (GlobalSync Crypto-Agility Standard v1.0) provides the implementation pattern; this section defines the architecture.</w:t>
      </w:r>
    </w:p>
    <w:bookmarkStart w:id="24" w:name="architectural-layers"/>
    <w:p>
      <w:pPr>
        <w:pStyle w:val="Heading3"/>
      </w:pPr>
      <w:r>
        <w:t xml:space="preserve">21.3.1 Architectural layers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32"/>
        <w:gridCol w:w="2816"/>
        <w:gridCol w:w="38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Layer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PQC migration concern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Platform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Enterprise algorithm matrix; HLM phase; approved profile 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baseline; steering-approved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Tenant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profile tier (T0–T3); elevated algorithms for regulated segments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inheritance, not fork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Jurisdiction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EU, US federal, APAC regulatory rule sets in policy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scoping (Chapter 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Isolation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Namespace, KMS key hierarchy, network segmentation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crypto blast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Custody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Provider-managed, CMK, BYOK, HYOK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and evidence per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Egress / ingress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mTLS, tenant API gateways, webhook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0 CDG blocking nodes</w:t>
            </w:r>
          </w:p>
        </w:tc>
      </w:tr>
    </w:tbl>
    <w:bookmarkEnd w:id="24"/>
    <w:bookmarkStart w:id="25" w:name="tenant-assurance-tiers"/>
    <w:p>
      <w:pPr>
        <w:pStyle w:val="Heading3"/>
      </w:pPr>
      <w:r>
        <w:t xml:space="preserve">21.3.2 Tenant assurance tiers</w:t>
      </w:r>
    </w:p>
    <w:p>
      <w:pPr>
        <w:pStyle w:val="FirstParagraph"/>
      </w:pPr>
      <w:r>
        <w:t xml:space="preserve">GlobalSync standardised four tenant assurance tiers — referenced in procurement (Chapter 16), validation (Chapter 18), and tenant contracts: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8"/>
        <w:gridCol w:w="1272"/>
        <w:gridCol w:w="2121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PQC evidence expectation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T0 — 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default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Provider-managed KMS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assurance pack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T1 — Enhanced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Elevated signing/TLS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CMK per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+ tenant config attestation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T2 — Regulated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Financial/healthcare overlay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CMK + enhanced 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Per-tenant validation matrix excerpt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T3 — BYOK/HYOK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Customer-defined within allow-list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HSM/KMS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module cert + interop pack</w:t>
            </w:r>
          </w:p>
        </w:tc>
      </w:tr>
    </w:tbl>
    <w:p>
      <w:pPr>
        <w:pStyle w:val="BodyText"/>
      </w:pPr>
      <w:r>
        <w:t xml:space="preserve">Tier assignment is</w:t>
      </w:r>
      <w:r>
        <w:t xml:space="preserve"> </w:t>
      </w:r>
      <w:r>
        <w:rPr>
          <w:bCs/>
          <w:b/>
        </w:rPr>
        <w:t xml:space="preserve">contractual</w:t>
      </w:r>
      <w:r>
        <w:t xml:space="preserve">, not engineering discretion. Sofia Lindström’s programme office owned tier-to-profile mapping — preventing sales-led tier inflation that created evidence gaps.</w:t>
      </w:r>
    </w:p>
    <w:bookmarkEnd w:id="25"/>
    <w:bookmarkStart w:id="26" w:name="X2191854f4ff3ea478953fe50a067c39afc67b34"/>
    <w:p>
      <w:pPr>
        <w:pStyle w:val="Heading3"/>
      </w:pPr>
      <w:r>
        <w:t xml:space="preserve">21.3.3 Figure 21.1 — Multi-Tenant PQC Architecture</w:t>
      </w:r>
    </w:p>
    <w:p>
      <w:pPr>
        <w:pStyle w:val="FirstParagraph"/>
      </w:pPr>
      <w:r>
        <w:rPr>
          <w:bCs/>
          <w:b/>
        </w:rPr>
        <w:t xml:space="preserve">Figure 21.1 — Multi-Tenant PQC Architecture (GlobalSync Reference)</w:t>
      </w:r>
    </w:p>
    <w:p>
      <w:pPr>
        <w:pStyle w:val="SourceCode"/>
      </w:pPr>
      <w:r>
        <w:rPr>
          <w:rStyle w:val="VerbatimChar"/>
        </w:rPr>
        <w:t xml:space="preserve">                         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   PQC Governance Stack               │</w:t>
      </w:r>
      <w:r>
        <w:br/>
      </w:r>
      <w:r>
        <w:rPr>
          <w:rStyle w:val="VerbatimChar"/>
        </w:rPr>
        <w:t xml:space="preserve">                         │  Charter (Ch 15) · Steering · Crypto board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┌──────────────────────▼──────────────────────┐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Global policy service (HLM, profiles)  │</w:t>
      </w:r>
      <w:r>
        <w:br/>
      </w:r>
      <w:r>
        <w:rPr>
          <w:rStyle w:val="VerbatimChar"/>
        </w:rPr>
        <w:t xml:space="preserve">                         │   jurisdiction rules: EU · US · APAC      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        │</w:t>
      </w:r>
      <w:r>
        <w:br/>
      </w:r>
      <w:r>
        <w:rPr>
          <w:rStyle w:val="VerbatimChar"/>
        </w:rPr>
        <w:t xml:space="preserve">          ┌─────────────────────────────────────┼─────────────────────────────────────┐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│                                     │                                     │</w:t>
      </w:r>
      <w:r>
        <w:br/>
      </w:r>
      <w:r>
        <w:rPr>
          <w:rStyle w:val="VerbatimChar"/>
        </w:rPr>
        <w:t xml:space="preserve">   ┌──────▼──────┐                      ┌─────────▼─────────┐                  ┌───────▼───────┐</w:t>
      </w:r>
      <w:r>
        <w:br/>
      </w:r>
      <w:r>
        <w:rPr>
          <w:rStyle w:val="VerbatimChar"/>
        </w:rPr>
        <w:t xml:space="preserve">   │  Ingress /   │                      │  Platform KMS      │                  │  Egress /      │</w:t>
      </w:r>
      <w:r>
        <w:br/>
      </w:r>
      <w:r>
        <w:rPr>
          <w:rStyle w:val="VerbatimChar"/>
        </w:rPr>
        <w:t xml:space="preserve">   │  partner     │                      │  hierarchy         │                  │  tenant API    │</w:t>
      </w:r>
      <w:r>
        <w:br/>
      </w:r>
      <w:r>
        <w:rPr>
          <w:rStyle w:val="VerbatimChar"/>
        </w:rPr>
        <w:t xml:space="preserve">   │  gateway     │                      │                    │                  │  gateway       │</w:t>
      </w:r>
      <w:r>
        <w:br/>
      </w:r>
      <w:r>
        <w:rPr>
          <w:rStyle w:val="VerbatimChar"/>
        </w:rPr>
        <w:t xml:space="preserve">   │  (Wave 0)    │                      │  ┌─────────────┐ │                  │                │</w:t>
      </w:r>
      <w:r>
        <w:br/>
      </w:r>
      <w:r>
        <w:rPr>
          <w:rStyle w:val="VerbatimChar"/>
        </w:rPr>
        <w:t xml:space="preserve">   │  hybrid mTLS │                      │  │ Platform KEK │ │                  │  profile-bound │</w:t>
      </w:r>
      <w:r>
        <w:br/>
      </w:r>
      <w:r>
        <w:rPr>
          <w:rStyle w:val="VerbatimChar"/>
        </w:rPr>
        <w:t xml:space="preserve">   └──────┬──────┘                      │  └──────┬──────┘ │                  │  signing       │</w:t>
      </w:r>
      <w:r>
        <w:br/>
      </w:r>
      <w:r>
        <w:rPr>
          <w:rStyle w:val="VerbatimChar"/>
        </w:rPr>
        <w:t xml:space="preserve">          │                              │         │         │                  └───────┬───────┘</w:t>
      </w:r>
      <w:r>
        <w:br/>
      </w:r>
      <w:r>
        <w:rPr>
          <w:rStyle w:val="VerbatimChar"/>
        </w:rPr>
        <w:t xml:space="preserve">          │                              │    ┌────┴────┐    │                          │</w:t>
      </w:r>
      <w:r>
        <w:br/>
      </w:r>
      <w:r>
        <w:rPr>
          <w:rStyle w:val="VerbatimChar"/>
        </w:rPr>
        <w:t xml:space="preserve">          │                              │    │         │    │                          │</w:t>
      </w:r>
      <w:r>
        <w:br/>
      </w:r>
      <w:r>
        <w:rPr>
          <w:rStyle w:val="VerbatimChar"/>
        </w:rPr>
        <w:t xml:space="preserve">          │                         ┌────▼──┐ ┌▼────┐ ┌▼────┐                     │</w:t>
      </w:r>
      <w:r>
        <w:br/>
      </w:r>
      <w:r>
        <w:rPr>
          <w:rStyle w:val="VerbatimChar"/>
        </w:rPr>
        <w:t xml:space="preserve">          │                         │T0 KMS │ │T1   │ │T3   │                     │</w:t>
      </w:r>
      <w:r>
        <w:br/>
      </w:r>
      <w:r>
        <w:rPr>
          <w:rStyle w:val="VerbatimChar"/>
        </w:rPr>
        <w:t xml:space="preserve">          │                         │shared │ │CMK  │ │BYOK │                     │</w:t>
      </w:r>
      <w:r>
        <w:br/>
      </w:r>
      <w:r>
        <w:rPr>
          <w:rStyle w:val="VerbatimChar"/>
        </w:rPr>
        <w:t xml:space="preserve">          │                         └───┬───┘ └──┬──┘ └──┬──┘                     │</w:t>
      </w:r>
      <w:r>
        <w:br/>
      </w:r>
      <w:r>
        <w:rPr>
          <w:rStyle w:val="VerbatimChar"/>
        </w:rPr>
        <w:t xml:space="preserve">          │                             │        │       │                         │</w:t>
      </w:r>
      <w:r>
        <w:br/>
      </w:r>
      <w:r>
        <w:rPr>
          <w:rStyle w:val="VerbatimChar"/>
        </w:rPr>
        <w:t xml:space="preserve">          └─────────────────────────────┼────────┼───────┼─────────────────────────┘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        │       │</w:t>
      </w:r>
      <w:r>
        <w:br/>
      </w:r>
      <w:r>
        <w:rPr>
          <w:rStyle w:val="VerbatimChar"/>
        </w:rPr>
        <w:t xml:space="preserve">                         ┌──────────────▼────────▼───────▼──────────────────────────┐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            Tenant isolation boundary                    │</w:t>
      </w:r>
      <w:r>
        <w:br/>
      </w:r>
      <w:r>
        <w:rPr>
          <w:rStyle w:val="VerbatimChar"/>
        </w:rPr>
        <w:t xml:space="preserve">                         │  namespace · network policy · audit stream segregation     │</w:t>
      </w:r>
      <w:r>
        <w:br/>
      </w:r>
      <w:r>
        <w:rPr>
          <w:rStyle w:val="VerbatimChar"/>
        </w:rPr>
        <w:t xml:space="preserve">                         ├──────────────┬──────────────┬──────────────┬──────────────┤</w:t>
      </w:r>
      <w:r>
        <w:br/>
      </w:r>
      <w:r>
        <w:rPr>
          <w:rStyle w:val="VerbatimChar"/>
        </w:rPr>
        <w:t xml:space="preserve">                         │  Tenant A    │  Tenant B    │  Tenant C    │  Tenant D    │</w:t>
      </w:r>
      <w:r>
        <w:br/>
      </w:r>
      <w:r>
        <w:rPr>
          <w:rStyle w:val="VerbatimChar"/>
        </w:rPr>
        <w:t xml:space="preserve">                         │  T0 / EU     │  T2 / EU     │  T1 / US     │  T3 BYOK/DE  │</w:t>
      </w:r>
      <w:r>
        <w:br/>
      </w:r>
      <w:r>
        <w:rPr>
          <w:rStyle w:val="VerbatimChar"/>
        </w:rPr>
        <w:t xml:space="preserve">                         │  gs-tenant-  │  gs-health-  │  gs-fed-     │  customer    │</w:t>
      </w:r>
      <w:r>
        <w:br/>
      </w:r>
      <w:r>
        <w:rPr>
          <w:rStyle w:val="VerbatimChar"/>
        </w:rPr>
        <w:t xml:space="preserve">                         │  tls-v4      │  tls-v5      │  logistics-v3│  HSM anchor  │</w:t>
      </w:r>
      <w:r>
        <w:br/>
      </w:r>
      <w:r>
        <w:rPr>
          <w:rStyle w:val="VerbatimChar"/>
        </w:rPr>
        <w:t xml:space="preserve">                         └──────────────┴──────────────┴──────────────┴──────────────┘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┌──────────────▼──────────────────────────────────────────────┐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CI/CD cryptographic gates (Ch 17)                          │</w:t>
      </w:r>
      <w:r>
        <w:br/>
      </w:r>
      <w:r>
        <w:rPr>
          <w:rStyle w:val="VerbatimChar"/>
        </w:rPr>
        <w:t xml:space="preserve">                         │  CycloneDX CBOM · OPA policy · agility harness · IaC lint    │</w:t>
      </w:r>
      <w:r>
        <w:br/>
      </w:r>
      <w:r>
        <w:rPr>
          <w:rStyle w:val="VerbatimChar"/>
        </w:rPr>
        <w:t xml:space="preserve">                         └──────────────┬──────────────────────────────────────────────┘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   │</w:t>
      </w:r>
      <w:r>
        <w:br/>
      </w:r>
      <w:r>
        <w:rPr>
          <w:rStyle w:val="VerbatimChar"/>
        </w:rPr>
        <w:t xml:space="preserve">                         ┌──────────────▼──────────────────────────────────────────────┐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  │  Evidence plane: platform CBOM · tenant packs · GDPR Art 28  │</w:t>
      </w:r>
      <w:r>
        <w:br/>
      </w:r>
      <w:r>
        <w:rPr>
          <w:rStyle w:val="VerbatimChar"/>
        </w:rPr>
        <w:t xml:space="preserve">                         │  cross-border matrix · customer-facing CBOM summaries        │</w:t>
      </w:r>
      <w:r>
        <w:br/>
      </w:r>
      <w:r>
        <w:rPr>
          <w:rStyle w:val="VerbatimChar"/>
        </w:rPr>
        <w:t xml:space="preserve">                         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Production brief — Figure 21.1:</w:t>
      </w:r>
      <w:r>
        <w:t xml:space="preserve"> </w:t>
      </w:r>
      <w:r>
        <w:t xml:space="preserve">Full-width architecture diagram with colour-coded custody tiers (T0 grey, T1 blue, T2 amber, T3 red for customer anchor). Annotate data flows: ingress partner negotiation telemetry feeding CBOM</w:t>
      </w:r>
      <w:r>
        <w:t xml:space="preserve"> </w:t>
      </w:r>
      <w:r>
        <w:rPr>
          <w:rStyle w:val="VerbatimChar"/>
        </w:rPr>
        <w:t xml:space="preserve">hybrid_negotiation_rate</w:t>
      </w:r>
      <w:r>
        <w:t xml:space="preserve">; KMS wrap paths from platform KEK to tenant DEKs; evidence plane outputs linked to DPO pack template (§21.8). Include callout box for Wave 0 partner gateway as CDG blocking node.</w:t>
      </w:r>
    </w:p>
    <w:bookmarkEnd w:id="26"/>
    <w:bookmarkStart w:id="27" w:name="isolation-principles"/>
    <w:p>
      <w:pPr>
        <w:pStyle w:val="Heading3"/>
      </w:pPr>
      <w:r>
        <w:t xml:space="preserve">21.3.4 Isolation principles</w:t>
      </w:r>
    </w:p>
    <w:p>
      <w:pPr>
        <w:pStyle w:val="FirstParagraph"/>
      </w:pPr>
      <w:r>
        <w:rPr>
          <w:bCs/>
          <w:b/>
        </w:rPr>
        <w:t xml:space="preserve">Profile inheritance, not per-tenant forks.</w:t>
      </w:r>
      <w:r>
        <w:t xml:space="preserve"> </w:t>
      </w:r>
      <w:r>
        <w:t xml:space="preserve">Engineering maintains one service codebase; tenant tier selects profile ID from approved catalogue. Healthcare tenants on T2 inherit</w:t>
      </w:r>
      <w:r>
        <w:t xml:space="preserve"> </w:t>
      </w:r>
      <w:r>
        <w:rPr>
          <w:rStyle w:val="VerbatimChar"/>
        </w:rPr>
        <w:t xml:space="preserve">gs-health-tls-v5</w:t>
      </w:r>
      <w:r>
        <w:t xml:space="preserve"> </w:t>
      </w:r>
      <w:r>
        <w:t xml:space="preserve">— elevated cipher policy and audit signing — without a separate deployment branch.</w:t>
      </w:r>
    </w:p>
    <w:p>
      <w:pPr>
        <w:pStyle w:val="BodyText"/>
      </w:pPr>
      <w:r>
        <w:rPr>
          <w:bCs/>
          <w:b/>
        </w:rPr>
        <w:t xml:space="preserve">Cryptographic blast radius containment.</w:t>
      </w:r>
      <w:r>
        <w:t xml:space="preserve"> </w:t>
      </w:r>
      <w:r>
        <w:t xml:space="preserve">Tenant isolation boundary enforces: separate KMS key hierarchies per tier; network policies preventing cross-tenant key material access; audit log streams tagged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profile_id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hlm_phase</w:t>
      </w:r>
      <w:r>
        <w:t xml:space="preserve"> </w:t>
      </w:r>
      <w:r>
        <w:t xml:space="preserve">for evidence retrieval.</w:t>
      </w:r>
    </w:p>
    <w:p>
      <w:pPr>
        <w:pStyle w:val="BodyText"/>
      </w:pPr>
      <w:r>
        <w:rPr>
          <w:bCs/>
          <w:b/>
        </w:rPr>
        <w:t xml:space="preserve">Jurisdiction-scoped policy evaluation.</w:t>
      </w:r>
      <w:r>
        <w:t xml:space="preserve"> </w:t>
      </w:r>
      <w:r>
        <w:t xml:space="preserve">Chapter 17’s multinational gate overlay returns rule sets based on deployment region and tenant jurisdiction — EU tenants evaluated against GDPR and NIS2 flow-down; US federal logistics tenants against FedRAMP-oriented controls. One global rule set either over-constrains Americas deployments or under-protects EU healthcare workloads.</w:t>
      </w:r>
    </w:p>
    <w:p>
      <w:pPr>
        <w:pStyle w:val="BlockText"/>
      </w:pPr>
      <w:r>
        <w:rPr>
          <w:bCs/>
          <w:b/>
        </w:rPr>
        <w:t xml:space="preserve">Architect’s Decision</w:t>
      </w:r>
    </w:p>
    <w:p>
      <w:pPr>
        <w:pStyle w:val="BlockText"/>
      </w:pPr>
      <w:r>
        <w:rPr>
          <w:bCs/>
          <w:b/>
        </w:rPr>
        <w:t xml:space="preserve">Centralise partner negotiation at the gateway; distribute tenant profile selection at the contract layer.</w:t>
      </w:r>
      <w:r>
        <w:t xml:space="preserve"> </w:t>
      </w:r>
      <w:r>
        <w:t xml:space="preserve">GlobalSync’s Wave 0 succeeded when the programme director mandated</w:t>
      </w:r>
      <w:r>
        <w:t xml:space="preserve"> </w:t>
      </w:r>
      <w:r>
        <w:rPr>
          <w:rStyle w:val="VerbatimChar"/>
        </w:rPr>
        <w:t xml:space="preserve">gs-partner-mtls-v3</w:t>
      </w:r>
      <w:r>
        <w:t xml:space="preserve"> </w:t>
      </w:r>
      <w:r>
        <w:t xml:space="preserve">globally (Chapter 15). Tenant-facing TLS remained profile-inherited per tier. Programmes that regionalise partner profiles recreate CDG blocking; programmes that per-tenant fork partner profiles recreate engineering bankruptcy.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shared-responsibility-model"/>
    <w:p>
      <w:pPr>
        <w:pStyle w:val="Heading2"/>
      </w:pPr>
      <w:r>
        <w:t xml:space="preserve">21.4 Shared Responsibility Model</w:t>
      </w:r>
    </w:p>
    <w:p>
      <w:pPr>
        <w:pStyle w:val="FirstParagraph"/>
      </w:pPr>
      <w:r>
        <w:t xml:space="preserve">Cloud cryptography operates under a</w:t>
      </w:r>
      <w:r>
        <w:t xml:space="preserve"> </w:t>
      </w:r>
      <w:r>
        <w:rPr>
          <w:bCs/>
          <w:b/>
        </w:rPr>
        <w:t xml:space="preserve">shared responsibility model</w:t>
      </w:r>
      <w:r>
        <w:t xml:space="preserve"> </w:t>
      </w:r>
      <w:r>
        <w:t xml:space="preserve">— the contractual and operational partition of cryptographic duties between provider and customer. PQC migration fails when enterprises treat provider readiness announcements as transfer of</w:t>
      </w:r>
      <w:r>
        <w:t xml:space="preserve"> </w:t>
      </w:r>
      <w:r>
        <w:rPr>
          <w:bCs/>
          <w:b/>
        </w:rPr>
        <w:t xml:space="preserve">algorithm transition obligation</w:t>
      </w:r>
      <w:r>
        <w:t xml:space="preserve">.</w:t>
      </w:r>
    </w:p>
    <w:bookmarkStart w:id="29" w:name="responsibility-partition"/>
    <w:p>
      <w:pPr>
        <w:pStyle w:val="Heading3"/>
      </w:pPr>
      <w:r>
        <w:t xml:space="preserve">21.4.1 Responsibility partition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2880"/>
        <w:gridCol w:w="36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Control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typical 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/ SaaS operator 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data centre 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Hypervisor and host 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Managed KMS platform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Algorithm implementation inside validated module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(when claimed)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Verify CMVP scope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hierarchy 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defaults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Tenant key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mechanisms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Configuration and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Application-layer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SaaS operator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Mutual TLS to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Edge termination optional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Policy and negotiation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CBOM 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disclosure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Merge into estate CBOM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HLM phase execution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Programme governance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Cross-border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Processor sub-services list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Article 28/32 documentation</w:t>
            </w:r>
          </w:p>
        </w:tc>
      </w:tr>
    </w:tbl>
    <w:bookmarkEnd w:id="29"/>
    <w:bookmarkStart w:id="30" w:name="X4d9bc7b3d3dda88cc621248c7c4437ac9c34249"/>
    <w:p>
      <w:pPr>
        <w:pStyle w:val="Heading3"/>
      </w:pPr>
      <w:r>
        <w:t xml:space="preserve">21.4.2 SaaS operator as both customer and provider</w:t>
      </w:r>
    </w:p>
    <w:p>
      <w:pPr>
        <w:pStyle w:val="FirstParagraph"/>
      </w:pPr>
      <w:r>
        <w:t xml:space="preserve">GlobalSync occupies</w:t>
      </w:r>
      <w:r>
        <w:t xml:space="preserve"> </w:t>
      </w:r>
      <w:r>
        <w:rPr>
          <w:bCs/>
          <w:b/>
        </w:rPr>
        <w:t xml:space="preserve">both sides</w:t>
      </w:r>
      <w:r>
        <w:t xml:space="preserve"> </w:t>
      </w:r>
      <w:r>
        <w:t xml:space="preserve">of the shared responsibility model: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 cloud customer:</w:t>
      </w:r>
      <w:r>
        <w:t xml:space="preserve"> </w:t>
      </w:r>
      <w:r>
        <w:t xml:space="preserve">GlobalSync consumes hyperscaler KMS, HSM, and networking — responsible for verifying PQC algorithm availability inside FIPS boundaries per region, BYOK import paths, and provider CBOM merge (Chapter 7).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 SaaS provider:</w:t>
      </w:r>
      <w:r>
        <w:t xml:space="preserve"> </w:t>
      </w:r>
      <w:r>
        <w:t xml:space="preserve">GlobalSync provides logistics platform to tenants — responsible for application-layer cryptography, tenant isolation, profile inheritance, and processor documentation under GDPR Article 28.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concentration risk</w:t>
      </w:r>
      <w:r>
        <w:t xml:space="preserve"> </w:t>
      </w:r>
      <w:r>
        <w:t xml:space="preserve">intensifies at this dual boundary: a cloud KMS module gap affects GlobalSync’s platform keys</w:t>
      </w:r>
      <w:r>
        <w:t xml:space="preserve"> </w:t>
      </w:r>
      <w:r>
        <w:rPr>
          <w:iCs/>
          <w:i/>
        </w:rPr>
        <w:t xml:space="preserve">and</w:t>
      </w:r>
      <w:r>
        <w:t xml:space="preserve"> </w:t>
      </w:r>
      <w:r>
        <w:t xml:space="preserve">cascades into tenant assurance packs for T0–T2 tiers.</w:t>
      </w:r>
    </w:p>
    <w:bookmarkEnd w:id="30"/>
    <w:bookmarkStart w:id="31" w:name="shared-responsibility-matrix-artefact"/>
    <w:p>
      <w:pPr>
        <w:pStyle w:val="Heading3"/>
      </w:pPr>
      <w:r>
        <w:t xml:space="preserve">21.4.3 Shared responsibility matrix artefact</w:t>
      </w:r>
    </w:p>
    <w:p>
      <w:pPr>
        <w:pStyle w:val="FirstParagraph"/>
      </w:pPr>
      <w:r>
        <w:t xml:space="preserve">Chapter 16 required procurement to attach a</w:t>
      </w:r>
      <w:r>
        <w:t xml:space="preserve"> </w:t>
      </w:r>
      <w:r>
        <w:rPr>
          <w:bCs/>
          <w:b/>
        </w:rPr>
        <w:t xml:space="preserve">signed shared responsibility matrix</w:t>
      </w:r>
      <w:r>
        <w:t xml:space="preserve"> </w:t>
      </w:r>
      <w:r>
        <w:t xml:space="preserve">for cloud KMS contracts. GlobalSync extended the matrix to</w:t>
      </w:r>
      <w:r>
        <w:t xml:space="preserve"> </w:t>
      </w:r>
      <w:r>
        <w:rPr>
          <w:bCs/>
          <w:b/>
        </w:rPr>
        <w:t xml:space="preserve">tenant-facing documentation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34"/>
        <w:gridCol w:w="2468"/>
        <w:gridCol w:w="2262"/>
        <w:gridCol w:w="195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Matrix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(hyperscaler)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GlobalSync (platform)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(customer)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encryption at 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KMS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hierarchy; profile selection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BYOK key custody (T3)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TLS to tenant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Optional edge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Termination; hybrid negotiation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 compatibility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Application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Audit, webhook, API signatures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integrations (tenant code)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PQC roadmap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CMVP certs; roadmap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Assurance pack merge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T3: customer module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notification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Flow-down to sub-processors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Regulatory Lens</w:t>
      </w:r>
    </w:p>
    <w:p>
      <w:pPr>
        <w:pStyle w:val="BlockText"/>
      </w:pPr>
      <w:r>
        <w:t xml:space="preserve">GDPR Article 32 requires appropriate technical measures including encryption — measured against</w:t>
      </w:r>
      <w:r>
        <w:t xml:space="preserve"> </w:t>
      </w:r>
      <w:r>
        <w:rPr>
          <w:bCs/>
          <w:b/>
        </w:rPr>
        <w:t xml:space="preserve">state of the art</w:t>
      </w:r>
      <w:r>
        <w:t xml:space="preserve"> </w:t>
      </w:r>
      <w:r>
        <w:t xml:space="preserve">and risk. Supervisory authorities do not accept</w:t>
      </w:r>
      <w:r>
        <w:t xml:space="preserve"> </w:t>
      </w:r>
      <w:r>
        <w:t xml:space="preserve">“</w:t>
      </w:r>
      <w:r>
        <w:t xml:space="preserve">our cloud provider encrypts data</w:t>
      </w:r>
      <w:r>
        <w:t xml:space="preserve">”</w:t>
      </w:r>
      <w:r>
        <w:t xml:space="preserve"> </w:t>
      </w:r>
      <w:r>
        <w:t xml:space="preserve">without</w:t>
      </w:r>
      <w:r>
        <w:t xml:space="preserve"> </w:t>
      </w:r>
      <w:r>
        <w:rPr>
          <w:bCs/>
          <w:b/>
        </w:rPr>
        <w:t xml:space="preserve">demonstrating</w:t>
      </w:r>
      <w:r>
        <w:t xml:space="preserve"> </w:t>
      </w:r>
      <w:r>
        <w:t xml:space="preserve">that encryption meets current risk, including documented trajectory toward post-quantum resilience. For SaaS processors, Article 28 requires sufficient guarantees — assurance packs must cite</w:t>
      </w:r>
      <w:r>
        <w:t xml:space="preserve"> </w:t>
      </w:r>
      <w:r>
        <w:rPr>
          <w:bCs/>
          <w:b/>
        </w:rPr>
        <w:t xml:space="preserve">actual algorithms, custody model, and migration timeline</w:t>
      </w:r>
      <w:r>
        <w:t xml:space="preserve">, not marketing language inherited from hyperscaler press releases.</w:t>
      </w:r>
    </w:p>
    <w:bookmarkEnd w:id="31"/>
    <w:bookmarkStart w:id="32" w:name="X34aa34301427f7beba9c6c10334ce59e7888bb7"/>
    <w:p>
      <w:pPr>
        <w:pStyle w:val="Heading3"/>
      </w:pPr>
      <w:r>
        <w:t xml:space="preserve">21.4.4 Concentration risk under shared responsibility</w:t>
      </w:r>
    </w:p>
    <w:p>
      <w:pPr>
        <w:pStyle w:val="FirstParagraph"/>
      </w:pPr>
      <w:r>
        <w:t xml:space="preserve">Chapter 16’s Article 29 concentration analysis applies to cloud cryptography: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18"/>
        <w:gridCol w:w="2550"/>
        <w:gridCol w:w="2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Concentration signal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GlobalSync example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Programme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 hyperscaler for 85% of KMS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EU and US regions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provider evaluation; region-pinned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Dominant partner gateway vendor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Single API hub for customs 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PQC roadmap; Wave 0 retest SOW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Embedded JWT library across 200 services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Transitive dependency fan-in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golden image remediation (Chapter 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One HSM vendor for platform 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Corporate ML-DSA root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vendor qualification in procurement pipeline</w:t>
            </w:r>
          </w:p>
        </w:tc>
      </w:tr>
    </w:tbl>
    <w:p>
      <w:pPr>
        <w:pStyle w:val="BodyText"/>
      </w:pPr>
      <w:r>
        <w:t xml:space="preserve">Sofia Lindström escalated hyperscaler concentration to steering Q3 2027 — not for immediate migration, but for</w:t>
      </w:r>
      <w:r>
        <w:t xml:space="preserve"> </w:t>
      </w:r>
      <w:r>
        <w:rPr>
          <w:bCs/>
          <w:b/>
        </w:rPr>
        <w:t xml:space="preserve">evidence redundancy</w:t>
      </w:r>
      <w:r>
        <w:t xml:space="preserve">: secondary KMS provider interop testing began so assurance packs could cite substitutability analysis if primary module validation delayed.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9" w:name="byok-hyok-and-tenant-key-custody"/>
    <w:p>
      <w:pPr>
        <w:pStyle w:val="Heading2"/>
      </w:pPr>
      <w:r>
        <w:t xml:space="preserve">21.5 BYOK, HYOK, and Tenant Key Custody</w:t>
      </w:r>
    </w:p>
    <w:p>
      <w:pPr>
        <w:pStyle w:val="FirstParagraph"/>
      </w:pPr>
      <w:r>
        <w:rPr>
          <w:bCs/>
          <w:b/>
        </w:rPr>
        <w:t xml:space="preserve">Bring Your Own Key (BYOK)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Hold Your Own Key (HYOK)</w:t>
      </w:r>
      <w:r>
        <w:t xml:space="preserve"> </w:t>
      </w:r>
      <w:r>
        <w:t xml:space="preserve">models transfer key custody toward the tenant — shifting PQC migration evidence requirements across the shared responsibility boundary.</w:t>
      </w:r>
    </w:p>
    <w:bookmarkStart w:id="34" w:name="custody-model-definitions"/>
    <w:p>
      <w:pPr>
        <w:pStyle w:val="Heading3"/>
      </w:pPr>
      <w:r>
        <w:t xml:space="preserve">21.5.1 Custody model definitions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40"/>
        <w:gridCol w:w="1800"/>
        <w:gridCol w:w="1560"/>
        <w:gridCol w:w="2040"/>
        <w:gridCol w:w="16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storage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Typical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Provider-managed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KMS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HSM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wrap/unwrap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Customer-managed (CMK)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or 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HSM, tenant-controlled policy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unwrap for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T1–T2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HSM; key imported to platform KMS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operations on imported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HSM exclusively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never holds raw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 (defence, finance)</w:t>
            </w:r>
          </w:p>
        </w:tc>
      </w:tr>
    </w:tbl>
    <w:p>
      <w:pPr>
        <w:pStyle w:val="BodyText"/>
      </w:pPr>
      <w:r>
        <w:t xml:space="preserve">PQC migration adds complexity:</w:t>
      </w:r>
      <w:r>
        <w:t xml:space="preserve"> </w:t>
      </w:r>
      <w:r>
        <w:rPr>
          <w:bCs/>
          <w:b/>
        </w:rPr>
        <w:t xml:space="preserve">import format support</w:t>
      </w:r>
      <w:r>
        <w:t xml:space="preserve"> </w:t>
      </w:r>
      <w:r>
        <w:t xml:space="preserve">for ML-DSA and ML-KEM key material;</w:t>
      </w:r>
      <w:r>
        <w:t xml:space="preserve"> </w:t>
      </w:r>
      <w:r>
        <w:rPr>
          <w:bCs/>
          <w:b/>
        </w:rPr>
        <w:t xml:space="preserve">larger key components</w:t>
      </w:r>
      <w:r>
        <w:t xml:space="preserve"> </w:t>
      </w:r>
      <w:r>
        <w:t xml:space="preserve">stressing ceremony media;</w:t>
      </w:r>
      <w:r>
        <w:t xml:space="preserve"> </w:t>
      </w:r>
      <w:r>
        <w:rPr>
          <w:bCs/>
          <w:b/>
        </w:rPr>
        <w:t xml:space="preserve">validation boundary</w:t>
      </w:r>
      <w:r>
        <w:t xml:space="preserve"> </w:t>
      </w:r>
      <w:r>
        <w:t xml:space="preserve">— tenant’s module may lag platform module by quarters.</w:t>
      </w:r>
    </w:p>
    <w:bookmarkEnd w:id="34"/>
    <w:bookmarkStart w:id="35" w:name="byokhyok-pqc-checklist"/>
    <w:p>
      <w:pPr>
        <w:pStyle w:val="Heading3"/>
      </w:pPr>
      <w:r>
        <w:t xml:space="preserve">21.5.2 BYOK/HYOK PQC checklist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30"/>
        <w:gridCol w:w="2200"/>
        <w:gridCol w:w="2200"/>
        <w:gridCol w:w="2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artefact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ML-KEM / ML-DSA import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 supported formats; test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compliant key material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Interop test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size limits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maximum sizes per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 HSM capacity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CMVP implementation letter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Rotation choreography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and runbook for dual-key H1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Participate in rotation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 record per tenant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HLM phase alignment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Notify per contract clause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Accept or defer sunset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amendment 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module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Publish platform</w:t>
            </w:r>
            <w:r>
              <w:t xml:space="preserve"> </w:t>
            </w:r>
            <w:r>
              <w:rPr>
                <w:rStyle w:val="VerbatimChar"/>
              </w:rPr>
              <w:t xml:space="preserve">validation_module_id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 customer module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Merged validation matrix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Destruction attestation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key deletion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HSM destruction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Cross-boundary audit pack</w:t>
            </w:r>
          </w:p>
        </w:tc>
      </w:tr>
    </w:tbl>
    <w:bookmarkEnd w:id="35"/>
    <w:bookmarkStart w:id="36" w:name="the-t3-validation-dependency"/>
    <w:p>
      <w:pPr>
        <w:pStyle w:val="Heading3"/>
      </w:pPr>
      <w:r>
        <w:t xml:space="preserve">21.5.3 The T3 validation dependency</w:t>
      </w:r>
    </w:p>
    <w:p>
      <w:pPr>
        <w:pStyle w:val="FirstParagraph"/>
      </w:pPr>
      <w:r>
        <w:t xml:space="preserve">Chapter 18 documented GlobalSync’s</w:t>
      </w:r>
      <w:r>
        <w:t xml:space="preserve"> </w:t>
      </w:r>
      <w:r>
        <w:rPr>
          <w:bCs/>
          <w:b/>
        </w:rPr>
        <w:t xml:space="preserve">T3 BYOK tenant in Germany</w:t>
      </w:r>
      <w:r>
        <w:t xml:space="preserve"> </w:t>
      </w:r>
      <w:r>
        <w:t xml:space="preserve">— platform H2-ready while customer-managed HSM awaited ML-KEM validation. The migration dependency timeline applied</w:t>
      </w:r>
      <w:r>
        <w:t xml:space="preserve"> </w:t>
      </w:r>
      <w:r>
        <w:rPr>
          <w:bCs/>
          <w:b/>
        </w:rPr>
        <w:t xml:space="preserve">per-tenant</w:t>
      </w:r>
      <w:r>
        <w:t xml:space="preserve">, not per-platform.</w:t>
      </w:r>
    </w:p>
    <w:p>
      <w:pPr>
        <w:pStyle w:val="BodyText"/>
      </w:pPr>
      <w:r>
        <w:t xml:space="preserve">Marcus Chen’s architecture board rejected</w:t>
      </w:r>
      <w:r>
        <w:t xml:space="preserve"> </w:t>
      </w:r>
      <w:r>
        <w:t xml:space="preserve">“</w:t>
      </w:r>
      <w:r>
        <w:t xml:space="preserve">platform ready</w:t>
      </w:r>
      <w:r>
        <w:t xml:space="preserve">”</w:t>
      </w:r>
      <w:r>
        <w:t xml:space="preserve"> </w:t>
      </w:r>
      <w:r>
        <w:t xml:space="preserve">marketing for T3 tiers. Tenant assurance packs explicitly stated:</w:t>
      </w:r>
    </w:p>
    <w:p>
      <w:pPr>
        <w:numPr>
          <w:ilvl w:val="0"/>
          <w:numId w:val="1002"/>
        </w:numPr>
        <w:pStyle w:val="Compact"/>
      </w:pPr>
      <w:r>
        <w:t xml:space="preserve">Platform HLM phase and date</w:t>
      </w:r>
    </w:p>
    <w:p>
      <w:pPr>
        <w:numPr>
          <w:ilvl w:val="0"/>
          <w:numId w:val="1002"/>
        </w:numPr>
        <w:pStyle w:val="Compact"/>
      </w:pPr>
      <w:r>
        <w:t xml:space="preserve">Tenant custody model and tenant HLM commitment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Blocking dependency</w:t>
      </w:r>
      <w:r>
        <w:t xml:space="preserve"> </w:t>
      </w:r>
      <w:r>
        <w:t xml:space="preserve">if tenant module validation lags platform</w:t>
      </w:r>
    </w:p>
    <w:p>
      <w:pPr>
        <w:numPr>
          <w:ilvl w:val="0"/>
          <w:numId w:val="1002"/>
        </w:numPr>
        <w:pStyle w:val="Compact"/>
      </w:pPr>
      <w:r>
        <w:t xml:space="preserve">Interop test offer with tenant endpoints</w:t>
      </w:r>
    </w:p>
    <w:p>
      <w:pPr>
        <w:pStyle w:val="BlockText"/>
      </w:pPr>
      <w:r>
        <w:rPr>
          <w:bCs/>
          <w:b/>
        </w:rPr>
        <w:t xml:space="preserve">Dependency Alert</w:t>
      </w:r>
    </w:p>
    <w:p>
      <w:pPr>
        <w:pStyle w:val="BlockText"/>
      </w:pPr>
      <w:r>
        <w:t xml:space="preserve">BYOK tenants are CDG leaf nodes that can become</w:t>
      </w:r>
      <w:r>
        <w:t xml:space="preserve"> </w:t>
      </w:r>
      <w:r>
        <w:rPr>
          <w:bCs/>
          <w:b/>
        </w:rPr>
        <w:t xml:space="preserve">blocking nodes for tenant relationship revenue</w:t>
      </w:r>
      <w:r>
        <w:t xml:space="preserve"> </w:t>
      </w:r>
      <w:r>
        <w:t xml:space="preserve">— not for platform engineering, but for Wave exit claims. GlobalSync’s Wave 1 exit criteria included</w:t>
      </w:r>
      <w:r>
        <w:t xml:space="preserve"> </w:t>
      </w:r>
      <w:r>
        <w:t xml:space="preserve">“</w:t>
      </w:r>
      <w:r>
        <w:t xml:space="preserve">platform tiers T0–T2 migrated</w:t>
      </w:r>
      <w:r>
        <w:t xml:space="preserve">”</w:t>
      </w:r>
      <w:r>
        <w:t xml:space="preserve">; T3 tenants tracked on</w:t>
      </w:r>
      <w:r>
        <w:t xml:space="preserve"> </w:t>
      </w:r>
      <w:r>
        <w:rPr>
          <w:bCs/>
          <w:b/>
        </w:rPr>
        <w:t xml:space="preserve">separate tenant wave register</w:t>
      </w:r>
      <w:r>
        <w:t xml:space="preserve"> </w:t>
      </w:r>
      <w:r>
        <w:t xml:space="preserve">with contractual sunset dates. Conflating platform and tenant wave completion produces false PQ-ADAPT maturity declarations.</w:t>
      </w:r>
    </w:p>
    <w:bookmarkEnd w:id="36"/>
    <w:bookmarkStart w:id="37" w:name="Xb8ef37dc73b0ac65666ea3e29ad43496d131084"/>
    <w:p>
      <w:pPr>
        <w:pStyle w:val="Heading3"/>
      </w:pPr>
      <w:r>
        <w:t xml:space="preserve">21.5.4 HYOK and confidential computing intersections</w:t>
      </w:r>
    </w:p>
    <w:p>
      <w:pPr>
        <w:pStyle w:val="FirstParagraph"/>
      </w:pPr>
      <w:r>
        <w:t xml:space="preserve">HYOK tenants — common in defence-adjacent logistics segments GlobalSync serves — require</w:t>
      </w:r>
      <w:r>
        <w:t xml:space="preserve"> </w:t>
      </w:r>
      <w:r>
        <w:rPr>
          <w:bCs/>
          <w:b/>
        </w:rPr>
        <w:t xml:space="preserve">cryptographic operations inside tenant boundary</w:t>
      </w:r>
      <w:r>
        <w:t xml:space="preserve"> </w:t>
      </w:r>
      <w:r>
        <w:t xml:space="preserve">with attested execution evidence. Confidential computing (TEE-based enclaves) provides an intermediate pattern: platform operates on encrypted data without raw key access, but attestation chains must still reflect PQC algorithms in quoting and sealing paths.</w:t>
      </w:r>
    </w:p>
    <w:p>
      <w:pPr>
        <w:pStyle w:val="BodyText"/>
      </w:pPr>
      <w:r>
        <w:t xml:space="preserve">GlobalSync’s HYOK architecture limited platform obligations to:</w:t>
      </w:r>
    </w:p>
    <w:p>
      <w:pPr>
        <w:numPr>
          <w:ilvl w:val="0"/>
          <w:numId w:val="1003"/>
        </w:numPr>
        <w:pStyle w:val="Compact"/>
      </w:pPr>
      <w:r>
        <w:t xml:space="preserve">Relay encrypted payloads</w:t>
      </w:r>
    </w:p>
    <w:p>
      <w:pPr>
        <w:numPr>
          <w:ilvl w:val="0"/>
          <w:numId w:val="1003"/>
        </w:numPr>
        <w:pStyle w:val="Compact"/>
      </w:pPr>
      <w:r>
        <w:t xml:space="preserve">Provide attestation verification APIs</w:t>
      </w:r>
    </w:p>
    <w:p>
      <w:pPr>
        <w:numPr>
          <w:ilvl w:val="0"/>
          <w:numId w:val="1003"/>
        </w:numPr>
        <w:pStyle w:val="Compact"/>
      </w:pPr>
      <w:r>
        <w:t xml:space="preserve">Maintain CBOM rows for</w:t>
      </w:r>
      <w:r>
        <w:t xml:space="preserve"> </w:t>
      </w:r>
      <w:r>
        <w:rPr>
          <w:bCs/>
          <w:b/>
        </w:rPr>
        <w:t xml:space="preserve">platform-visible</w:t>
      </w:r>
      <w:r>
        <w:t xml:space="preserve"> </w:t>
      </w:r>
      <w:r>
        <w:t xml:space="preserve">cryptography only</w:t>
      </w:r>
    </w:p>
    <w:p>
      <w:pPr>
        <w:numPr>
          <w:ilvl w:val="0"/>
          <w:numId w:val="1003"/>
        </w:numPr>
        <w:pStyle w:val="Compact"/>
      </w:pPr>
      <w:r>
        <w:t xml:space="preserve">Document explicit</w:t>
      </w:r>
      <w:r>
        <w:t xml:space="preserve"> </w:t>
      </w:r>
      <w:r>
        <w:rPr>
          <w:bCs/>
          <w:b/>
        </w:rPr>
        <w:t xml:space="preserve">blind spots</w:t>
      </w:r>
      <w:r>
        <w:t xml:space="preserve"> </w:t>
      </w:r>
      <w:r>
        <w:t xml:space="preserve">in tenant-facing CBOM summaries — tenant-internal HSM operations marked</w:t>
      </w:r>
      <w:r>
        <w:t xml:space="preserve"> </w:t>
      </w:r>
      <w:r>
        <w:rPr>
          <w:rStyle w:val="VerbatimChar"/>
        </w:rPr>
        <w:t xml:space="preserve">custody=tenant; visibility=none</w:t>
      </w:r>
    </w:p>
    <w:p>
      <w:pPr>
        <w:pStyle w:val="FirstParagraph"/>
      </w:pPr>
      <w:r>
        <w:t xml:space="preserve">Honest blind-spot documentation prevented supervisory findings when auditors compared marketing claims to evidence scope.</w:t>
      </w:r>
    </w:p>
    <w:bookmarkEnd w:id="37"/>
    <w:bookmarkStart w:id="38" w:name="Xe28fc0ed4e357a946e5bcd6bcf650052f46e0ac"/>
    <w:p>
      <w:pPr>
        <w:pStyle w:val="Heading3"/>
      </w:pPr>
      <w:r>
        <w:t xml:space="preserve">21.5.5 Key rotation choreography across custody tiers</w:t>
      </w:r>
    </w:p>
    <w:p>
      <w:pPr>
        <w:pStyle w:val="FirstParagraph"/>
      </w:pPr>
      <w:r>
        <w:t xml:space="preserve">PQC migration conflates</w:t>
      </w:r>
      <w:r>
        <w:t xml:space="preserve"> </w:t>
      </w:r>
      <w:r>
        <w:rPr>
          <w:bCs/>
          <w:b/>
        </w:rPr>
        <w:t xml:space="preserve">algorithm substitution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scheduled rotation</w:t>
      </w:r>
      <w:r>
        <w:t xml:space="preserve"> </w:t>
      </w:r>
      <w:r>
        <w:t xml:space="preserve">more severely in multi-tenant estates than in single-enterprise deployments — because rotation windows must align across platform KMS, tenant CMK policies, and BYOK ceremony calendars without forcing simultaneous tenant outages.</w:t>
      </w:r>
    </w:p>
    <w:p>
      <w:pPr>
        <w:pStyle w:val="BodyText"/>
      </w:pPr>
      <w:r>
        <w:t xml:space="preserve">GlobalSync adopted a</w:t>
      </w:r>
      <w:r>
        <w:t xml:space="preserve"> </w:t>
      </w:r>
      <w:r>
        <w:rPr>
          <w:bCs/>
          <w:b/>
        </w:rPr>
        <w:t xml:space="preserve">tiered rotation choreography</w:t>
      </w:r>
      <w:r>
        <w:t xml:space="preserve"> </w:t>
      </w:r>
      <w:r>
        <w:t xml:space="preserve">model: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2451"/>
        <w:gridCol w:w="2074"/>
        <w:gridCol w:w="207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T0–T1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H1 entry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dual KEK; tenant DEK re-wrap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Elevated audit signing key dual-stack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Interop test for imported PQC 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H1 sustain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Automated re-wrap on tenant login burst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 change window per tenant SLA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Tenant-led ceremony with platform witness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H2 transition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classical KEK generation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90-day notice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amendment required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H3 verification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CBOM scan confirms zero classical wrap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Per-tenant attestation in assurance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 destruction cert collected</w:t>
            </w:r>
          </w:p>
        </w:tc>
      </w:tr>
    </w:tbl>
    <w:p>
      <w:pPr>
        <w:pStyle w:val="BodyText"/>
      </w:pPr>
      <w:r>
        <w:t xml:space="preserve">Marcus Chen’s operations team published</w:t>
      </w:r>
      <w:r>
        <w:t xml:space="preserve"> </w:t>
      </w:r>
      <w:r>
        <w:rPr>
          <w:bCs/>
          <w:b/>
        </w:rPr>
        <w:t xml:space="preserve">runbooks per tier</w:t>
      </w:r>
      <w:r>
        <w:t xml:space="preserve"> </w:t>
      </w:r>
      <w:r>
        <w:t xml:space="preserve">— not one enterprise rotation document. A T0 rotation completed in automated maintenance; a T3 BYOK rotation required six-week lead time and interop harness re-execution. Steering committee approved choreography before Wave 1 to prevent operations from improvising per incident.</w:t>
      </w:r>
    </w:p>
    <w:p>
      <w:pPr>
        <w:pStyle w:val="BodyText"/>
      </w:pPr>
      <w:r>
        <w:rPr>
          <w:bCs/>
          <w:b/>
        </w:rPr>
        <w:t xml:space="preserve">Rollback posture:</w:t>
      </w:r>
      <w:r>
        <w:t xml:space="preserve"> </w:t>
      </w:r>
      <w:r>
        <w:t xml:space="preserve">H1 dual-stack rotations retained classical KEK material in escrow until verification windows closed — typically fourteen days for T0, thirty days for T2, contract-defined for T3. GlobalSync’s January 2028 evidence pack cited rollback posture explicitly when the German healthcare tenant asked whether hybrid transition introduced irreversible risk.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X0f443756badf771c6e7019d2b00c9c49e195faa"/>
    <w:p>
      <w:pPr>
        <w:pStyle w:val="Heading2"/>
      </w:pPr>
      <w:r>
        <w:t xml:space="preserve">21.6 Cloud Provider Capability Comparison Framework</w:t>
      </w:r>
    </w:p>
    <w:p>
      <w:pPr>
        <w:pStyle w:val="FirstParagraph"/>
      </w:pPr>
      <w:r>
        <w:t xml:space="preserve">The book deliberately avoids vendor product endorsements. Assessment uses</w:t>
      </w:r>
      <w:r>
        <w:t xml:space="preserve"> </w:t>
      </w:r>
      <w:r>
        <w:rPr>
          <w:bCs/>
          <w:b/>
        </w:rPr>
        <w:t xml:space="preserve">vendor-neutral capability categories</w:t>
      </w:r>
      <w:r>
        <w:t xml:space="preserve"> </w:t>
      </w:r>
      <w:r>
        <w:t xml:space="preserve">applicable to hyperscaler KMS, cloud HSM, managed PKI, edge TLS, and confidential computing services. Procurement embeds this framework in RFP scoring (Chapter 16); architecture maintains living assessments quarterly.</w:t>
      </w:r>
    </w:p>
    <w:p>
      <w:pPr>
        <w:pStyle w:val="BodyText"/>
      </w:pPr>
      <w:r>
        <w:rPr>
          <w:bCs/>
          <w:b/>
        </w:rPr>
        <w:t xml:space="preserve">Table 21.1 — Cloud Provider Capability Comparison Framework (Vendor-Neutral Categories)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15"/>
        <w:gridCol w:w="2230"/>
        <w:gridCol w:w="2230"/>
        <w:gridCol w:w="23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 question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guide (1–5)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Algorithm breadth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FIPS 203–205 algorithms are available in production API?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CMVP certificate; algorithm implementation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1=roadmap only; 5=all required algorithms in scope regions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Validation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algorithms are inside FIPS 140-3 module vs software implementation?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CMVP security policy PDF; boundary diagram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1=unclear boundary; 5=explicit per-algorithm module mapping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Regional availability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capabilities vary by region/jurisdiction?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 capability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1=undocumented variance; 5=published per-region with dates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BYOK/HYOK import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Supported import formats for ML-KEM, ML-DSA key material?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 API documentation; test results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1=not supported; 5=production import with interop harness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E. Hybrid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TLS hybrid groups, hybrid wrap, dual-signature options?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 reference; interop test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1=classical only; 5=production hybrid with telemetry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F. Key ceremony scale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key sizes; HSM partition limits; 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whitepaper; measured benchmarks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1=ML-DSA exceeds limits; 5=certified at required parameter sets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G. CBOM / 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Machine-readable cryptographic disclosure available?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CBOM or equivalent 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1=none; 5=CycloneDX-compatible or mergeable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H. Roadmap binding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 PQC milestones contractually binding?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clause; SLA attachment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1=marketing slide; 5=milestone penalties in contract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I. Audit and attest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Third-party audit rights; SOC/FedRAMP crypto control mapping?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report excerpts; responsibility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1=no audit rights; 5=full cryptographic audit clause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J. Exit and portability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export, migration assistance, destruction certification?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Exit runbook; sample destruction cert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1=lock-in; 5=documented portable exit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K. Multi-tenant isolation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Cryptographic isolation between customer keys?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whitepaper; pen test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1=logical only; 5=hardware-backed isolation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L. Agility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API-driven algorithm policy update without redeployment?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reference; change 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1=manual ticket; 5=programmatic policy with version API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Composite assessment:</w:t>
      </w:r>
      <w:r>
        <w:t xml:space="preserve"> </w:t>
      </w:r>
      <w:r>
        <w:t xml:space="preserve">Categories A, B, C, D are</w:t>
      </w:r>
      <w:r>
        <w:t xml:space="preserve"> </w:t>
      </w:r>
      <w:r>
        <w:rPr>
          <w:bCs/>
          <w:b/>
        </w:rPr>
        <w:t xml:space="preserve">blocking</w:t>
      </w:r>
      <w:r>
        <w:t xml:space="preserve"> </w:t>
      </w:r>
      <w:r>
        <w:t xml:space="preserve">— score below 3 triggers Wave gate hold for workloads depending on that capability. Categories E–L are</w:t>
      </w:r>
      <w:r>
        <w:t xml:space="preserve"> </w:t>
      </w:r>
      <w:r>
        <w:rPr>
          <w:bCs/>
          <w:b/>
        </w:rPr>
        <w:t xml:space="preserve">programme</w:t>
      </w:r>
      <w:r>
        <w:t xml:space="preserve"> </w:t>
      </w:r>
      <w:r>
        <w:t xml:space="preserve">— score below 3 triggers risk acceptance or compensating controls.</w:t>
      </w:r>
    </w:p>
    <w:p>
      <w:pPr>
        <w:pStyle w:val="BodyText"/>
      </w:pPr>
      <w:r>
        <w:rPr>
          <w:bCs/>
          <w:b/>
        </w:rPr>
        <w:t xml:space="preserve">Assessment cadence:</w:t>
      </w:r>
      <w:r>
        <w:t xml:space="preserve"> </w:t>
      </w:r>
      <w:r>
        <w:t xml:space="preserve">Quarterly refresh aligned to steering committee; ad hoc refresh on provider major release or CMVP recertification.</w:t>
      </w:r>
    </w:p>
    <w:p>
      <w:pPr>
        <w:pStyle w:val="BodyText"/>
      </w:pPr>
      <w:r>
        <w:t xml:space="preserve">GlobalSync maintained assessments for</w:t>
      </w:r>
      <w:r>
        <w:t xml:space="preserve"> </w:t>
      </w:r>
      <w:r>
        <w:rPr>
          <w:bCs/>
          <w:b/>
        </w:rPr>
        <w:t xml:space="preserve">three hyperscaler categories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two specialist cloud HSM providers</w:t>
      </w:r>
      <w:r>
        <w:t xml:space="preserve"> </w:t>
      </w:r>
      <w:r>
        <w:t xml:space="preserve">— scores published internally to programme office, not externally. Marcus Chen used composite scores to sequence</w:t>
      </w:r>
      <w:r>
        <w:t xml:space="preserve"> </w:t>
      </w:r>
      <w:r>
        <w:rPr>
          <w:bCs/>
          <w:b/>
        </w:rPr>
        <w:t xml:space="preserve">Pattern C cloud KMS migration</w:t>
      </w:r>
      <w:r>
        <w:t xml:space="preserve"> </w:t>
      </w:r>
      <w:r>
        <w:t xml:space="preserve">(Chapter 14) — EU region first where Category C scored highest; APAC deferred where Category B boundary ambiguity required legal review.</w:t>
      </w:r>
    </w:p>
    <w:p>
      <w:pPr>
        <w:pStyle w:val="BlockText"/>
      </w:pPr>
      <w:r>
        <w:rPr>
          <w:bCs/>
          <w:b/>
        </w:rPr>
        <w:t xml:space="preserve">Architect’s Decision</w:t>
      </w:r>
    </w:p>
    <w:p>
      <w:pPr>
        <w:pStyle w:val="BlockText"/>
      </w:pPr>
      <w:r>
        <w:rPr>
          <w:bCs/>
          <w:b/>
        </w:rPr>
        <w:t xml:space="preserve">Score the validation boundary, not the press release.</w:t>
      </w:r>
      <w:r>
        <w:t xml:space="preserve"> </w:t>
      </w:r>
      <w:r>
        <w:t xml:space="preserve">Meridian’s DORA lesson (Chapter 14) applies to SaaS operators as cloud customers: ML-KEM in a marketing blog is not ML-KEM inside the FIPS boundary your tenant assurance pack cites. Category B is the most common false-positive source — require security policy PDF annotation, not sales engineering summary.</w:t>
      </w:r>
    </w:p>
    <w:p>
      <w:r>
        <w:pict>
          <v:rect style="width:0;height:1.5pt" o:hralign="center" o:hrstd="t" o:hr="t"/>
        </w:pict>
      </w:r>
    </w:p>
    <w:bookmarkEnd w:id="40"/>
    <w:bookmarkStart w:id="44" w:name="three-region-programme-design"/>
    <w:p>
      <w:pPr>
        <w:pStyle w:val="Heading2"/>
      </w:pPr>
      <w:r>
        <w:t xml:space="preserve">21.7 Three-Region Programme Design</w:t>
      </w:r>
    </w:p>
    <w:p>
      <w:pPr>
        <w:pStyle w:val="FirstParagraph"/>
      </w:pPr>
      <w:r>
        <w:t xml:space="preserve">GlobalSync’s</w:t>
      </w:r>
      <w:r>
        <w:t xml:space="preserve"> </w:t>
      </w:r>
      <w:r>
        <w:rPr>
          <w:bCs/>
          <w:b/>
        </w:rPr>
        <w:t xml:space="preserve">three-region programme office</w:t>
      </w:r>
      <w:r>
        <w:t xml:space="preserve"> </w:t>
      </w:r>
      <w:r>
        <w:t xml:space="preserve">under Sofia Lindström (Chapter 15 §15.15) is the organisational pattern this chapter operationalises for cryptographic migration — not a generic project management convenience, but a</w:t>
      </w:r>
      <w:r>
        <w:t xml:space="preserve"> </w:t>
      </w:r>
      <w:r>
        <w:rPr>
          <w:bCs/>
          <w:b/>
        </w:rPr>
        <w:t xml:space="preserve">Synchronize</w:t>
      </w:r>
      <w:r>
        <w:t xml:space="preserve"> </w:t>
      </w:r>
      <w:r>
        <w:t xml:space="preserve">mechanism for multinational platform operators.</w:t>
      </w:r>
    </w:p>
    <w:bookmarkStart w:id="41" w:name="Xc9d03e0a207f9d1da2b3164d529272679adca7b"/>
    <w:p>
      <w:pPr>
        <w:pStyle w:val="Heading3"/>
      </w:pPr>
      <w:r>
        <w:t xml:space="preserve">21.7.1 Structure recap and cryptographic functions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40"/>
        <w:gridCol w:w="3024"/>
        <w:gridCol w:w="345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Centralised (global)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Distributed (regional)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CBOM platform and CDG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Global custodian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discovery feeds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register and KPI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Programme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execution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programme (Wave 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Marcus Chen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partner liaison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 policy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Single versioned source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 rule activation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contract tier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APAC lead +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sales alignment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Change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maintenance bands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Regulatory liaison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DPO, local counsel, supervisory interface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Assurance pack assembly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Template and platform content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Jurisdiction-specific annexes</w:t>
            </w:r>
          </w:p>
        </w:tc>
      </w:tr>
    </w:tbl>
    <w:p>
      <w:pPr>
        <w:pStyle w:val="BodyText"/>
      </w:pPr>
      <w:r>
        <w:t xml:space="preserve">Marcus Chen retained</w:t>
      </w:r>
      <w:r>
        <w:t xml:space="preserve"> </w:t>
      </w:r>
      <w:r>
        <w:rPr>
          <w:bCs/>
          <w:b/>
        </w:rPr>
        <w:t xml:space="preserve">Americas security architecture accountability</w:t>
      </w:r>
      <w:r>
        <w:t xml:space="preserve"> </w:t>
      </w:r>
      <w:r>
        <w:t xml:space="preserve">while matrixing to global programme on Wave 0 partner gateway — dual hat explicit in RACI (Chapter 15, Table 15.7).</w:t>
      </w:r>
    </w:p>
    <w:bookmarkEnd w:id="41"/>
    <w:bookmarkStart w:id="42" w:name="X6afee05ade2c78f6090e2bdd7b036f548251d64"/>
    <w:p>
      <w:pPr>
        <w:pStyle w:val="Heading3"/>
      </w:pPr>
      <w:r>
        <w:t xml:space="preserve">21.7.2 EU/US regulatory split without duplicate programmes</w:t>
      </w:r>
    </w:p>
    <w:p>
      <w:pPr>
        <w:pStyle w:val="FirstParagraph"/>
      </w:pPr>
      <w:r>
        <w:t xml:space="preserve">GlobalSync serves EU healthcare and enterprise tenants under GDPR and NIS2 flow-down, US federal logistics contractors under FedRAMP-oriented expectations, and APAC tenants under heterogeneous national frameworks.</w:t>
      </w:r>
      <w:r>
        <w:t xml:space="preserve"> </w:t>
      </w:r>
      <w:r>
        <w:rPr>
          <w:bCs/>
          <w:b/>
        </w:rPr>
        <w:t xml:space="preserve">Regulatory split does not justify cryptographic fork</w:t>
      </w:r>
      <w:r>
        <w:t xml:space="preserve"> </w:t>
      </w:r>
      <w:r>
        <w:t xml:space="preserve">— it justifies</w:t>
      </w:r>
      <w:r>
        <w:t xml:space="preserve"> </w:t>
      </w:r>
      <w:r>
        <w:rPr>
          <w:bCs/>
          <w:b/>
        </w:rPr>
        <w:t xml:space="preserve">jurisdiction overlay on unified profiles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Unified globally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Jurisdiction overlay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Algorithm matrix (ML-KEM, ML-DSA)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HLM phase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 timing per regulation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mTLS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gate schema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 set selection by region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 pack structure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annex vs FedRAMP excerpt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tier definitions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 evidence depth varies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Procurement clause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✓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addenda (Chapter 16)</w:t>
            </w:r>
          </w:p>
        </w:tc>
      </w:tr>
    </w:tbl>
    <w:p>
      <w:pPr>
        <w:pStyle w:val="BodyText"/>
      </w:pPr>
      <w:r>
        <w:t xml:space="preserve">Sofia Lindström rejected proposals for</w:t>
      </w:r>
      <w:r>
        <w:t xml:space="preserve"> </w:t>
      </w:r>
      <w:r>
        <w:rPr>
          <w:bCs/>
          <w:b/>
        </w:rPr>
        <w:t xml:space="preserve">EU-only forked microservices</w:t>
      </w:r>
      <w:r>
        <w:t xml:space="preserve"> </w:t>
      </w:r>
      <w:r>
        <w:t xml:space="preserve">— correctly identifying fork as Level 2 inventory decay accelerator. Instead, policy service returned</w:t>
      </w:r>
      <w:r>
        <w:t xml:space="preserve"> </w:t>
      </w:r>
      <w:r>
        <w:rPr>
          <w:rStyle w:val="VerbatimChar"/>
        </w:rPr>
        <w:t xml:space="preserve">rule_set_id=eu-healthcare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rule_set_id=us-fed</w:t>
      </w:r>
      <w:r>
        <w:t xml:space="preserve"> </w:t>
      </w:r>
      <w:r>
        <w:t xml:space="preserve">at gate evaluation — same container image, different policy bundle.</w:t>
      </w:r>
    </w:p>
    <w:bookmarkEnd w:id="42"/>
    <w:bookmarkStart w:id="43" w:name="Xd3c0613435297c858286842fc04a3f47f64b3e6"/>
    <w:p>
      <w:pPr>
        <w:pStyle w:val="Heading3"/>
      </w:pPr>
      <w:r>
        <w:t xml:space="preserve">21.7.3 Three-region collision resolution pattern</w:t>
      </w:r>
    </w:p>
    <w:p>
      <w:pPr>
        <w:pStyle w:val="FirstParagraph"/>
      </w:pPr>
      <w:r>
        <w:t xml:space="preserve">The September 2026 collision (Chapter 15) — Frankfurt partner team, Singapore tenant contracts, Oregon platform engineering — established the</w:t>
      </w:r>
      <w:r>
        <w:t xml:space="preserve"> </w:t>
      </w:r>
      <w:r>
        <w:rPr>
          <w:bCs/>
          <w:b/>
        </w:rPr>
        <w:t xml:space="preserve">resolution template</w:t>
      </w:r>
      <w:r>
        <w:t xml:space="preserve"> </w:t>
      </w:r>
      <w:r>
        <w:t xml:space="preserve">reused for PQC conflicts: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Steering decision</w:t>
      </w:r>
      <w:r>
        <w:t xml:space="preserve"> </w:t>
      </w:r>
      <w:r>
        <w:t xml:space="preserve">on global technical standard (profile ID, not region)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Funding</w:t>
      </w:r>
      <w:r>
        <w:t xml:space="preserve"> </w:t>
      </w:r>
      <w:r>
        <w:t xml:space="preserve">from corporate contingency for retest or acceleration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Calendar alignment</w:t>
      </w:r>
      <w:r>
        <w:t xml:space="preserve"> </w:t>
      </w:r>
      <w:r>
        <w:t xml:space="preserve">to maintenance band minimising tenant impact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Contract overlay</w:t>
      </w:r>
      <w:r>
        <w:t xml:space="preserve"> </w:t>
      </w:r>
      <w:r>
        <w:t xml:space="preserve">for tenants requiring elevated notification periods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Evidence update</w:t>
      </w:r>
      <w:r>
        <w:t xml:space="preserve"> </w:t>
      </w:r>
      <w:r>
        <w:t xml:space="preserve">within 30 days — cross-border pack revision published</w:t>
      </w:r>
    </w:p>
    <w:p>
      <w:pPr>
        <w:pStyle w:val="FirstParagraph"/>
      </w:pPr>
      <w:r>
        <w:t xml:space="preserve">Cryptographic programme governance</w:t>
      </w:r>
      <w:r>
        <w:t xml:space="preserve"> </w:t>
      </w:r>
      <w:r>
        <w:rPr>
          <w:bCs/>
          <w:b/>
        </w:rPr>
        <w:t xml:space="preserve">is</w:t>
      </w:r>
      <w:r>
        <w:t xml:space="preserve"> </w:t>
      </w:r>
      <w:r>
        <w:t xml:space="preserve">change management at scale. Sofia’s programme office measured success by</w:t>
      </w:r>
      <w:r>
        <w:t xml:space="preserve"> </w:t>
      </w:r>
      <w:r>
        <w:rPr>
          <w:bCs/>
          <w:b/>
        </w:rPr>
        <w:t xml:space="preserve">decision latency</w:t>
      </w:r>
      <w:r>
        <w:t xml:space="preserve"> </w:t>
      </w:r>
      <w:r>
        <w:t xml:space="preserve">— time from blocking identification to steering resolution — targeting &lt;21 days for Tier 1 blockers.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gdpr-cross-border-evidence"/>
    <w:p>
      <w:pPr>
        <w:pStyle w:val="Heading2"/>
      </w:pPr>
      <w:r>
        <w:t xml:space="preserve">21.8 GDPR Cross-Border Evidence</w:t>
      </w:r>
    </w:p>
    <w:p>
      <w:pPr>
        <w:pStyle w:val="FirstParagraph"/>
      </w:pPr>
      <w:r>
        <w:t xml:space="preserve">The January 2028 supervisory request that opened this chapter exemplifies</w:t>
      </w:r>
      <w:r>
        <w:t xml:space="preserve"> </w:t>
      </w:r>
      <w:r>
        <w:rPr>
          <w:bCs/>
          <w:b/>
        </w:rPr>
        <w:t xml:space="preserve">GDPR cross-border evidence</w:t>
      </w:r>
      <w:r>
        <w:t xml:space="preserve"> </w:t>
      </w:r>
      <w:r>
        <w:t xml:space="preserve">requirements for SaaS operators undertaking PQC migration. Migration changes algorithms, custody attestations, and processor documentation — triggering</w:t>
      </w:r>
      <w:r>
        <w:t xml:space="preserve"> </w:t>
      </w:r>
      <w:r>
        <w:rPr>
          <w:bCs/>
          <w:b/>
        </w:rPr>
        <w:t xml:space="preserve">Article 28</w:t>
      </w:r>
      <w:r>
        <w:t xml:space="preserve"> </w:t>
      </w:r>
      <w:r>
        <w:t xml:space="preserve">review and</w:t>
      </w:r>
      <w:r>
        <w:t xml:space="preserve"> </w:t>
      </w:r>
      <w:r>
        <w:rPr>
          <w:bCs/>
          <w:b/>
        </w:rPr>
        <w:t xml:space="preserve">Article 32</w:t>
      </w:r>
      <w:r>
        <w:t xml:space="preserve"> </w:t>
      </w:r>
      <w:r>
        <w:t xml:space="preserve">state-of-the-art assessment.</w:t>
      </w:r>
    </w:p>
    <w:bookmarkStart w:id="45" w:name="evidence-components"/>
    <w:p>
      <w:pPr>
        <w:pStyle w:val="Heading3"/>
      </w:pPr>
      <w:r>
        <w:t xml:space="preserve">21.8.1 Evidence components</w:t>
      </w:r>
    </w:p>
    <w:p>
      <w:pPr>
        <w:pStyle w:val="FirstParagraph"/>
      </w:pPr>
      <w:r>
        <w:rPr>
          <w:bCs/>
          <w:b/>
        </w:rPr>
        <w:t xml:space="preserve">Table 21.2 — Cross-Border Evidence Matrix (GDPR Processor Migration)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315"/>
        <w:gridCol w:w="1584"/>
        <w:gridCol w:w="2071"/>
        <w:gridCol w:w="19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Evidence 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anchor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artefact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Update trigger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 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28(3)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DPIA; RoPA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crypto processing step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Sub-processor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28(2)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provider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 region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Encryption measures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32(1)(a)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assurance 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HLM phase transition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State-of-the-art trajectory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32(1)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PQC programme charter; HLM 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charter renewal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 custody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32(1)(a)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responsibility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BYOK tenant onboarding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Cross-border transfer basis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SCCs; transfer impact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residency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isolation 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Architecture diagram; pen 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boundary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Incident crypto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33–34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 playbooks with crypto 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Algorithm deprecation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CBOM processor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28; accountability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Customer-facing CBOM (Chapter 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 CBOM refresh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 28(3)(e)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comms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 days before material change</w:t>
            </w:r>
          </w:p>
        </w:tc>
      </w:tr>
    </w:tbl>
    <w:bookmarkEnd w:id="45"/>
    <w:bookmarkStart w:id="46" w:name="the-cross-border-evidence-pack"/>
    <w:p>
      <w:pPr>
        <w:pStyle w:val="Heading3"/>
      </w:pPr>
      <w:r>
        <w:t xml:space="preserve">21.8.2 The cross-border evidence pack</w:t>
      </w:r>
    </w:p>
    <w:p>
      <w:pPr>
        <w:pStyle w:val="FirstParagraph"/>
      </w:pPr>
      <w:r>
        <w:t xml:space="preserve">GlobalSync assembled</w:t>
      </w:r>
      <w:r>
        <w:t xml:space="preserve"> </w:t>
      </w:r>
      <w:r>
        <w:rPr>
          <w:bCs/>
          <w:b/>
        </w:rPr>
        <w:t xml:space="preserve">jurisdiction-scoped evidence packs</w:t>
      </w:r>
      <w:r>
        <w:t xml:space="preserve"> </w:t>
      </w:r>
      <w:r>
        <w:t xml:space="preserve">from reusable modules: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Platform module</w:t>
      </w:r>
      <w:r>
        <w:t xml:space="preserve"> </w:t>
      </w:r>
      <w:r>
        <w:t xml:space="preserve">— validation matrix, CMVP references, HLM status, CBOM summary (redacted)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Custody module</w:t>
      </w:r>
      <w:r>
        <w:t xml:space="preserve"> </w:t>
      </w:r>
      <w:r>
        <w:t xml:space="preserve">— shared responsibility matrix per tier (T0–T3)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Transfer module</w:t>
      </w:r>
      <w:r>
        <w:t xml:space="preserve"> </w:t>
      </w:r>
      <w:r>
        <w:t xml:space="preserve">— SCCs, transfer impact assessment, region pinning statement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Migration module</w:t>
      </w:r>
      <w:r>
        <w:t xml:space="preserve"> </w:t>
      </w:r>
      <w:r>
        <w:t xml:space="preserve">— what changed, when, tenant impact, rollback posture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Supervisory module</w:t>
      </w:r>
      <w:r>
        <w:t xml:space="preserve"> </w:t>
      </w:r>
      <w:r>
        <w:t xml:space="preserve">— DPO attestation; prior supervisory correspondence index</w:t>
      </w:r>
    </w:p>
    <w:p>
      <w:pPr>
        <w:pStyle w:val="FirstParagraph"/>
      </w:pPr>
      <w:r>
        <w:t xml:space="preserve">The January 2028 German healthcare tenant request consumed modules 1, 2, 4, and 5 — assembled in forty-eight hours because modules were</w:t>
      </w:r>
      <w:r>
        <w:t xml:space="preserve"> </w:t>
      </w:r>
      <w:r>
        <w:rPr>
          <w:bCs/>
          <w:b/>
        </w:rPr>
        <w:t xml:space="preserve">maintained living</w:t>
      </w:r>
      <w:r>
        <w:t xml:space="preserve">, not authored under deadline panic.</w:t>
      </w:r>
    </w:p>
    <w:p>
      <w:pPr>
        <w:pStyle w:val="BlockText"/>
      </w:pPr>
      <w:r>
        <w:rPr>
          <w:bCs/>
          <w:b/>
        </w:rPr>
        <w:t xml:space="preserve">Regulatory Lens</w:t>
      </w:r>
    </w:p>
    <w:p>
      <w:pPr>
        <w:pStyle w:val="BlockText"/>
      </w:pPr>
      <w:r>
        <w:t xml:space="preserve">Cross-border GDPR evidence is not a translation exercise. A US FedRAMP excerpt pasted into an EU supervisory response without Article 32 framing creates</w:t>
      </w:r>
      <w:r>
        <w:t xml:space="preserve"> </w:t>
      </w:r>
      <w:r>
        <w:rPr>
          <w:bCs/>
          <w:b/>
        </w:rPr>
        <w:t xml:space="preserve">jurisdiction category error</w:t>
      </w:r>
      <w:r>
        <w:t xml:space="preserve"> </w:t>
      </w:r>
      <w:r>
        <w:t xml:space="preserve">— correct cryptography, wrong legal grammar. GlobalSync’s DPO insisted on</w:t>
      </w:r>
      <w:r>
        <w:t xml:space="preserve"> </w:t>
      </w:r>
      <w:r>
        <w:rPr>
          <w:bCs/>
          <w:b/>
        </w:rPr>
        <w:t xml:space="preserve">Article 32 narrative</w:t>
      </w:r>
      <w:r>
        <w:t xml:space="preserve"> </w:t>
      </w:r>
      <w:r>
        <w:t xml:space="preserve">linking encryption measures to risk and state of art, with PQC migration as demonstrable improvement trajectory — not checkbox compliance.</w:t>
      </w:r>
    </w:p>
    <w:bookmarkEnd w:id="46"/>
    <w:bookmarkStart w:id="47" w:name="nis2-and-tenant-flow-down"/>
    <w:p>
      <w:pPr>
        <w:pStyle w:val="Heading3"/>
      </w:pPr>
      <w:r>
        <w:t xml:space="preserve">21.8.3 NIS2 and tenant flow-down</w:t>
      </w:r>
    </w:p>
    <w:p>
      <w:pPr>
        <w:pStyle w:val="FirstParagraph"/>
      </w:pPr>
      <w:r>
        <w:t xml:space="preserve">EU enterprise tenants under NIS2</w:t>
      </w:r>
      <w:r>
        <w:t xml:space="preserve"> </w:t>
      </w:r>
      <w:r>
        <w:rPr>
          <w:bCs/>
          <w:b/>
        </w:rPr>
        <w:t xml:space="preserve">flow down</w:t>
      </w:r>
      <w:r>
        <w:t xml:space="preserve"> </w:t>
      </w:r>
      <w:r>
        <w:t xml:space="preserve">state-of-the-art security expectations to processors. GlobalSync’s T2 regulated tier contracts explicitly referenced:</w:t>
      </w:r>
    </w:p>
    <w:p>
      <w:pPr>
        <w:numPr>
          <w:ilvl w:val="0"/>
          <w:numId w:val="1006"/>
        </w:numPr>
        <w:pStyle w:val="Compact"/>
      </w:pPr>
      <w:r>
        <w:t xml:space="preserve">NIS2 Article 21 security measures mapping</w:t>
      </w:r>
    </w:p>
    <w:p>
      <w:pPr>
        <w:numPr>
          <w:ilvl w:val="0"/>
          <w:numId w:val="1006"/>
        </w:numPr>
        <w:pStyle w:val="Compact"/>
      </w:pPr>
      <w:r>
        <w:t xml:space="preserve">PQC migration timeline alignment to tenant’s own programme</w:t>
      </w:r>
    </w:p>
    <w:p>
      <w:pPr>
        <w:numPr>
          <w:ilvl w:val="0"/>
          <w:numId w:val="1006"/>
        </w:numPr>
        <w:pStyle w:val="Compact"/>
      </w:pPr>
      <w:r>
        <w:t xml:space="preserve">Annual assurance pack delivery within 30 days of request</w:t>
      </w:r>
    </w:p>
    <w:p>
      <w:pPr>
        <w:numPr>
          <w:ilvl w:val="0"/>
          <w:numId w:val="1006"/>
        </w:numPr>
        <w:pStyle w:val="Compact"/>
      </w:pPr>
      <w:r>
        <w:t xml:space="preserve">CBOM summary update within 14 days of material platform change</w:t>
      </w:r>
    </w:p>
    <w:p>
      <w:pPr>
        <w:pStyle w:val="FirstParagraph"/>
      </w:pPr>
      <w:r>
        <w:t xml:space="preserve">Procurement standardised flow-down language (Chapter 16 §16.9) — GlobalSync’s commercial team could not accept unlimited liability for tenant’s NIS2 interpretation, but</w:t>
      </w:r>
      <w:r>
        <w:t xml:space="preserve"> </w:t>
      </w:r>
      <w:r>
        <w:rPr>
          <w:bCs/>
          <w:b/>
        </w:rPr>
        <w:t xml:space="preserve">could</w:t>
      </w:r>
      <w:r>
        <w:t xml:space="preserve"> </w:t>
      </w:r>
      <w:r>
        <w:t xml:space="preserve">contractually commit to documented platform measures and evidence delivery cadence.</w:t>
      </w:r>
    </w:p>
    <w:bookmarkEnd w:id="47"/>
    <w:bookmarkStart w:id="48" w:name="Xf9b859b6d944f900c87e230511273f294d32162"/>
    <w:p>
      <w:pPr>
        <w:pStyle w:val="Heading3"/>
      </w:pPr>
      <w:r>
        <w:t xml:space="preserve">21.8.4 Data residency and cryptography interaction</w:t>
      </w:r>
    </w:p>
    <w:p>
      <w:pPr>
        <w:pStyle w:val="FirstParagraph"/>
      </w:pPr>
      <w:r>
        <w:t xml:space="preserve">Data residency constraints interact with cryptography:</w:t>
      </w:r>
      <w:r>
        <w:t xml:space="preserve"> </w:t>
      </w:r>
      <w:r>
        <w:rPr>
          <w:bCs/>
          <w:b/>
        </w:rPr>
        <w:t xml:space="preserve">region-pinned KMS keys</w:t>
      </w:r>
      <w:r>
        <w:t xml:space="preserve"> </w:t>
      </w:r>
      <w:r>
        <w:t xml:space="preserve">may prevent logical centralisation of key management even when application architecture centralises. GlobalSync’s EU tenant data remained in EU regions with</w:t>
      </w:r>
      <w:r>
        <w:t xml:space="preserve"> </w:t>
      </w:r>
      <w:r>
        <w:rPr>
          <w:bCs/>
          <w:b/>
        </w:rPr>
        <w:t xml:space="preserve">EU-scoped CMVP modules</w:t>
      </w:r>
      <w:r>
        <w:t xml:space="preserve"> </w:t>
      </w:r>
      <w:r>
        <w:t xml:space="preserve">— Category C regional availability (Table 21.1) scored independently per region.</w:t>
      </w:r>
    </w:p>
    <w:p>
      <w:pPr>
        <w:pStyle w:val="BodyText"/>
      </w:pPr>
      <w:r>
        <w:t xml:space="preserve">Marcus Chen documented</w:t>
      </w:r>
      <w:r>
        <w:t xml:space="preserve"> </w:t>
      </w:r>
      <w:r>
        <w:rPr>
          <w:bCs/>
          <w:b/>
        </w:rPr>
        <w:t xml:space="preserve">residency-crypto matrix</w:t>
      </w:r>
      <w:r>
        <w:t xml:space="preserve">: data region × key region × validation module jurisdiction. Steering approved matrix before Wave 1 — preventing engineering shortcuts that stored EU healthcare metadata keys in US modules for</w:t>
      </w:r>
      <w:r>
        <w:t xml:space="preserve"> </w:t>
      </w:r>
      <w:r>
        <w:t xml:space="preserve">“</w:t>
      </w:r>
      <w:r>
        <w:t xml:space="preserve">temporary</w:t>
      </w:r>
      <w:r>
        <w:t xml:space="preserve">”</w:t>
      </w:r>
      <w:r>
        <w:t xml:space="preserve"> </w:t>
      </w:r>
      <w:r>
        <w:t xml:space="preserve">performance optimisation.</w:t>
      </w:r>
    </w:p>
    <w:bookmarkEnd w:id="48"/>
    <w:bookmarkStart w:id="49" w:name="supervisory-question-rehearsal"/>
    <w:p>
      <w:pPr>
        <w:pStyle w:val="Heading3"/>
      </w:pPr>
      <w:r>
        <w:t xml:space="preserve">21.8.5 Supervisory question rehearsal</w:t>
      </w:r>
    </w:p>
    <w:p>
      <w:pPr>
        <w:pStyle w:val="FirstParagraph"/>
      </w:pPr>
      <w:r>
        <w:t xml:space="preserve">GlobalSync’s DPO and programme office rehearsed</w:t>
      </w:r>
      <w:r>
        <w:t xml:space="preserve"> </w:t>
      </w:r>
      <w:r>
        <w:rPr>
          <w:bCs/>
          <w:b/>
        </w:rPr>
        <w:t xml:space="preserve">six supervisory questions</w:t>
      </w:r>
      <w:r>
        <w:t xml:space="preserve"> </w:t>
      </w:r>
      <w:r>
        <w:t xml:space="preserve">quarterly — adapting Meridian’s financial services pattern (Chapter 15 §15.16) for processor accountability:</w:t>
      </w:r>
    </w:p>
    <w:p>
      <w:pPr>
        <w:numPr>
          <w:ilvl w:val="0"/>
          <w:numId w:val="1007"/>
        </w:numPr>
        <w:pStyle w:val="Compact"/>
      </w:pPr>
      <w:r>
        <w:t xml:space="preserve">What encryption algorithms protect tenant data at rest and in transit today?</w:t>
      </w:r>
    </w:p>
    <w:p>
      <w:pPr>
        <w:numPr>
          <w:ilvl w:val="0"/>
          <w:numId w:val="1007"/>
        </w:numPr>
        <w:pStyle w:val="Compact"/>
      </w:pPr>
      <w:r>
        <w:t xml:space="preserve">What is the documented post-quantum migration trajectory and HLM phase?</w:t>
      </w:r>
    </w:p>
    <w:p>
      <w:pPr>
        <w:numPr>
          <w:ilvl w:val="0"/>
          <w:numId w:val="1007"/>
        </w:numPr>
        <w:pStyle w:val="Compact"/>
      </w:pPr>
      <w:r>
        <w:t xml:space="preserve">How is tenant cryptographic isolation demonstrated — architecture, test, audit?</w:t>
      </w:r>
    </w:p>
    <w:p>
      <w:pPr>
        <w:numPr>
          <w:ilvl w:val="0"/>
          <w:numId w:val="1007"/>
        </w:numPr>
        <w:pStyle w:val="Compact"/>
      </w:pPr>
      <w:r>
        <w:t xml:space="preserve">Which sub-processors perform cryptographic processing and in which jurisdictions?</w:t>
      </w:r>
    </w:p>
    <w:p>
      <w:pPr>
        <w:numPr>
          <w:ilvl w:val="0"/>
          <w:numId w:val="1007"/>
        </w:numPr>
        <w:pStyle w:val="Compact"/>
      </w:pPr>
      <w:r>
        <w:t xml:space="preserve">How are material algorithm changes notified to tenants and documented?</w:t>
      </w:r>
    </w:p>
    <w:p>
      <w:pPr>
        <w:numPr>
          <w:ilvl w:val="0"/>
          <w:numId w:val="1007"/>
        </w:numPr>
        <w:pStyle w:val="Compact"/>
      </w:pPr>
      <w:r>
        <w:t xml:space="preserve">What evidence demonstrates state-of-the-art practice under Article 32?</w:t>
      </w:r>
    </w:p>
    <w:p>
      <w:pPr>
        <w:pStyle w:val="FirstParagraph"/>
      </w:pPr>
      <w:r>
        <w:t xml:space="preserve">Each question mapped to evidence modules (§21.8.2). Sofia Lindström required</w:t>
      </w:r>
      <w:r>
        <w:t xml:space="preserve"> </w:t>
      </w:r>
      <w:r>
        <w:rPr>
          <w:bCs/>
          <w:b/>
        </w:rPr>
        <w:t xml:space="preserve">steering committee review</w:t>
      </w:r>
      <w:r>
        <w:t xml:space="preserve"> </w:t>
      </w:r>
      <w:r>
        <w:t xml:space="preserve">of rehearsal findings — two Q3 2027 gaps (APAC Category C documentation; T2 tenant notification template lag) became funded remediation before January 2028 supervisory contact.</w:t>
      </w:r>
    </w:p>
    <w:bookmarkEnd w:id="49"/>
    <w:bookmarkStart w:id="50" w:name="schrems-ii-and-cryptographic-evidence"/>
    <w:p>
      <w:pPr>
        <w:pStyle w:val="Heading3"/>
      </w:pPr>
      <w:r>
        <w:t xml:space="preserve">21.8.6 Schrems II and cryptographic evidence</w:t>
      </w:r>
    </w:p>
    <w:p>
      <w:pPr>
        <w:pStyle w:val="FirstParagraph"/>
      </w:pPr>
      <w:r>
        <w:t xml:space="preserve">Cross-border transfer mechanisms — Standard Contractual Clauses, supplementary measures — increasingly reference</w:t>
      </w:r>
      <w:r>
        <w:t xml:space="preserve"> </w:t>
      </w:r>
      <w:r>
        <w:rPr>
          <w:bCs/>
          <w:b/>
        </w:rPr>
        <w:t xml:space="preserve">technical controls</w:t>
      </w:r>
      <w:r>
        <w:t xml:space="preserve"> </w:t>
      </w:r>
      <w:r>
        <w:t xml:space="preserve">including encryption strength and key custody. PQC migration updates the technical narrative: supervisors and tenant counsel ask whether supplementary measures remain adequate when quantum threat models are considered.</w:t>
      </w:r>
    </w:p>
    <w:p>
      <w:pPr>
        <w:pStyle w:val="BodyText"/>
      </w:pPr>
      <w:r>
        <w:t xml:space="preserve">GlobalSync’s transfer impact assessment addendum (2027 revision) stated:</w:t>
      </w:r>
    </w:p>
    <w:p>
      <w:pPr>
        <w:numPr>
          <w:ilvl w:val="0"/>
          <w:numId w:val="1008"/>
        </w:numPr>
        <w:pStyle w:val="Compact"/>
      </w:pPr>
      <w:r>
        <w:t xml:space="preserve">Current classical algorithms and key sizes per tier</w:t>
      </w:r>
    </w:p>
    <w:p>
      <w:pPr>
        <w:numPr>
          <w:ilvl w:val="0"/>
          <w:numId w:val="1008"/>
        </w:numPr>
        <w:pStyle w:val="Compact"/>
      </w:pPr>
      <w:r>
        <w:t xml:space="preserve">Hybrid deployment status and measured negotiation rates</w:t>
      </w:r>
    </w:p>
    <w:p>
      <w:pPr>
        <w:numPr>
          <w:ilvl w:val="0"/>
          <w:numId w:val="1008"/>
        </w:numPr>
        <w:pStyle w:val="Compact"/>
      </w:pPr>
      <w:r>
        <w:t xml:space="preserve">Timeline to PQC-native operation per HLM phase</w:t>
      </w:r>
    </w:p>
    <w:p>
      <w:pPr>
        <w:numPr>
          <w:ilvl w:val="0"/>
          <w:numId w:val="1008"/>
        </w:numPr>
        <w:pStyle w:val="Compact"/>
      </w:pPr>
      <w:r>
        <w:t xml:space="preserve">Key custody model preventing foreign authority access inconsistent with SCC commitments</w:t>
      </w:r>
    </w:p>
    <w:p>
      <w:pPr>
        <w:pStyle w:val="FirstParagraph"/>
      </w:pPr>
      <w:r>
        <w:t xml:space="preserve">Cryptographic evidence</w:t>
      </w:r>
      <w:r>
        <w:t xml:space="preserve"> </w:t>
      </w:r>
      <w:r>
        <w:rPr>
          <w:bCs/>
          <w:b/>
        </w:rPr>
        <w:t xml:space="preserve">supports</w:t>
      </w:r>
      <w:r>
        <w:t xml:space="preserve"> </w:t>
      </w:r>
      <w:r>
        <w:t xml:space="preserve">transfer law analysis; it does not replace legal assessment. GlobalSync’s legal team owned Schrems framing; Marcus Chen’s architecture team supplied</w:t>
      </w:r>
      <w:r>
        <w:t xml:space="preserve"> </w:t>
      </w:r>
      <w:r>
        <w:rPr>
          <w:bCs/>
          <w:b/>
        </w:rPr>
        <w:t xml:space="preserve">accurate algorithm and custody facts</w:t>
      </w:r>
      <w:r>
        <w:t xml:space="preserve"> </w:t>
      </w:r>
      <w:r>
        <w:t xml:space="preserve">— preventing legal documents from citing obsolete cipher suites after Wave 1 deployment.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X2b72a82ed45e6adc6d0b1ad9a7fb9a98dd2ad91"/>
    <w:p>
      <w:pPr>
        <w:pStyle w:val="Heading2"/>
      </w:pPr>
      <w:r>
        <w:t xml:space="preserve">21.9 CI/CD Gates and Platform Engineering Integration</w:t>
      </w:r>
    </w:p>
    <w:p>
      <w:pPr>
        <w:pStyle w:val="FirstParagraph"/>
      </w:pPr>
      <w:r>
        <w:t xml:space="preserve">Chapter 17 established GlobalSync’s</w:t>
      </w:r>
      <w:r>
        <w:t xml:space="preserve"> </w:t>
      </w:r>
      <w:r>
        <w:rPr>
          <w:bCs/>
          <w:b/>
        </w:rPr>
        <w:t xml:space="preserve">CI/CD cryptographic verification pipeline</w:t>
      </w:r>
      <w:r>
        <w:t xml:space="preserve"> </w:t>
      </w:r>
      <w:r>
        <w:t xml:space="preserve">— the engineering enforcement layer for multinational SaaS. Chapter 21 positions that pipeline as</w:t>
      </w:r>
      <w:r>
        <w:t xml:space="preserve"> </w:t>
      </w:r>
      <w:r>
        <w:rPr>
          <w:bCs/>
          <w:b/>
        </w:rPr>
        <w:t xml:space="preserve">sector-critical infrastructure</w:t>
      </w:r>
      <w:r>
        <w:t xml:space="preserve">, not optional DevSecOps maturity.</w:t>
      </w:r>
    </w:p>
    <w:bookmarkStart w:id="52" w:name="platform-scale-gate-requirements"/>
    <w:p>
      <w:pPr>
        <w:pStyle w:val="Heading3"/>
      </w:pPr>
      <w:r>
        <w:t xml:space="preserve">21.9.1 Platform-scale gate requirements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33"/>
        <w:gridCol w:w="3334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SaaS-specific 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GlobalSync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CycloneDX schema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tenant_tier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jurisdiction_rule_set</w:t>
            </w:r>
            <w:r>
              <w:t xml:space="preserve"> </w:t>
            </w:r>
            <w: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Gate profile v2.3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OPA policy bundles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Region-scoped rule sets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eu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apac</w:t>
            </w:r>
            <w:r>
              <w:t xml:space="preserve"> </w:t>
            </w:r>
            <w:r>
              <w:t xml:space="preserve">bundles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Agility harness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Profile catalogue per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T0–T3 harness fixtures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IaC crypto lint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Multi-region load balancer parity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 infra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Hybrid field validation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hybrid_negotiation_rate</w:t>
            </w:r>
            <w:r>
              <w:t xml:space="preserve"> </w:t>
            </w:r>
            <w:r>
              <w:t xml:space="preserve">from telemetry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Ingress ETL weekly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Runtime drift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Per-tenant TLS scan sampling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T2+ tenants monthly</w:t>
            </w:r>
          </w:p>
        </w:tc>
      </w:tr>
    </w:tbl>
    <w:p>
      <w:pPr>
        <w:pStyle w:val="BodyText"/>
      </w:pPr>
      <w:r>
        <w:t xml:space="preserve">The March 2027</w:t>
      </w:r>
      <w:r>
        <w:t xml:space="preserve"> </w:t>
      </w:r>
      <w:r>
        <w:rPr>
          <w:bCs/>
          <w:b/>
        </w:rPr>
        <w:t xml:space="preserve">AGL-01 violation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TenantAuditSigner.java</w:t>
      </w:r>
      <w:r>
        <w:t xml:space="preserve"> </w:t>
      </w:r>
      <w:r>
        <w:t xml:space="preserve">(Chapter 17) demonstrated gate value at tenant boundary — non-agile signing pattern rejected before entering healthcare tenant audit chain.</w:t>
      </w:r>
    </w:p>
    <w:bookmarkEnd w:id="52"/>
    <w:bookmarkStart w:id="53" w:name="customer-facing-cbom-summaries"/>
    <w:p>
      <w:pPr>
        <w:pStyle w:val="Heading3"/>
      </w:pPr>
      <w:r>
        <w:t xml:space="preserve">21.9.2 Customer-facing CBOM summaries</w:t>
      </w:r>
    </w:p>
    <w:p>
      <w:pPr>
        <w:pStyle w:val="FirstParagraph"/>
      </w:pPr>
      <w:r>
        <w:t xml:space="preserve">GlobalSync published</w:t>
      </w:r>
      <w:r>
        <w:t xml:space="preserve"> </w:t>
      </w:r>
      <w:r>
        <w:rPr>
          <w:bCs/>
          <w:b/>
        </w:rPr>
        <w:t xml:space="preserve">customer-facing CBOM summaries</w:t>
      </w:r>
      <w:r>
        <w:t xml:space="preserve"> </w:t>
      </w:r>
      <w:r>
        <w:t xml:space="preserve">generated from same pipeline artefacts internal gates consumed — tenants merged provider summary with tenant-side CBOM for complete trust boundary picture (Chapter 7 §7.14). Pipeline integrity directly supported commercial trust: sales engineering cited signed CBOM artefacts in eleven tenant security reviews.</w:t>
      </w:r>
    </w:p>
    <w:p>
      <w:pPr>
        <w:pStyle w:val="BodyText"/>
      </w:pPr>
      <w:r>
        <w:rPr>
          <w:bCs/>
          <w:b/>
        </w:rPr>
        <w:t xml:space="preserve">Concentration risk mitigation:</w:t>
      </w:r>
      <w:r>
        <w:t xml:space="preserve"> </w:t>
      </w:r>
      <w:r>
        <w:t xml:space="preserve">Customer-facing summaries required</w:t>
      </w:r>
      <w:r>
        <w:t xml:space="preserve"> </w:t>
      </w:r>
      <w:r>
        <w:rPr>
          <w:bCs/>
          <w:b/>
        </w:rPr>
        <w:t xml:space="preserve">legal review queue</w:t>
      </w:r>
      <w:r>
        <w:t xml:space="preserve"> </w:t>
      </w:r>
      <w:r>
        <w:t xml:space="preserve">— engineering could not unilaterally publish algorithm claims. DPO reviewed summaries for Article 28 alignment before publication.</w:t>
      </w:r>
    </w:p>
    <w:bookmarkEnd w:id="53"/>
    <w:bookmarkStart w:id="54" w:name="multinational-gate-performance"/>
    <w:p>
      <w:pPr>
        <w:pStyle w:val="Heading3"/>
      </w:pPr>
      <w:r>
        <w:t xml:space="preserve">21.9.3 Multinational gate performance</w:t>
      </w:r>
    </w:p>
    <w:p>
      <w:pPr>
        <w:pStyle w:val="FirstParagraph"/>
      </w:pPr>
      <w:r>
        <w:t xml:space="preserve">GlobalSync capped gate overhead at</w:t>
      </w:r>
      <w:r>
        <w:t xml:space="preserve"> </w:t>
      </w:r>
      <w:r>
        <w:rPr>
          <w:bCs/>
          <w:b/>
        </w:rPr>
        <w:t xml:space="preserve">six minutes p95</w:t>
      </w:r>
      <w:r>
        <w:t xml:space="preserve"> </w:t>
      </w:r>
      <w:r>
        <w:t xml:space="preserve">(Chapter 17) — multinational rule evaluation risked latency explosion. Policy service cached jurisdiction bundles; SBOM merge ran incremental on dependency delta. Sofia Lindström rejected</w:t>
      </w:r>
      <w:r>
        <w:t xml:space="preserve"> </w:t>
      </w:r>
      <w:r>
        <w:t xml:space="preserve">“</w:t>
      </w:r>
      <w:r>
        <w:t xml:space="preserve">skip gates in APAC</w:t>
      </w:r>
      <w:r>
        <w:t xml:space="preserve">”</w:t>
      </w:r>
      <w:r>
        <w:t xml:space="preserve"> </w:t>
      </w:r>
      <w:r>
        <w:t xml:space="preserve">regional exception — correctly identifying exception as</w:t>
      </w:r>
      <w:r>
        <w:t xml:space="preserve"> </w:t>
      </w:r>
      <w:r>
        <w:rPr>
          <w:bCs/>
          <w:b/>
        </w:rPr>
        <w:t xml:space="preserve">evidence integrity fracture</w:t>
      </w:r>
      <w:r>
        <w:t xml:space="preserve">.</w:t>
      </w:r>
    </w:p>
    <w:bookmarkEnd w:id="54"/>
    <w:bookmarkStart w:id="55" w:name="X30fc7abc87dd23741f6baa35d0a9fe30b54158f"/>
    <w:p>
      <w:pPr>
        <w:pStyle w:val="Heading3"/>
      </w:pPr>
      <w:r>
        <w:t xml:space="preserve">21.9.4 Platform edge hybrid TLS and tenant-facing negotiation</w:t>
      </w:r>
    </w:p>
    <w:p>
      <w:pPr>
        <w:pStyle w:val="FirstParagraph"/>
      </w:pPr>
      <w:r>
        <w:t xml:space="preserve">SaaS operators terminate TLS at</w:t>
      </w:r>
      <w:r>
        <w:t xml:space="preserve"> </w:t>
      </w:r>
      <w:r>
        <w:rPr>
          <w:bCs/>
          <w:b/>
        </w:rPr>
        <w:t xml:space="preserve">platform edge</w:t>
      </w:r>
      <w:r>
        <w:t xml:space="preserve"> </w:t>
      </w:r>
      <w:r>
        <w:t xml:space="preserve">— load balancers, ingress controllers, API gateways — where hybrid negotiation rates determine HLM exit criteria (Chapter 11). GlobalSync instrumented edge telemetry feeding CBOM</w:t>
      </w:r>
      <w:r>
        <w:t xml:space="preserve"> </w:t>
      </w:r>
      <w:r>
        <w:rPr>
          <w:rStyle w:val="VerbatimChar"/>
        </w:rPr>
        <w:t xml:space="preserve">hybrid_negotiation_rate</w:t>
      </w:r>
      <w:r>
        <w:t xml:space="preserve"> </w:t>
      </w:r>
      <w:r>
        <w:t xml:space="preserve">per tenant cohort: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683"/>
        <w:gridCol w:w="1657"/>
        <w:gridCol w:w="257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Telemetry 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Steering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negotiated_group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vs classical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H2 promotion threshold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tenant_tier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T0–T3 cohort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Tier-specific sunset planning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vs US vs APAC 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Regional rule set effectiveness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client_class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Browser, mobile SDK, partner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Wave 0 dependency tracking</w:t>
            </w:r>
          </w:p>
        </w:tc>
      </w:tr>
    </w:tbl>
    <w:p>
      <w:pPr>
        <w:pStyle w:val="BodyText"/>
      </w:pPr>
      <w:r>
        <w:t xml:space="preserve">Edge negotiation centralisation is an</w:t>
      </w:r>
      <w:r>
        <w:t xml:space="preserve"> </w:t>
      </w:r>
      <w:r>
        <w:rPr>
          <w:bCs/>
          <w:b/>
        </w:rPr>
        <w:t xml:space="preserve">agility opportunity</w:t>
      </w:r>
      <w:r>
        <w:t xml:space="preserve"> </w:t>
      </w:r>
      <w:r>
        <w:t xml:space="preserve">— one profile update propagates to all tenants inheriting</w:t>
      </w:r>
      <w:r>
        <w:t xml:space="preserve"> </w:t>
      </w:r>
      <w:r>
        <w:rPr>
          <w:rStyle w:val="VerbatimChar"/>
        </w:rPr>
        <w:t xml:space="preserve">gs-tenant-tls-v4</w:t>
      </w:r>
      <w:r>
        <w:t xml:space="preserve">. It is a</w:t>
      </w:r>
      <w:r>
        <w:t xml:space="preserve"> </w:t>
      </w:r>
      <w:r>
        <w:rPr>
          <w:bCs/>
          <w:b/>
        </w:rPr>
        <w:t xml:space="preserve">concentration risk</w:t>
      </w:r>
      <w:r>
        <w:t xml:space="preserve"> </w:t>
      </w:r>
      <w:r>
        <w:t xml:space="preserve">— one misconfigured cipher policy affects every tenant on that profile. GlobalSync mandated</w:t>
      </w:r>
      <w:r>
        <w:t xml:space="preserve"> </w:t>
      </w:r>
      <w:r>
        <w:rPr>
          <w:bCs/>
          <w:b/>
        </w:rPr>
        <w:t xml:space="preserve">canary tenant cohort</w:t>
      </w:r>
      <w:r>
        <w:t xml:space="preserve"> </w:t>
      </w:r>
      <w:r>
        <w:t xml:space="preserve">deployment for edge profile changes: T0 internal tenants first, T2 healthcare tenants after seventy-two-hour soak, T3 BYOK tenants excluded from canary unless contractually opted in.</w:t>
      </w:r>
    </w:p>
    <w:p>
      <w:pPr>
        <w:pStyle w:val="BodyText"/>
      </w:pPr>
      <w:r>
        <w:t xml:space="preserve">IaC crypto lint (Chapter 17) caught a</w:t>
      </w:r>
      <w:r>
        <w:t xml:space="preserve"> </w:t>
      </w:r>
      <w:r>
        <w:rPr>
          <w:bCs/>
          <w:b/>
        </w:rPr>
        <w:t xml:space="preserve">load balancer cipher mismatch</w:t>
      </w:r>
      <w:r>
        <w:t xml:space="preserve"> </w:t>
      </w:r>
      <w:r>
        <w:t xml:space="preserve">in US region — microservices negotiated hybrid while edge terminated classical-only. Drift detection flagged</w:t>
      </w:r>
      <w:r>
        <w:t xml:space="preserve"> </w:t>
      </w:r>
      <w:r>
        <w:rPr>
          <w:rStyle w:val="VerbatimChar"/>
        </w:rPr>
        <w:t xml:space="preserve">confidence=conflicted</w:t>
      </w:r>
      <w:r>
        <w:t xml:space="preserve"> </w:t>
      </w:r>
      <w:r>
        <w:t xml:space="preserve">on 1,200 CBOM rows until remediation merged — illustrating build-time and runtime verification interdependence for platform operators.</w:t>
      </w:r>
    </w:p>
    <w:bookmarkEnd w:id="55"/>
    <w:bookmarkStart w:id="56" w:name="X081884d8c2a38674473c80284457d2a6c2e9a4e"/>
    <w:p>
      <w:pPr>
        <w:pStyle w:val="Heading3"/>
      </w:pPr>
      <w:r>
        <w:t xml:space="preserve">21.9.5 Agility at SaaS scale: the profile catalogue as product</w:t>
      </w:r>
    </w:p>
    <w:p>
      <w:pPr>
        <w:pStyle w:val="FirstParagraph"/>
      </w:pPr>
      <w:r>
        <w:t xml:space="preserve">Chapter 10’s crypto-agility standard becomes a</w:t>
      </w:r>
      <w:r>
        <w:t xml:space="preserve"> </w:t>
      </w:r>
      <w:r>
        <w:rPr>
          <w:bCs/>
          <w:b/>
        </w:rPr>
        <w:t xml:space="preserve">product artefact</w:t>
      </w:r>
      <w:r>
        <w:t xml:space="preserve"> </w:t>
      </w:r>
      <w:r>
        <w:t xml:space="preserve">for SaaS operators — tenants purchase tier and inherit profile catalogue rows. GlobalSync published</w:t>
      </w:r>
      <w:r>
        <w:t xml:space="preserve"> </w:t>
      </w:r>
      <w:r>
        <w:rPr>
          <w:bCs/>
          <w:b/>
        </w:rPr>
        <w:t xml:space="preserve">developer-facing profile documentation</w:t>
      </w:r>
      <w:r>
        <w:t xml:space="preserve"> </w:t>
      </w:r>
      <w:r>
        <w:t xml:space="preserve">synchronised to gate policy bundles:</w:t>
      </w:r>
    </w:p>
    <w:p>
      <w:pPr>
        <w:numPr>
          <w:ilvl w:val="0"/>
          <w:numId w:val="1009"/>
        </w:numPr>
        <w:pStyle w:val="Compact"/>
      </w:pPr>
      <w:r>
        <w:t xml:space="preserve">Profile ID and HLM phase</w:t>
      </w:r>
    </w:p>
    <w:p>
      <w:pPr>
        <w:numPr>
          <w:ilvl w:val="0"/>
          <w:numId w:val="1009"/>
        </w:numPr>
        <w:pStyle w:val="Compact"/>
      </w:pPr>
      <w:r>
        <w:t xml:space="preserve">Permitted algorithms and constructions</w:t>
      </w:r>
    </w:p>
    <w:p>
      <w:pPr>
        <w:numPr>
          <w:ilvl w:val="0"/>
          <w:numId w:val="1009"/>
        </w:numPr>
        <w:pStyle w:val="Compact"/>
      </w:pPr>
      <w:r>
        <w:t xml:space="preserve">Sunset date and successor profile</w:t>
      </w:r>
    </w:p>
    <w:p>
      <w:pPr>
        <w:numPr>
          <w:ilvl w:val="0"/>
          <w:numId w:val="1009"/>
        </w:numPr>
        <w:pStyle w:val="Compact"/>
      </w:pPr>
      <w:r>
        <w:t xml:space="preserve">Harness fixture reference for tenant integration testing</w:t>
      </w:r>
    </w:p>
    <w:p>
      <w:pPr>
        <w:numPr>
          <w:ilvl w:val="0"/>
          <w:numId w:val="1009"/>
        </w:numPr>
        <w:pStyle w:val="Compact"/>
      </w:pPr>
      <w:r>
        <w:t xml:space="preserve">Validation module requirements for T2+</w:t>
      </w:r>
    </w:p>
    <w:p>
      <w:pPr>
        <w:pStyle w:val="FirstParagraph"/>
      </w:pPr>
      <w:r>
        <w:t xml:space="preserve">Sales engineering could not promise algorithms outside the catalogue — procurement linked master agreement exhibits to catalogue version hash. When crypto governance board approved ML-KEM parameter set elevation, catalogue version incremented, gates updated within five business days, and tenant notification workflow triggered for T2+ cohorts —</w:t>
      </w:r>
      <w:r>
        <w:t xml:space="preserve"> </w:t>
      </w:r>
      <w:r>
        <w:rPr>
          <w:bCs/>
          <w:b/>
        </w:rPr>
        <w:t xml:space="preserve">synchronisation as commercial process</w:t>
      </w:r>
      <w:r>
        <w:t xml:space="preserve">, not merely engineering discipline.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Xf34abfa2a0d986f15dae63e11065928fb2ee875"/>
    <w:p>
      <w:pPr>
        <w:pStyle w:val="Heading2"/>
      </w:pPr>
      <w:r>
        <w:t xml:space="preserve">21.10 Procurement, Tenant Contracts, and Cloud Concentration</w:t>
      </w:r>
    </w:p>
    <w:p>
      <w:pPr>
        <w:pStyle w:val="FirstParagraph"/>
      </w:pPr>
      <w:r>
        <w:t xml:space="preserve">Chapter 16’s procurement machinery applies to SaaS operators</w:t>
      </w:r>
      <w:r>
        <w:t xml:space="preserve"> </w:t>
      </w:r>
      <w:r>
        <w:rPr>
          <w:bCs/>
          <w:b/>
        </w:rPr>
        <w:t xml:space="preserve">bidirectionally</w:t>
      </w:r>
      <w:r>
        <w:t xml:space="preserve"> </w:t>
      </w:r>
      <w:r>
        <w:t xml:space="preserve">— as buyer of cloud services and as seller of platform services with cryptographic flow-down.</w:t>
      </w:r>
    </w:p>
    <w:bookmarkStart w:id="58" w:name="as-cloud-customer"/>
    <w:p>
      <w:pPr>
        <w:pStyle w:val="Heading3"/>
      </w:pPr>
      <w:r>
        <w:t xml:space="preserve">21.10.1 As cloud customer</w:t>
      </w:r>
    </w:p>
    <w:p>
      <w:pPr>
        <w:pStyle w:val="FirstParagraph"/>
      </w:pPr>
      <w:r>
        <w:t xml:space="preserve">GlobalSync procurement applied Table 16.2 vendor evidence checklist to hyperscaler and cloud HSM contracts:</w:t>
      </w:r>
    </w:p>
    <w:p>
      <w:pPr>
        <w:numPr>
          <w:ilvl w:val="0"/>
          <w:numId w:val="1010"/>
        </w:numPr>
        <w:pStyle w:val="Compact"/>
      </w:pPr>
      <w:r>
        <w:t xml:space="preserve">Machine-readable CBOM or cryptographic disclosure</w:t>
      </w:r>
    </w:p>
    <w:p>
      <w:pPr>
        <w:numPr>
          <w:ilvl w:val="0"/>
          <w:numId w:val="1010"/>
        </w:numPr>
        <w:pStyle w:val="Compact"/>
      </w:pPr>
      <w:r>
        <w:t xml:space="preserve">CMVP certificate with algorithm implementation annotation</w:t>
      </w:r>
    </w:p>
    <w:p>
      <w:pPr>
        <w:numPr>
          <w:ilvl w:val="0"/>
          <w:numId w:val="1010"/>
        </w:numPr>
        <w:pStyle w:val="Compact"/>
      </w:pPr>
      <w:r>
        <w:t xml:space="preserve">Binding PQC roadmap milestones with audit rights</w:t>
      </w:r>
    </w:p>
    <w:p>
      <w:pPr>
        <w:numPr>
          <w:ilvl w:val="0"/>
          <w:numId w:val="1010"/>
        </w:numPr>
        <w:pStyle w:val="Compact"/>
      </w:pPr>
      <w:r>
        <w:t xml:space="preserve">BYOK import format documentation</w:t>
      </w:r>
    </w:p>
    <w:p>
      <w:pPr>
        <w:numPr>
          <w:ilvl w:val="0"/>
          <w:numId w:val="1010"/>
        </w:numPr>
        <w:pStyle w:val="Compact"/>
      </w:pPr>
      <w:r>
        <w:t xml:space="preserve">Exit and key destruction assistance</w:t>
      </w:r>
    </w:p>
    <w:p>
      <w:pPr>
        <w:pStyle w:val="FirstParagraph"/>
      </w:pPr>
      <w:r>
        <w:rPr>
          <w:bCs/>
          <w:b/>
        </w:rPr>
        <w:t xml:space="preserve">Concentration escalation:</w:t>
      </w:r>
      <w:r>
        <w:t xml:space="preserve"> </w:t>
      </w:r>
      <w:r>
        <w:t xml:space="preserve">Three cloud providers below Category H (roadmap binding) score triggered Article 29-style substitutability review — documented in steering minutes Q3 2027.</w:t>
      </w:r>
    </w:p>
    <w:bookmarkEnd w:id="58"/>
    <w:bookmarkStart w:id="59" w:name="as-saas-provider"/>
    <w:p>
      <w:pPr>
        <w:pStyle w:val="Heading3"/>
      </w:pPr>
      <w:r>
        <w:t xml:space="preserve">21.10.2 As SaaS provider</w:t>
      </w:r>
    </w:p>
    <w:p>
      <w:pPr>
        <w:pStyle w:val="FirstParagraph"/>
      </w:pPr>
      <w:r>
        <w:t xml:space="preserve">Tenant master agreements received</w:t>
      </w:r>
      <w:r>
        <w:t xml:space="preserve"> </w:t>
      </w:r>
      <w:r>
        <w:rPr>
          <w:bCs/>
          <w:b/>
        </w:rPr>
        <w:t xml:space="preserve">PQC addenda</w:t>
      </w:r>
      <w:r>
        <w:t xml:space="preserve"> </w:t>
      </w:r>
      <w:r>
        <w:t xml:space="preserve">(Chapter 16 §16.8.3):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068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Clause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Profile tier 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Links contract to T0–T3 assurance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Migration notification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90/180 days by tier before material algorithm change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Assurance pack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+ on-request within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BYOK interop obligation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participation in rotation windows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Classical sunset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Contractual alignment to GlobalSync HLM 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Sub-processor crypto flow-down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approval for provider changes affecting crypto</w:t>
            </w:r>
          </w:p>
        </w:tc>
      </w:tr>
    </w:tbl>
    <w:p>
      <w:pPr>
        <w:pStyle w:val="BodyText"/>
      </w:pPr>
      <w:r>
        <w:t xml:space="preserve">APAC programme lead owned</w:t>
      </w:r>
      <w:r>
        <w:t xml:space="preserve"> </w:t>
      </w:r>
      <w:r>
        <w:rPr>
          <w:bCs/>
          <w:b/>
        </w:rPr>
        <w:t xml:space="preserve">tenant renewal cohort tracking</w:t>
      </w:r>
      <w:r>
        <w:t xml:space="preserve"> </w:t>
      </w:r>
      <w:r>
        <w:t xml:space="preserve">— KPI dashboard row</w:t>
      </w:r>
      <w:r>
        <w:t xml:space="preserve"> </w:t>
      </w:r>
      <w:r>
        <w:rPr>
          <w:rStyle w:val="VerbatimChar"/>
        </w:rPr>
        <w:t xml:space="preserve">tenant_profile_adoption</w:t>
      </w:r>
      <w:r>
        <w:t xml:space="preserve"> </w:t>
      </w:r>
      <w:r>
        <w:t xml:space="preserve">prevented silent classical continuation in renewals (Chapter 15 §15.15).</w:t>
      </w:r>
    </w:p>
    <w:bookmarkEnd w:id="59"/>
    <w:bookmarkStart w:id="60" w:name="partner-ecosystem-procurement"/>
    <w:p>
      <w:pPr>
        <w:pStyle w:val="Heading3"/>
      </w:pPr>
      <w:r>
        <w:t xml:space="preserve">21.10.3 Partner ecosystem procurement</w:t>
      </w:r>
    </w:p>
    <w:p>
      <w:pPr>
        <w:pStyle w:val="FirstParagraph"/>
      </w:pPr>
      <w:r>
        <w:t xml:space="preserve">wE +0.25 sector modifier elevates</w:t>
      </w:r>
      <w:r>
        <w:t xml:space="preserve"> </w:t>
      </w:r>
      <w:r>
        <w:rPr>
          <w:bCs/>
          <w:b/>
        </w:rPr>
        <w:t xml:space="preserve">partner ecosystem</w:t>
      </w:r>
      <w:r>
        <w:t xml:space="preserve"> </w:t>
      </w:r>
      <w:r>
        <w:t xml:space="preserve">to Wave 0 procurement priority. GlobalSync’s customs integration partner (CDG blocking node for two hundred microservices) received contract amendment tying payment milestones to:</w:t>
      </w:r>
    </w:p>
    <w:p>
      <w:pPr>
        <w:numPr>
          <w:ilvl w:val="0"/>
          <w:numId w:val="1011"/>
        </w:numPr>
        <w:pStyle w:val="Compact"/>
      </w:pPr>
      <w:r>
        <w:t xml:space="preserve">Hybrid mTLS profile support by date</w:t>
      </w:r>
    </w:p>
    <w:p>
      <w:pPr>
        <w:numPr>
          <w:ilvl w:val="0"/>
          <w:numId w:val="1011"/>
        </w:numPr>
        <w:pStyle w:val="Compact"/>
      </w:pPr>
      <w:r>
        <w:t xml:space="preserve">Interop test participation</w:t>
      </w:r>
    </w:p>
    <w:p>
      <w:pPr>
        <w:numPr>
          <w:ilvl w:val="0"/>
          <w:numId w:val="1011"/>
        </w:numPr>
        <w:pStyle w:val="Compact"/>
      </w:pPr>
      <w:r>
        <w:t xml:space="preserve">Machine-readable CBOM disclosure</w:t>
      </w:r>
    </w:p>
    <w:p>
      <w:pPr>
        <w:numPr>
          <w:ilvl w:val="0"/>
          <w:numId w:val="1011"/>
        </w:numPr>
        <w:pStyle w:val="Compact"/>
      </w:pPr>
      <w:r>
        <w:t xml:space="preserve">Quarterly negotiation rate telemetry sharing</w:t>
      </w:r>
    </w:p>
    <w:p>
      <w:pPr>
        <w:pStyle w:val="FirstParagraph"/>
      </w:pPr>
      <w:r>
        <w:t xml:space="preserve">Partner procurement channel operated through</w:t>
      </w:r>
      <w:r>
        <w:t xml:space="preserve"> </w:t>
      </w:r>
      <w:r>
        <w:rPr>
          <w:bCs/>
          <w:b/>
        </w:rPr>
        <w:t xml:space="preserve">global programme director authority</w:t>
      </w:r>
      <w:r>
        <w:t xml:space="preserve"> </w:t>
      </w:r>
      <w:r>
        <w:t xml:space="preserve">— not regional partner managers incentivised to accept classical compatibility for quarterly revenue targets.</w:t>
      </w:r>
    </w:p>
    <w:bookmarkEnd w:id="60"/>
    <w:bookmarkStart w:id="61" w:name="dora-flow-down-via-tenant-contracts"/>
    <w:p>
      <w:pPr>
        <w:pStyle w:val="Heading3"/>
      </w:pPr>
      <w:r>
        <w:t xml:space="preserve">21.10.4 DORA flow-down via tenant contracts</w:t>
      </w:r>
    </w:p>
    <w:p>
      <w:pPr>
        <w:pStyle w:val="FirstParagraph"/>
      </w:pPr>
      <w:r>
        <w:t xml:space="preserve">GlobalSync is not a DORA-regulated financial entity — but</w:t>
      </w:r>
      <w:r>
        <w:t xml:space="preserve"> </w:t>
      </w:r>
      <w:r>
        <w:rPr>
          <w:bCs/>
          <w:b/>
        </w:rPr>
        <w:t xml:space="preserve">hosts</w:t>
      </w:r>
      <w:r>
        <w:t xml:space="preserve"> </w:t>
      </w:r>
      <w:r>
        <w:t xml:space="preserve">logistics workloads for EU banking tenants who are. Tenant T2 contracts therefore include</w:t>
      </w:r>
      <w:r>
        <w:t xml:space="preserve"> </w:t>
      </w:r>
      <w:r>
        <w:rPr>
          <w:bCs/>
          <w:b/>
        </w:rPr>
        <w:t xml:space="preserve">DORA ICT flow-down</w:t>
      </w:r>
      <w:r>
        <w:t xml:space="preserve"> </w:t>
      </w:r>
      <w:r>
        <w:t xml:space="preserve">clauses mirroring Meridian’s supplier expectations (Chapter 16):</w:t>
      </w:r>
    </w:p>
    <w:p>
      <w:pPr>
        <w:numPr>
          <w:ilvl w:val="0"/>
          <w:numId w:val="1012"/>
        </w:numPr>
        <w:pStyle w:val="Compact"/>
      </w:pPr>
      <w:r>
        <w:t xml:space="preserve">Right to audit cryptographic controls supporting critical tenant functions</w:t>
      </w:r>
    </w:p>
    <w:p>
      <w:pPr>
        <w:numPr>
          <w:ilvl w:val="0"/>
          <w:numId w:val="1012"/>
        </w:numPr>
        <w:pStyle w:val="Compact"/>
      </w:pPr>
      <w:r>
        <w:t xml:space="preserve">Sub-processor notification for material cloud provider changes</w:t>
      </w:r>
    </w:p>
    <w:p>
      <w:pPr>
        <w:numPr>
          <w:ilvl w:val="0"/>
          <w:numId w:val="1012"/>
        </w:numPr>
        <w:pStyle w:val="Compact"/>
      </w:pPr>
      <w:r>
        <w:t xml:space="preserve">Co-operation with tenant ICT risk management and incident notification</w:t>
      </w:r>
    </w:p>
    <w:p>
      <w:pPr>
        <w:numPr>
          <w:ilvl w:val="0"/>
          <w:numId w:val="1012"/>
        </w:numPr>
        <w:pStyle w:val="Compact"/>
      </w:pPr>
      <w:r>
        <w:t xml:space="preserve">Exit assistance including cryptographic data portability specifications</w:t>
      </w:r>
    </w:p>
    <w:p>
      <w:pPr>
        <w:pStyle w:val="FirstParagraph"/>
      </w:pPr>
      <w:r>
        <w:t xml:space="preserve">Thomas Bergström consulted on Meridian’s clause library; GlobalSync legal adapted</w:t>
      </w:r>
      <w:r>
        <w:t xml:space="preserve"> </w:t>
      </w:r>
      <w:r>
        <w:rPr>
          <w:bCs/>
          <w:b/>
        </w:rPr>
        <w:t xml:space="preserve">processor-side</w:t>
      </w:r>
      <w:r>
        <w:t xml:space="preserve"> </w:t>
      </w:r>
      <w:r>
        <w:t xml:space="preserve">language — demonstrating sector playbook cross-pollination without duplicating DORA compliance programmes GlobalSync does not operate. The clause structure ensured EU banking tenants could</w:t>
      </w:r>
      <w:r>
        <w:t xml:space="preserve"> </w:t>
      </w:r>
      <w:r>
        <w:rPr>
          <w:bCs/>
          <w:b/>
        </w:rPr>
        <w:t xml:space="preserve">embed GlobalSync assurance packs</w:t>
      </w:r>
      <w:r>
        <w:t xml:space="preserve"> </w:t>
      </w:r>
      <w:r>
        <w:t xml:space="preserve">directly into Article 28 due diligence files without re-interviewing Marcus Chen’s engineers quarterly.</w:t>
      </w:r>
    </w:p>
    <w:bookmarkEnd w:id="61"/>
    <w:bookmarkStart w:id="62" w:name="concentration-risk-register"/>
    <w:p>
      <w:pPr>
        <w:pStyle w:val="Heading3"/>
      </w:pPr>
      <w:r>
        <w:t xml:space="preserve">21.10.5 Concentration risk register</w:t>
      </w:r>
    </w:p>
    <w:p>
      <w:pPr>
        <w:pStyle w:val="FirstParagraph"/>
      </w:pPr>
      <w:r>
        <w:t xml:space="preserve">Sofia Lindström maintained a</w:t>
      </w:r>
      <w:r>
        <w:t xml:space="preserve"> </w:t>
      </w:r>
      <w:r>
        <w:rPr>
          <w:bCs/>
          <w:b/>
        </w:rPr>
        <w:t xml:space="preserve">cryptographic concentration risk register</w:t>
      </w:r>
      <w:r>
        <w:t xml:space="preserve"> </w:t>
      </w:r>
      <w:r>
        <w:t xml:space="preserve">— distinct from enterprise risk register quantum entry (Chapter 3) but cross-linked: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05"/>
        <w:gridCol w:w="2315"/>
        <w:gridCol w:w="2315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Register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 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Next review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Hyperscaler A — EU/US KMS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Provider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Secondary interop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Customs partner gateway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amendment + retest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Q4 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Embedded JWT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Transitive dependency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image v4.2 promoted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Platform ML-DSA root HSM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Parallel vendor qualification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 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 BYOK tenant cohort (n=47)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custody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wave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</w:t>
            </w:r>
          </w:p>
        </w:tc>
      </w:tr>
    </w:tbl>
    <w:p>
      <w:pPr>
        <w:pStyle w:val="BodyText"/>
      </w:pPr>
      <w:r>
        <w:t xml:space="preserve">Steering committee reviewed register quarterly — escalation when mitigation slipped more than one review cycle. The register made</w:t>
      </w:r>
      <w:r>
        <w:t xml:space="preserve"> </w:t>
      </w:r>
      <w:r>
        <w:rPr>
          <w:bCs/>
          <w:b/>
        </w:rPr>
        <w:t xml:space="preserve">concentration risk visible</w:t>
      </w:r>
      <w:r>
        <w:t xml:space="preserve"> </w:t>
      </w:r>
      <w:r>
        <w:t xml:space="preserve">alongside migration velocity — balancing the chapter’s central argument in operational artefact form.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6" w:name="X363077010e180495c073a35f6394313b5fc81b8"/>
    <w:p>
      <w:pPr>
        <w:pStyle w:val="Heading2"/>
      </w:pPr>
      <w:r>
        <w:t xml:space="preserve">21.11 TRADE, Wave Planning, and Partner Ecosystem</w:t>
      </w:r>
    </w:p>
    <w:p>
      <w:pPr>
        <w:pStyle w:val="FirstParagraph"/>
      </w:pPr>
      <w:r>
        <w:t xml:space="preserve">Chapter 9’s TRADE engine with</w:t>
      </w:r>
      <w:r>
        <w:t xml:space="preserve"> </w:t>
      </w:r>
      <w:r>
        <w:rPr>
          <w:bCs/>
          <w:b/>
        </w:rPr>
        <w:t xml:space="preserve">wE +0.25</w:t>
      </w:r>
      <w:r>
        <w:t xml:space="preserve"> </w:t>
      </w:r>
      <w:r>
        <w:t xml:space="preserve">produces SaaS-specific wave sequencing distinguishable from single-enterprise patterns.</w:t>
      </w:r>
    </w:p>
    <w:bookmarkStart w:id="64" w:name="saas-wave-sequencing-defaults"/>
    <w:p>
      <w:pPr>
        <w:pStyle w:val="Heading3"/>
      </w:pPr>
      <w:r>
        <w:t xml:space="preserve">21.11.1 SaaS wave sequencing defaults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96"/>
        <w:gridCol w:w="4184"/>
        <w:gridCol w:w="283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priority (wE-weighted)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GlobalSync outcome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gateways; shared libraries; platform KMS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mTLS v3; blocking fan-in −78%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Ingress/egress; tenant API signing; golden images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Hybrid TLS production; agility Tier 2+ 74%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tier migrations; T2 regulated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healthcare cohort; FedRAMP tenants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T3 BYOK/HYOK per-tenant tracks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Germany HSM validation dependency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Wave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H3 verification; classical sunset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contract enforcement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Structural lane precedence</w:t>
      </w:r>
      <w:r>
        <w:t xml:space="preserve"> </w:t>
      </w:r>
      <w:r>
        <w:t xml:space="preserve">(Chapter 9): partner ecosystem Wave 0 could not be accelerated by business priority without board risk acceptance — Sofia enforced precedence when sales requested tenant feature freeze during partner retest.</w:t>
      </w:r>
    </w:p>
    <w:bookmarkEnd w:id="64"/>
    <w:bookmarkStart w:id="65" w:name="ecosystem-readiness-telemetry"/>
    <w:p>
      <w:pPr>
        <w:pStyle w:val="Heading3"/>
      </w:pPr>
      <w:r>
        <w:t xml:space="preserve">21.11.2 Ecosystem readiness telemetry</w:t>
      </w:r>
    </w:p>
    <w:p>
      <w:pPr>
        <w:pStyle w:val="FirstParagraph"/>
      </w:pPr>
      <w:r>
        <w:t xml:space="preserve">Chapter 17’s ingress telemetry —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×</w:t>
      </w:r>
      <w:r>
        <w:t xml:space="preserve"> </w:t>
      </w:r>
      <w:r>
        <w:rPr>
          <w:rStyle w:val="VerbatimChar"/>
        </w:rPr>
        <w:t xml:space="preserve">negotiated_group</w:t>
      </w:r>
      <w:r>
        <w:t xml:space="preserve"> </w:t>
      </w:r>
      <w:r>
        <w:t xml:space="preserve">— fed TRADE</w:t>
      </w:r>
      <w:r>
        <w:t xml:space="preserve"> </w:t>
      </w:r>
      <w:r>
        <w:rPr>
          <w:bCs/>
          <w:b/>
        </w:rPr>
        <w:t xml:space="preserve">E</w:t>
      </w:r>
      <w:r>
        <w:t xml:space="preserve"> </w:t>
      </w:r>
      <w:r>
        <w:t xml:space="preserve">rescore triggers. When four-week rolling hybrid negotiation rate crossed policy threshold, programme office initiated H2 promotion review for eligible services.</w:t>
      </w:r>
    </w:p>
    <w:p>
      <w:pPr>
        <w:pStyle w:val="BodyText"/>
      </w:pPr>
      <w:r>
        <w:t xml:space="preserve">Meridian’s financial services overlay emphasises wR; GlobalSync’s SaaS overlay emphasises</w:t>
      </w:r>
      <w:r>
        <w:t xml:space="preserve"> </w:t>
      </w:r>
      <w:r>
        <w:rPr>
          <w:bCs/>
          <w:b/>
        </w:rPr>
        <w:t xml:space="preserve">wE</w:t>
      </w:r>
      <w:r>
        <w:t xml:space="preserve"> </w:t>
      </w:r>
      <w:r>
        <w:t xml:space="preserve">— same TRADE engine, different sector truth.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Xc4d66903d5bd1c54f1761d8d646c38881ad25fd"/>
    <w:p>
      <w:pPr>
        <w:pStyle w:val="Heading2"/>
      </w:pPr>
      <w:r>
        <w:t xml:space="preserve">21.12 Tenant Assurance Packs and Year 2–3 Programme Arc</w:t>
      </w:r>
    </w:p>
    <w:p>
      <w:pPr>
        <w:pStyle w:val="FirstParagraph"/>
      </w:pPr>
      <w:r>
        <w:t xml:space="preserve">GlobalSync’s</w:t>
      </w:r>
      <w:r>
        <w:t xml:space="preserve"> </w:t>
      </w:r>
      <w:r>
        <w:rPr>
          <w:bCs/>
          <w:b/>
        </w:rPr>
        <w:t xml:space="preserve">Year 2–3 programme arc</w:t>
      </w:r>
      <w:r>
        <w:t xml:space="preserve"> </w:t>
      </w:r>
      <w:r>
        <w:t xml:space="preserve">synthesises chapter themes into measurable outcomes — the Proof phase deliverable Part VI promises.</w:t>
      </w:r>
    </w:p>
    <w:bookmarkStart w:id="67" w:name="year-2-outcomes-2027"/>
    <w:p>
      <w:pPr>
        <w:pStyle w:val="Heading3"/>
      </w:pPr>
      <w:r>
        <w:t xml:space="preserve">21.12.1 Year 2 outcomes (2027)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863"/>
        <w:gridCol w:w="1863"/>
        <w:gridCol w:w="232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PQ-ADAPT Level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workstream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Declared Q2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15 checklist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Wave 0 exit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Blocking fan-in &lt;25%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−78%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CDG dashboard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Agility Tier 2+ (Wave 1 services)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CBOM 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gate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 unapproved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sampling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assurance packs published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T0–T2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Annual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 provider assessment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Quarterly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Q1–Q4 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 21.1 scores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module maintenance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packs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48-hour assembly proven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 2028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Procurement tenant addenda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 renewals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tracker</w:t>
            </w:r>
          </w:p>
        </w:tc>
      </w:tr>
    </w:tbl>
    <w:bookmarkEnd w:id="67"/>
    <w:bookmarkStart w:id="68" w:name="year-3-challenges-2028"/>
    <w:p>
      <w:pPr>
        <w:pStyle w:val="Heading3"/>
      </w:pPr>
      <w:r>
        <w:t xml:space="preserve">21.12.2 Year 3 challenges (2028)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4896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Challenge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Concentration risk manifestation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 BYOK Germany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HSM validation 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Separate tenant wave 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Hyperscaler module delay (APAC)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 C score drop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Region-pinned Wave 2 deferral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Tenant classical sunset resistance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Contract renewal friction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Steering-backed notification campaign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Supervisory crypto questionnaire surge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EU healthcare cohort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module automation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Partner P-003 interop 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 2 tenant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16 partner escalation</w:t>
            </w:r>
          </w:p>
        </w:tc>
      </w:tr>
    </w:tbl>
    <w:p>
      <w:pPr>
        <w:pStyle w:val="BodyText"/>
      </w:pPr>
      <w:r>
        <w:t xml:space="preserve">Marcus Chen noted Year 3 truth:</w:t>
      </w:r>
      <w:r>
        <w:t xml:space="preserve"> </w:t>
      </w:r>
      <w:r>
        <w:rPr>
          <w:bCs/>
          <w:b/>
        </w:rPr>
        <w:t xml:space="preserve">platform migration velocity exceeded tenant custody velocity</w:t>
      </w:r>
      <w:r>
        <w:t xml:space="preserve"> </w:t>
      </w:r>
      <w:r>
        <w:t xml:space="preserve">— a predictable SaaS concentration risk. Sofia Lindström reframed KPI dashboard to show</w:t>
      </w:r>
      <w:r>
        <w:t xml:space="preserve"> </w:t>
      </w:r>
      <w:r>
        <w:rPr>
          <w:bCs/>
          <w:b/>
        </w:rPr>
        <w:t xml:space="preserve">platform HLM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tenant HLM</w:t>
      </w:r>
      <w:r>
        <w:t xml:space="preserve"> </w:t>
      </w:r>
      <w:r>
        <w:t xml:space="preserve">swim lanes — preventing false aggregate progress claims.</w:t>
      </w:r>
    </w:p>
    <w:bookmarkEnd w:id="68"/>
    <w:bookmarkStart w:id="69" w:name="lessons-learned"/>
    <w:p>
      <w:pPr>
        <w:pStyle w:val="Heading3"/>
      </w:pPr>
      <w:r>
        <w:t xml:space="preserve">21.12.3 Lessons learned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Tenant governance belongs in programme office</w:t>
      </w:r>
      <w:r>
        <w:t xml:space="preserve">, not sales — three-region structure succeeded when contractual tier mapping was centralised (Chapter 15).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Evidence modules beat emergency packs</w:t>
      </w:r>
      <w:r>
        <w:t xml:space="preserve"> </w:t>
      </w:r>
      <w:r>
        <w:t xml:space="preserve">— GDPR cross-border assembly in forty-eight hours required living documentation.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wE +0.25 is not optional</w:t>
      </w:r>
      <w:r>
        <w:t xml:space="preserve"> </w:t>
      </w:r>
      <w:r>
        <w:t xml:space="preserve">for SaaS — partner Wave 0 precedence saved Wave 1 from permanent hybrid pilot status.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BYOK tenants require separate wave tracks</w:t>
      </w:r>
      <w:r>
        <w:t xml:space="preserve"> </w:t>
      </w:r>
      <w:r>
        <w:t xml:space="preserve">— platform Level 4 does not imply tenant Level 4.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Shared responsibility matrix is commercial artefact</w:t>
      </w:r>
      <w:r>
        <w:t xml:space="preserve"> </w:t>
      </w:r>
      <w:r>
        <w:t xml:space="preserve">— unsigned matrices produced tenant audit findings in two T2 renewals.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Cloud concentration requires substitutability evidence</w:t>
      </w:r>
      <w:r>
        <w:t xml:space="preserve"> </w:t>
      </w:r>
      <w:r>
        <w:t xml:space="preserve">even when migration is not imminent — Article 29 logic applies to SaaS as buyer.</w:t>
      </w:r>
    </w:p>
    <w:p>
      <w:pPr>
        <w:pStyle w:val="BlockText"/>
      </w:pPr>
      <w:r>
        <w:rPr>
          <w:bCs/>
          <w:b/>
        </w:rPr>
        <w:t xml:space="preserve">Migration Moment</w:t>
      </w:r>
    </w:p>
    <w:p>
      <w:pPr>
        <w:pStyle w:val="BlockText"/>
      </w:pPr>
      <w:r>
        <w:rPr>
          <w:iCs/>
          <w:i/>
        </w:rPr>
        <w:t xml:space="preserve">“</w:t>
      </w:r>
      <w:r>
        <w:rPr>
          <w:iCs/>
          <w:i/>
        </w:rPr>
        <w:t xml:space="preserve">We hit Level 4 on the platform — can we tell customers we’re quantum-safe?</w:t>
      </w:r>
      <w:r>
        <w:rPr>
          <w:iCs/>
          <w:i/>
        </w:rPr>
        <w:t xml:space="preserve">”</w:t>
      </w:r>
    </w:p>
    <w:p>
      <w:pPr>
        <w:pStyle w:val="BlockText"/>
      </w:pPr>
      <w:r>
        <w:t xml:space="preserve">PQ-ADAPT Level 4 means production hybrids under</w:t>
      </w:r>
      <w:r>
        <w:t xml:space="preserve"> </w:t>
      </w:r>
      <w:r>
        <w:rPr>
          <w:bCs/>
          <w:b/>
        </w:rPr>
        <w:t xml:space="preserve">programme governance</w:t>
      </w:r>
      <w:r>
        <w:t xml:space="preserve"> </w:t>
      </w:r>
      <w:r>
        <w:t xml:space="preserve">— not quantum-vulnerable algorithm retirement. Customer communications must align to</w:t>
      </w:r>
      <w:r>
        <w:t xml:space="preserve"> </w:t>
      </w:r>
      <w:r>
        <w:rPr>
          <w:bCs/>
          <w:b/>
        </w:rPr>
        <w:t xml:space="preserve">HLM phase</w:t>
      </w:r>
      <w:r>
        <w:t xml:space="preserve">, tenant tier, and custody model. GlobalSync’s marketing team received steering-approved language: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Platform operating transitional hybrid cryptography under governed migration programme aligned to NIST IR 8547 anchors</w:t>
      </w:r>
      <w:r>
        <w:rPr>
          <w:iCs/>
          <w:i/>
        </w:rPr>
        <w:t xml:space="preserve">”</w:t>
      </w:r>
      <w:r>
        <w:t xml:space="preserve"> </w:t>
      </w:r>
      <w:r>
        <w:t xml:space="preserve">— not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quantum-safe.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sector-overlay-summary-table"/>
    <w:p>
      <w:pPr>
        <w:pStyle w:val="Heading2"/>
      </w:pPr>
      <w:r>
        <w:t xml:space="preserve">21.13 Sector Overlay Summary Table</w:t>
      </w:r>
    </w:p>
    <w:p>
      <w:pPr>
        <w:pStyle w:val="FirstParagraph"/>
      </w:pPr>
      <w:r>
        <w:rPr>
          <w:bCs/>
          <w:b/>
        </w:rPr>
        <w:t xml:space="preserve">Table 21.3 — Sector Overlay Matrix: SaaS / Cloud-Native Platform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75"/>
        <w:gridCol w:w="2594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SOM element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Universal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SaaS / platform modifier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wR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+0.10 for regulated tenant segments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wD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wE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+0.25 → 1.00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HLM Wave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CDG blocking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 ecosystem + platform KMS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Procurement 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third-party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KMS + tenant addenda + partner SOW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 programme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assurance tiers T0–T3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Governance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programme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Three-region model; tenant contract KPI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CBOM +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GDPR packs; customer CBOM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Failure 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permanence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False platform progress</w:t>
            </w:r>
            <w:r>
              <w:t xml:space="preserve"> </w:t>
            </w:r>
            <w:r>
              <w:t xml:space="preserve">ignoring tenant custody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Start w:id="72" w:name="integration-with-prior-chapters"/>
    <w:p>
      <w:pPr>
        <w:pStyle w:val="Heading2"/>
      </w:pPr>
      <w:r>
        <w:t xml:space="preserve">21.14 Integration with Prior Chapters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43"/>
        <w:gridCol w:w="1827"/>
        <w:gridCol w:w="324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Chapter 21 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Three-region programme office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 §15.15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Sofia Lindström operating model; collision 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Procurement clause library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Cloud customer + tenant provider clauses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cryptographic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 enforcement; customer CBOM summaries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KMS/BYOK patterns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Custody tier architecture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Crypto-agility profiles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profile inheritance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TRADE wE modifier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§9.22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Sector wave sequencing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CBOM customer summaries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 §7.14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Tenant trust boundary 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Article 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Cross-border evidence framing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Forward reference:</w:t>
      </w:r>
      <w:r>
        <w:t xml:space="preserve"> </w:t>
      </w:r>
      <w:r>
        <w:t xml:space="preserve">Chapter 22 —</w:t>
      </w:r>
      <w:r>
        <w:t xml:space="preserve"> </w:t>
      </w:r>
      <w:r>
        <w:rPr>
          <w:iCs/>
          <w:i/>
        </w:rPr>
        <w:t xml:space="preserve">Sustaining Quantum Resilience</w:t>
      </w:r>
      <w:r>
        <w:t xml:space="preserve"> </w:t>
      </w:r>
      <w:r>
        <w:t xml:space="preserve">— closes the book with standards watch, PQ-ADAPT Level 5 operations, and Year 3 retrospective across all four teaching organisations.</w:t>
      </w:r>
    </w:p>
    <w:p>
      <w:r>
        <w:pict>
          <v:rect style="width:0;height:1.5pt" o:hralign="center" o:hrstd="t" o:hr="t"/>
        </w:pict>
      </w:r>
    </w:p>
    <w:bookmarkEnd w:id="72"/>
    <w:bookmarkStart w:id="73" w:name="figure-production-briefs"/>
    <w:p>
      <w:pPr>
        <w:pStyle w:val="Heading2"/>
      </w:pPr>
      <w:r>
        <w:t xml:space="preserve">21.15 Figure Production Briefs</w:t>
      </w:r>
    </w:p>
    <w:p>
      <w:pPr>
        <w:pStyle w:val="FirstParagraph"/>
      </w:pPr>
      <w:r>
        <w:rPr>
          <w:bCs/>
          <w:b/>
        </w:rPr>
        <w:t xml:space="preserve">Figure 21.1</w:t>
      </w:r>
      <w:r>
        <w:t xml:space="preserve"> </w:t>
      </w:r>
      <w:r>
        <w:t xml:space="preserve">(§21.3.3): Multi-tenant PQC architecture — full-width with custody tier colour coding, evidence plane at base, CI/CD gate band, partner gateway callout. Include legend for T0–T3 and jurisdiction overlay icons.</w:t>
      </w:r>
    </w:p>
    <w:p>
      <w:pPr>
        <w:pStyle w:val="BodyText"/>
      </w:pPr>
      <w:r>
        <w:rPr>
          <w:bCs/>
          <w:b/>
        </w:rPr>
        <w:t xml:space="preserve">Figure 21.2 — Shared Responsibility Swim Lanes:</w:t>
      </w:r>
      <w:r>
        <w:t xml:space="preserve"> </w:t>
      </w:r>
      <w:r>
        <w:t xml:space="preserve">Three lanes (hyperscaler, GlobalSync platform, tenant) with PQC migration artefacts annotated at boundary crossings. Highlight dual-role GlobalSync position.</w:t>
      </w:r>
    </w:p>
    <w:p>
      <w:pPr>
        <w:pStyle w:val="BodyText"/>
      </w:pPr>
      <w:r>
        <w:rPr>
          <w:bCs/>
          <w:b/>
        </w:rPr>
        <w:t xml:space="preserve">Figure 21.3 — Cross-Border Evidence Module Assembly:</w:t>
      </w:r>
      <w:r>
        <w:t xml:space="preserve"> </w:t>
      </w:r>
      <w:r>
        <w:t xml:space="preserve">Flowchart from supervisory request to module selection to DPO attestation — 48-hour path vs 3-week panic path contrast.</w:t>
      </w:r>
    </w:p>
    <w:p>
      <w:pPr>
        <w:pStyle w:val="BodyText"/>
      </w:pPr>
      <w:r>
        <w:rPr>
          <w:bCs/>
          <w:b/>
        </w:rPr>
        <w:t xml:space="preserve">Figure 21.4 — Platform vs Tenant HLM Swim Lanes:</w:t>
      </w:r>
      <w:r>
        <w:t xml:space="preserve"> </w:t>
      </w:r>
      <w:r>
        <w:t xml:space="preserve">Dual Gantt showing GlobalSync platform H2 progression while T3 tenant tracks remain H1 — prevents false aggregate reporting.</w:t>
      </w:r>
    </w:p>
    <w:p>
      <w:r>
        <w:pict>
          <v:rect style="width:0;height:1.5pt" o:hralign="center" o:hrstd="t" o:hr="t"/>
        </w:pict>
      </w:r>
    </w:p>
    <w:bookmarkEnd w:id="73"/>
    <w:bookmarkStart w:id="74" w:name="apply-in-your-organisation"/>
    <w:p>
      <w:pPr>
        <w:pStyle w:val="Heading2"/>
      </w:pPr>
      <w:r>
        <w:t xml:space="preserve">21.16 Apply in Your Organisation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Document SOM wE +0.25</w:t>
      </w:r>
      <w:r>
        <w:t xml:space="preserve"> </w:t>
      </w:r>
      <w:r>
        <w:t xml:space="preserve">in programme charter before TRADE rescoring — SaaS sector modifier is mandatory, not advisory.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Publish multi-tenant PQC architecture</w:t>
      </w:r>
      <w:r>
        <w:t xml:space="preserve"> </w:t>
      </w:r>
      <w:r>
        <w:t xml:space="preserve">using Figure 21.1 pattern — profile inheritance, not per-tenant forks.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Define tenant assurance tiers T0–T3</w:t>
      </w:r>
      <w:r>
        <w:t xml:space="preserve"> </w:t>
      </w:r>
      <w:r>
        <w:t xml:space="preserve">with custody model, evidence pack, and contract mapping.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Complete cloud provider capability assessment</w:t>
      </w:r>
      <w:r>
        <w:t xml:space="preserve"> </w:t>
      </w:r>
      <w:r>
        <w:t xml:space="preserve">(Table 21.1) for all in-scope providers — quarterly refresh.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Sign shared responsibility matrices</w:t>
      </w:r>
      <w:r>
        <w:t xml:space="preserve"> </w:t>
      </w:r>
      <w:r>
        <w:t xml:space="preserve">for cloud contracts and tenant-facing documentation.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Establish BYOK/HYOK interop harness</w:t>
      </w:r>
      <w:r>
        <w:t xml:space="preserve"> </w:t>
      </w:r>
      <w:r>
        <w:t xml:space="preserve">with T3 tenant test endpoints before marketing custody options.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Separate platform wave register from tenant wave register</w:t>
      </w:r>
      <w:r>
        <w:t xml:space="preserve"> </w:t>
      </w:r>
      <w:r>
        <w:t xml:space="preserve">— especially for BYOK and regulated tiers.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Implement jurisdiction-scoped CI/CD policy bundles</w:t>
      </w:r>
      <w:r>
        <w:t xml:space="preserve"> </w:t>
      </w:r>
      <w:r>
        <w:t xml:space="preserve">— not regional code forks (Chapter 17).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Assemble cross-border evidence modules</w:t>
      </w:r>
      <w:r>
        <w:t xml:space="preserve"> </w:t>
      </w:r>
      <w:r>
        <w:t xml:space="preserve">(Table 21.2) as living artefacts — rehearse 48-hour assembly.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Integrate tenant PQC addenda</w:t>
      </w:r>
      <w:r>
        <w:t xml:space="preserve"> </w:t>
      </w:r>
      <w:r>
        <w:t xml:space="preserve">into renewal workflow (Chapter 16) — track</w:t>
      </w:r>
      <w:r>
        <w:t xml:space="preserve"> </w:t>
      </w:r>
      <w:r>
        <w:rPr>
          <w:rStyle w:val="VerbatimChar"/>
        </w:rPr>
        <w:t xml:space="preserve">tenant_profile_adoption</w:t>
      </w:r>
      <w:r>
        <w:t xml:space="preserve"> </w:t>
      </w:r>
      <w:r>
        <w:t xml:space="preserve">KPI.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Escalate cloud concentration</w:t>
      </w:r>
      <w:r>
        <w:t xml:space="preserve"> </w:t>
      </w:r>
      <w:r>
        <w:t xml:space="preserve">when Table 21.1 Category H scores below 3 — substitutability analysis in steering.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Align three-region programme office</w:t>
      </w:r>
      <w:r>
        <w:t xml:space="preserve"> </w:t>
      </w:r>
      <w:r>
        <w:t xml:space="preserve">with centralised partner programme and distributed regulatory liaison (Chapter 15).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Publish customer-facing CBOM summaries</w:t>
      </w:r>
      <w:r>
        <w:t xml:space="preserve"> </w:t>
      </w:r>
      <w:r>
        <w:t xml:space="preserve">from pipeline artefacts — legal/DPO review before release.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Track platform HLM and tenant HLM separately</w:t>
      </w:r>
      <w:r>
        <w:t xml:space="preserve"> </w:t>
      </w:r>
      <w:r>
        <w:t xml:space="preserve">in board and customer reporting.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Rehearse supervisory crypto questions</w:t>
      </w:r>
      <w:r>
        <w:t xml:space="preserve"> </w:t>
      </w:r>
      <w:r>
        <w:t xml:space="preserve">using GDPR Article 32 framing — not US control language in EU responses.</w:t>
      </w:r>
    </w:p>
    <w:p>
      <w:r>
        <w:pict>
          <v:rect style="width:0;height:1.5pt" o:hralign="center" o:hrstd="t" o:hr="t"/>
        </w:pict>
      </w:r>
    </w:p>
    <w:bookmarkEnd w:id="74"/>
    <w:bookmarkStart w:id="75" w:name="chapter-summary"/>
    <w:p>
      <w:pPr>
        <w:pStyle w:val="Heading2"/>
      </w:pPr>
      <w:r>
        <w:t xml:space="preserve">21.17 Chapter Summary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Cloud centralisation</w:t>
      </w:r>
      <w:r>
        <w:t xml:space="preserve"> </w:t>
      </w:r>
      <w:r>
        <w:t xml:space="preserve">simultaneously accelerates PQC migration through policy propagation and CI/CD gates — and</w:t>
      </w:r>
      <w:r>
        <w:t xml:space="preserve"> </w:t>
      </w:r>
      <w:r>
        <w:rPr>
          <w:bCs/>
          <w:b/>
        </w:rPr>
        <w:t xml:space="preserve">concentrates regulatory, custody, and partner risk</w:t>
      </w:r>
      <w:r>
        <w:t xml:space="preserve"> </w:t>
      </w:r>
      <w:r>
        <w:t xml:space="preserve">in single platform decisions.</w:t>
      </w:r>
    </w:p>
    <w:p>
      <w:pPr>
        <w:numPr>
          <w:ilvl w:val="0"/>
          <w:numId w:val="1015"/>
        </w:numPr>
        <w:pStyle w:val="Compact"/>
      </w:pPr>
      <w:r>
        <w:t xml:space="preserve">The</w:t>
      </w:r>
      <w:r>
        <w:t xml:space="preserve"> </w:t>
      </w:r>
      <w:r>
        <w:rPr>
          <w:bCs/>
          <w:b/>
        </w:rPr>
        <w:t xml:space="preserve">SaaS sector overlay</w:t>
      </w:r>
      <w:r>
        <w:t xml:space="preserve"> </w:t>
      </w:r>
      <w:r>
        <w:t xml:space="preserve">applies</w:t>
      </w:r>
      <w:r>
        <w:t xml:space="preserve"> </w:t>
      </w:r>
      <w:r>
        <w:rPr>
          <w:bCs/>
          <w:b/>
        </w:rPr>
        <w:t xml:space="preserve">wE +0.25</w:t>
      </w:r>
      <w:r>
        <w:t xml:space="preserve"> </w:t>
      </w:r>
      <w:r>
        <w:t xml:space="preserve">— ecosystem readiness gates Wave 0 partner and platform KMS work before tenant-facing migration claims.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Multi-tenant PQC architecture</w:t>
      </w:r>
      <w:r>
        <w:t xml:space="preserve"> </w:t>
      </w:r>
      <w:r>
        <w:t xml:space="preserve">composes platform policy, tenant tier overlay, and jurisdiction rules through</w:t>
      </w:r>
      <w:r>
        <w:t xml:space="preserve"> </w:t>
      </w:r>
      <w:r>
        <w:rPr>
          <w:bCs/>
          <w:b/>
        </w:rPr>
        <w:t xml:space="preserve">profile inheritance</w:t>
      </w:r>
      <w:r>
        <w:t xml:space="preserve"> </w:t>
      </w:r>
      <w:r>
        <w:t xml:space="preserve">— avoiding per-tenant engineering forks.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Shared responsibility models</w:t>
      </w:r>
      <w:r>
        <w:t xml:space="preserve"> </w:t>
      </w:r>
      <w:r>
        <w:t xml:space="preserve">must be documented bidirectionally: GlobalSync as cloud customer and SaaS provider; unsigned matrices create tenant audit findings.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BYOK/HYOK</w:t>
      </w:r>
      <w:r>
        <w:t xml:space="preserve"> </w:t>
      </w:r>
      <w:r>
        <w:t xml:space="preserve">shifts validation evidence to tenant custody — requiring separate wave tracks and honest assurance pack blind-spot documentation.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Table 21.1</w:t>
      </w:r>
      <w:r>
        <w:t xml:space="preserve"> </w:t>
      </w:r>
      <w:r>
        <w:t xml:space="preserve">provides vendor-neutral cloud capability assessment — score validation boundaries, not marketing readiness.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Three-region programme design</w:t>
      </w:r>
      <w:r>
        <w:t xml:space="preserve"> </w:t>
      </w:r>
      <w:r>
        <w:t xml:space="preserve">under Sofia Lindström (Chapter 15) enables EU/US regulatory split without duplicate cryptography programmes — jurisdiction overlays on unified profiles.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GDPR cross-border evidence</w:t>
      </w:r>
      <w:r>
        <w:t xml:space="preserve"> </w:t>
      </w:r>
      <w:r>
        <w:t xml:space="preserve">requires living module assembly — Article 32 state-of-the-art narrative linking PQC migration to processor accountability.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Chapter 17 CI/CD gates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Chapter 16 procurement</w:t>
      </w:r>
      <w:r>
        <w:t xml:space="preserve"> </w:t>
      </w:r>
      <w:r>
        <w:t xml:space="preserve">are sector-critical for SaaS — gates enforce agility; contracts enforce tenant and partner obligations.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GlobalSync Year 2–3 arc</w:t>
      </w:r>
      <w:r>
        <w:t xml:space="preserve"> </w:t>
      </w:r>
      <w:r>
        <w:t xml:space="preserve">demonstrates platform Level 4 with tenant custody lag — honest dual swim-lane reporting prevents false quantum-safe claims.</w:t>
      </w:r>
    </w:p>
    <w:p>
      <w:pPr>
        <w:pStyle w:val="FirstParagraph"/>
      </w:pPr>
      <w:r>
        <w:rPr>
          <w:bCs/>
          <w:b/>
        </w:rPr>
        <w:t xml:space="preserve">Next:</w:t>
      </w:r>
      <w:r>
        <w:t xml:space="preserve"> </w:t>
      </w:r>
      <w:r>
        <w:t xml:space="preserve">Chapter 22 —</w:t>
      </w:r>
      <w:r>
        <w:t xml:space="preserve"> </w:t>
      </w:r>
      <w:r>
        <w:rPr>
          <w:iCs/>
          <w:i/>
        </w:rPr>
        <w:t xml:space="preserve">Sustaining Quantum Resilience</w:t>
      </w:r>
      <w:r>
        <w:t xml:space="preserve"> </w:t>
      </w:r>
      <w:r>
        <w:t xml:space="preserve">— standards watch, algorithm contingency, PQ-ADAPT Level 5 operations, and Year 3 retrospective across Meridian, Northfield, Apex, and GlobalSync.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Chapter 21 — References</w:t>
      </w:r>
    </w:p>
    <w:p>
      <w:pPr>
        <w:numPr>
          <w:ilvl w:val="0"/>
          <w:numId w:val="1016"/>
        </w:numPr>
        <w:pStyle w:val="Compact"/>
      </w:pPr>
      <w:r>
        <w:t xml:space="preserve">European Data Protection Board. (2024).</w:t>
      </w:r>
      <w:r>
        <w:t xml:space="preserve"> </w:t>
      </w:r>
      <w:r>
        <w:rPr>
          <w:iCs/>
          <w:i/>
        </w:rPr>
        <w:t xml:space="preserve">Guidelines on Article 32 GDPR: Security of processing</w:t>
      </w:r>
      <w:r>
        <w:t xml:space="preserve"> </w:t>
      </w:r>
      <w:r>
        <w:t xml:space="preserve">(revised draft and stakeholder consultation materials).</w:t>
      </w:r>
    </w:p>
    <w:p>
      <w:pPr>
        <w:numPr>
          <w:ilvl w:val="0"/>
          <w:numId w:val="1016"/>
        </w:numPr>
        <w:pStyle w:val="Compact"/>
      </w:pPr>
      <w:r>
        <w:t xml:space="preserve">European Parliament and Council. (2016). Regulation (EU) 2016/679 (General Data Protection Regulation).</w:t>
      </w:r>
      <w:r>
        <w:t xml:space="preserve"> </w:t>
      </w:r>
      <w:r>
        <w:rPr>
          <w:iCs/>
          <w:i/>
        </w:rPr>
        <w:t xml:space="preserve">Official Journal of the European Union</w:t>
      </w:r>
      <w:r>
        <w:t xml:space="preserve">, L 119.</w:t>
      </w:r>
    </w:p>
    <w:p>
      <w:pPr>
        <w:numPr>
          <w:ilvl w:val="0"/>
          <w:numId w:val="1016"/>
        </w:numPr>
        <w:pStyle w:val="Compact"/>
      </w:pPr>
      <w:r>
        <w:t xml:space="preserve">European Parliament and Council. (2022). Directive (EU) 2022/2555 on measures for a high common level of cybersecurity across the Union (NIS2).</w:t>
      </w:r>
      <w:r>
        <w:t xml:space="preserve"> </w:t>
      </w:r>
      <w:r>
        <w:rPr>
          <w:iCs/>
          <w:i/>
        </w:rPr>
        <w:t xml:space="preserve">Official Journal of the European Union</w:t>
      </w:r>
      <w:r>
        <w:t xml:space="preserve">, L 333.</w:t>
      </w:r>
    </w:p>
    <w:p>
      <w:pPr>
        <w:numPr>
          <w:ilvl w:val="0"/>
          <w:numId w:val="1016"/>
        </w:numPr>
        <w:pStyle w:val="Compact"/>
      </w:pPr>
      <w:r>
        <w:t xml:space="preserve">Cloud Security Alliance. (2024).</w:t>
      </w:r>
      <w:r>
        <w:t xml:space="preserve"> </w:t>
      </w:r>
      <w:r>
        <w:rPr>
          <w:iCs/>
          <w:i/>
        </w:rPr>
        <w:t xml:space="preserve">Cloud key management and cryptographic responsibility matrix</w:t>
      </w:r>
      <w:r>
        <w:t xml:space="preserve">. CSA Guidance.</w:t>
      </w:r>
    </w:p>
    <w:p>
      <w:pPr>
        <w:numPr>
          <w:ilvl w:val="0"/>
          <w:numId w:val="1016"/>
        </w:numPr>
        <w:pStyle w:val="Compact"/>
      </w:pPr>
      <w:r>
        <w:t xml:space="preserve">National Institute of Standards and Technology. (2024).</w:t>
      </w:r>
      <w:r>
        <w:t xml:space="preserve"> </w:t>
      </w:r>
      <w:r>
        <w:rPr>
          <w:iCs/>
          <w:i/>
        </w:rPr>
        <w:t xml:space="preserve">FIPS 203</w:t>
      </w:r>
      <w:r>
        <w:t xml:space="preserve"> </w:t>
      </w:r>
      <w:r>
        <w:t xml:space="preserve">(ML-KEM),</w:t>
      </w:r>
      <w:r>
        <w:t xml:space="preserve"> </w:t>
      </w:r>
      <w:r>
        <w:rPr>
          <w:iCs/>
          <w:i/>
        </w:rPr>
        <w:t xml:space="preserve">FIPS 204</w:t>
      </w:r>
      <w:r>
        <w:t xml:space="preserve"> </w:t>
      </w:r>
      <w:r>
        <w:t xml:space="preserve">(ML-DSA),</w:t>
      </w:r>
      <w:r>
        <w:t xml:space="preserve"> </w:t>
      </w:r>
      <w:r>
        <w:rPr>
          <w:iCs/>
          <w:i/>
        </w:rPr>
        <w:t xml:space="preserve">FIPS 205</w:t>
      </w:r>
      <w:r>
        <w:t xml:space="preserve"> </w:t>
      </w:r>
      <w:r>
        <w:t xml:space="preserve">(SLH-DSA). U.S. Department of Commerce.</w:t>
      </w:r>
    </w:p>
    <w:p>
      <w:pPr>
        <w:numPr>
          <w:ilvl w:val="0"/>
          <w:numId w:val="1016"/>
        </w:numPr>
        <w:pStyle w:val="Compact"/>
      </w:pPr>
      <w:r>
        <w:t xml:space="preserve">National Institute of Standards and Technology. (2024). NIST IR 8547 (Initial Public Draft): Transition to post-quantum cryptography standards. https://doi.org/10.6028/NIST.IR.8547.ipd</w:t>
      </w:r>
    </w:p>
    <w:p>
      <w:pPr>
        <w:numPr>
          <w:ilvl w:val="0"/>
          <w:numId w:val="1016"/>
        </w:numPr>
        <w:pStyle w:val="Compact"/>
      </w:pPr>
      <w:r>
        <w:t xml:space="preserve">CycloneDX Contributors. (2024).</w:t>
      </w:r>
      <w:r>
        <w:t xml:space="preserve"> </w:t>
      </w:r>
      <w:r>
        <w:rPr>
          <w:iCs/>
          <w:i/>
        </w:rPr>
        <w:t xml:space="preserve">Authoritative Guide to CBOM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CycloneDX specification v1.6+</w:t>
      </w:r>
      <w:r>
        <w:t xml:space="preserve">. OWASP Foundation.</w:t>
      </w:r>
    </w:p>
    <w:p>
      <w:pPr>
        <w:numPr>
          <w:ilvl w:val="0"/>
          <w:numId w:val="1016"/>
        </w:numPr>
        <w:pStyle w:val="Compact"/>
      </w:pPr>
      <w:r>
        <w:t xml:space="preserve">International Organization for Standardization. (2024).</w:t>
      </w:r>
      <w:r>
        <w:t xml:space="preserve"> </w:t>
      </w:r>
      <w:r>
        <w:rPr>
          <w:iCs/>
          <w:i/>
        </w:rPr>
        <w:t xml:space="preserve">ISO/IEC 27001:2022</w:t>
      </w:r>
      <w:r>
        <w:t xml:space="preserve"> </w:t>
      </w:r>
      <w:r>
        <w:t xml:space="preserve">— Information security management systems (processor control mapping for cloud services).</w:t>
      </w:r>
    </w:p>
    <w:p>
      <w:pPr>
        <w:numPr>
          <w:ilvl w:val="0"/>
          <w:numId w:val="1016"/>
        </w:numPr>
        <w:pStyle w:val="Compact"/>
      </w:pPr>
      <w:r>
        <w:t xml:space="preserve">National Institute of Standards and Technology. (2022). NIST SP 800-218: Secure Software Development Framework (SSDF) Version 1.1. https://doi.org/10.6028/NIST.SP.800-218</w:t>
      </w:r>
    </w:p>
    <w:p>
      <w:pPr>
        <w:numPr>
          <w:ilvl w:val="0"/>
          <w:numId w:val="1016"/>
        </w:numPr>
        <w:pStyle w:val="Compact"/>
      </w:pPr>
      <w:r>
        <w:t xml:space="preserve">GlobalSync Logistics programme office. (2028).</w:t>
      </w:r>
      <w:r>
        <w:t xml:space="preserve"> </w:t>
      </w:r>
      <w:r>
        <w:rPr>
          <w:iCs/>
          <w:i/>
        </w:rPr>
        <w:t xml:space="preserve">Illustrative multi-tenant PQC architecture, three-region operating model, and cross-border evidence packs</w:t>
      </w:r>
      <w:r>
        <w:t xml:space="preserve"> </w:t>
      </w:r>
      <w:r>
        <w:t xml:space="preserve">(composite case study).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Proceed to Chapter 22: Sustaining Quantum Resilience.</w:t>
      </w:r>
    </w:p>
    <w:bookmarkEnd w:id="75"/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2026-06-12T10:03:16Z</dcterms:created>
  <dcterms:modified xsi:type="dcterms:W3CDTF">2026-06-12T10:03:16Z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