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art-ii"/>
    <w:p>
      <w:pPr>
        <w:pStyle w:val="Heading1"/>
      </w:pPr>
      <w:r>
        <w:t xml:space="preserve">Part II</w:t>
      </w:r>
    </w:p>
    <w:bookmarkEnd w:id="20"/>
    <w:bookmarkStart w:id="31" w:name="standards-as-inputs"/>
    <w:p>
      <w:pPr>
        <w:pStyle w:val="Heading1"/>
      </w:pPr>
      <w:r>
        <w:t xml:space="preserve">Standards as Inputs</w:t>
      </w:r>
    </w:p>
    <w:bookmarkStart w:id="21" w:name="introduction"/>
    <w:p>
      <w:pPr>
        <w:pStyle w:val="Heading2"/>
      </w:pPr>
      <w:r>
        <w:t xml:space="preserve">Introduction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 established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migration is a programme: threat asymmetry, regulatory convergence, and the synchronisation problem. Part II establishes</w:t>
      </w:r>
      <w:r>
        <w:t xml:space="preserve"> </w:t>
      </w:r>
      <w:r>
        <w:rPr>
          <w:iCs/>
          <w:i/>
        </w:rPr>
        <w:t xml:space="preserve">what</w:t>
      </w:r>
      <w:r>
        <w:t xml:space="preserve"> </w:t>
      </w:r>
      <w:r>
        <w:t xml:space="preserve">architects and engineers must know about the standards landscape — without reproducing FIPS documents or teaching lattice mathematics.</w:t>
      </w:r>
    </w:p>
    <w:p>
      <w:pPr>
        <w:pStyle w:val="BodyText"/>
      </w:pPr>
      <w:r>
        <w:t xml:space="preserve">The distinction matters. Enterprise teams that treat FIPS 203, 204, and 205 as implementation manuals produce over-scoped engineering programmes. Teams that ignore standards produce pilots that fail validation, procurement, and supervisory review. Part II occupies the middle ground:</w:t>
      </w:r>
      <w:r>
        <w:t xml:space="preserve"> </w:t>
      </w:r>
      <w:r>
        <w:rPr>
          <w:bCs/>
          <w:b/>
        </w:rPr>
        <w:t xml:space="preserve">standards as inputs to programme decisions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what-part-ii-delivers"/>
    <w:p>
      <w:pPr>
        <w:pStyle w:val="Heading2"/>
      </w:pPr>
      <w:r>
        <w:t xml:space="preserve">What Part II Delivers</w:t>
      </w:r>
    </w:p>
    <w:p>
      <w:pPr>
        <w:pStyle w:val="FirstParagraph"/>
      </w:pPr>
      <w:r>
        <w:t xml:space="preserve">Part II comprises three chapters with a deliberate progression from algorithm literacy to policy design to special-case deployment:</w:t>
      </w:r>
    </w:p>
    <w:p>
      <w:pPr>
        <w:pStyle w:val="BodyText"/>
      </w:pPr>
      <w:r>
        <w:rPr>
          <w:bCs/>
          <w:b/>
        </w:rPr>
        <w:t xml:space="preserve">Chapter 4 — From NIST Competition to FIPS 203–205</w:t>
      </w:r>
      <w:r>
        <w:t xml:space="preserve"> </w:t>
      </w:r>
      <w:r>
        <w:t xml:space="preserve">provides sufficient algorithm literacy for architects. It explains why NIST selected ML-KEM, ML-DSA, and SLH-DSA; what parameter sets mean in practice; and how FN-DSA and HQC fit contingency planning — not blocking dependencies.</w:t>
      </w:r>
    </w:p>
    <w:p>
      <w:pPr>
        <w:pStyle w:val="BodyText"/>
      </w:pPr>
      <w:r>
        <w:rPr>
          <w:bCs/>
          <w:b/>
        </w:rPr>
        <w:t xml:space="preserve">Chapter 5 — Transition Timelines and Hybrid Policy</w:t>
      </w:r>
      <w:r>
        <w:t xml:space="preserve"> </w:t>
      </w:r>
      <w:r>
        <w:t xml:space="preserve">translates NIST IR 8547, CNSA 2.0, and allied national timelines into enterprise planning horizons. It introduces the Hybrid Lifecycle Model (HLM) — the book’s framework for governing interim hybrid deployments with explicit sunset criteria.</w:t>
      </w:r>
    </w:p>
    <w:p>
      <w:pPr>
        <w:pStyle w:val="BodyText"/>
      </w:pPr>
      <w:r>
        <w:rPr>
          <w:bCs/>
          <w:b/>
        </w:rPr>
        <w:t xml:space="preserve">Chapter 6 — Stateful Signatures, Firmware, and Special Cases</w:t>
      </w:r>
      <w:r>
        <w:t xml:space="preserve"> </w:t>
      </w:r>
      <w:r>
        <w:t xml:space="preserve">addresses deployments FIPS 204 and 205 do not cleanly cover: firmware signing, long-lived embedded systems, and stateful hash-based signatures under SP 800-208. OT and defence readers should not skip this chapter.</w:t>
      </w:r>
    </w:p>
    <w:p>
      <w:pPr>
        <w:pStyle w:val="BodyText"/>
      </w:pPr>
      <w:r>
        <w:t xml:space="preserve">Together, these chapters establish</w:t>
      </w:r>
      <w:r>
        <w:t xml:space="preserve"> </w:t>
      </w:r>
      <w:r>
        <w:rPr>
          <w:bCs/>
          <w:b/>
        </w:rPr>
        <w:t xml:space="preserve">standards literacy as inputs to architecture decisions</w:t>
      </w:r>
      <w:r>
        <w:t xml:space="preserve"> </w:t>
      </w:r>
      <w:r>
        <w:t xml:space="preserve">— the policy and timeline foundation that Parts III and IV convert into inventory, dependency analysis, and deployable patterns. Part II advances enterprises from PQ-ADAPT Level 2 (</w:t>
      </w:r>
      <w:r>
        <w:rPr>
          <w:iCs/>
          <w:i/>
        </w:rPr>
        <w:t xml:space="preserve">Inventoried</w:t>
      </w:r>
      <w:r>
        <w:t xml:space="preserve">) toward Level 3 (</w:t>
      </w:r>
      <w:r>
        <w:rPr>
          <w:iCs/>
          <w:i/>
        </w:rPr>
        <w:t xml:space="preserve">Architected</w:t>
      </w:r>
      <w:r>
        <w:t xml:space="preserve">): policy artefacts here; agility requirements and hybrid deployment patterns complete Level 3 in Part IV (Chapters 10–11).</w:t>
      </w:r>
    </w:p>
    <w:p>
      <w:r>
        <w:pict>
          <v:rect style="width:0;height:1.5pt" o:hralign="center" o:hrstd="t" o:hr="t"/>
        </w:pict>
      </w:r>
    </w:p>
    <w:bookmarkEnd w:id="22"/>
    <w:bookmarkStart w:id="23" w:name="Xb3cbda9c459cd8cd5dd666877822f458906a722"/>
    <w:p>
      <w:pPr>
        <w:pStyle w:val="Heading2"/>
      </w:pPr>
      <w:r>
        <w:t xml:space="preserve">PQ-ADAPT Level 2→3 Artefacts (Policy Foundation)</w:t>
      </w:r>
    </w:p>
    <w:p>
      <w:pPr>
        <w:pStyle w:val="FirstParagraph"/>
      </w:pPr>
      <w:r>
        <w:t xml:space="preserve">Part II completion should produce the following artefacts in the enterprise programme — the evidence that standards literacy has converted to governed policy before architecture execution: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41"/>
        <w:gridCol w:w="3131"/>
        <w:gridCol w:w="29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Governance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standards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coverage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Timeline overlay (internal + anchors)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cryptography policy (HLM phases, approved constructions)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Exception / risk acceptance register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Firmware and special-case signature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CBOM attribute schema (</w:t>
            </w:r>
            <w:r>
              <w:rPr>
                <w:rStyle w:val="VerbatimChar"/>
              </w:rPr>
              <w:t xml:space="preserve">hlm_phase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signature_scheme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5–6</w:t>
            </w:r>
          </w:p>
        </w:tc>
      </w:tr>
    </w:tbl>
    <w:p>
      <w:pPr>
        <w:pStyle w:val="BodyText"/>
      </w:pPr>
      <w:r>
        <w:t xml:space="preserve">Enterprises holding policy documents that name ML-KEM without validation matrices, hybrid sunset criteria, or firmware exception paths remain at PQ-ADAPT Level 2 (</w:t>
      </w:r>
      <w:r>
        <w:rPr>
          <w:iCs/>
          <w:i/>
        </w:rPr>
        <w:t xml:space="preserve">Inventoried</w:t>
      </w:r>
      <w:r>
        <w:t xml:space="preserve">) regardless of executive briefing quality.</w:t>
      </w:r>
    </w:p>
    <w:p>
      <w:r>
        <w:pict>
          <v:rect style="width:0;height:1.5pt" o:hralign="center" o:hrstd="t" o:hr="t"/>
        </w:pict>
      </w:r>
    </w:p>
    <w:bookmarkEnd w:id="23"/>
    <w:bookmarkStart w:id="24" w:name="who-should-read-part-ii"/>
    <w:p>
      <w:pPr>
        <w:pStyle w:val="Heading2"/>
      </w:pPr>
      <w:r>
        <w:t xml:space="preserve">Who Should Read Part II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43"/>
        <w:gridCol w:w="1532"/>
        <w:gridCol w:w="43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Then proceed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Enterprise Architect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chapters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 III, IV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Cryptographic Engineer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three chapters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10–14, 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CISO / Security Leader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4–5; skim Chapter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15–16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Compliance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5 (policy); Chapter 4 (standards references)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OT / Critical Infrastructure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4,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19 (energy playbook)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Defence / Government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Chapters 4–6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20 (defence playbook)</w:t>
            </w:r>
          </w:p>
        </w:tc>
      </w:tr>
    </w:tbl>
    <w:p>
      <w:pPr>
        <w:pStyle w:val="BodyText"/>
      </w:pPr>
      <w:r>
        <w:t xml:space="preserve">Readers who completed Part I’s regulatory chapter already know</w:t>
      </w:r>
      <w:r>
        <w:t xml:space="preserve"> </w:t>
      </w:r>
      <w:r>
        <w:rPr>
          <w:iCs/>
          <w:i/>
        </w:rPr>
        <w:t xml:space="preserve">that</w:t>
      </w:r>
      <w:r>
        <w:t xml:space="preserve"> </w:t>
      </w:r>
      <w:r>
        <w:t xml:space="preserve">state-of-the-art practice requires a documented PQC trajectory. Part II supplies the standards vocabulary to make that trajectory technically credible.</w:t>
      </w:r>
    </w:p>
    <w:p>
      <w:r>
        <w:pict>
          <v:rect style="width:0;height:1.5pt" o:hralign="center" o:hrstd="t" o:hr="t"/>
        </w:pict>
      </w:r>
    </w:p>
    <w:bookmarkEnd w:id="24"/>
    <w:bookmarkStart w:id="25" w:name="what-part-ii-is-and-is-not"/>
    <w:p>
      <w:pPr>
        <w:pStyle w:val="Heading2"/>
      </w:pPr>
      <w:r>
        <w:t xml:space="preserve">What Part II Is and Is Not</w:t>
      </w:r>
    </w:p>
    <w:p>
      <w:pPr>
        <w:pStyle w:val="FirstParagraph"/>
      </w:pPr>
      <w:r>
        <w:t xml:space="preserve">Part II is</w:t>
      </w:r>
      <w:r>
        <w:t xml:space="preserve"> </w:t>
      </w:r>
      <w:r>
        <w:rPr>
          <w:bCs/>
          <w:b/>
        </w:rPr>
        <w:t xml:space="preserve">standards literacy for programme architects</w:t>
      </w:r>
      <w:r>
        <w:t xml:space="preserve"> </w:t>
      </w:r>
      <w:r>
        <w:t xml:space="preserve">— sufficient depth to write policies, evaluate vendors, and commission engineering work without becoming a cryptographer.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reproduction of FIPS 203, 204, or 205. Readers needing test vectors, security proofs, or implementation pseudocode should consult NIST publications and academic references.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 protocol implementation guide. Hybrid TLS configuration, PKI migration, and HSM integration are developed in Part IV.</w:t>
      </w:r>
    </w:p>
    <w:p>
      <w:pPr>
        <w:pStyle w:val="BodyText"/>
      </w:pPr>
      <w:r>
        <w:t xml:space="preserve">It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inventory methodology. CBOM discovery and dependency graph construction are Part III.</w:t>
      </w:r>
    </w:p>
    <w:p>
      <w:pPr>
        <w:pStyle w:val="BodyText"/>
      </w:pPr>
      <w:r>
        <w:t xml:space="preserve">It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the bridge between Part I’s</w:t>
      </w:r>
      <w:r>
        <w:t xml:space="preserve"> </w:t>
      </w:r>
      <w:r>
        <w:rPr>
          <w:iCs/>
          <w:i/>
        </w:rPr>
        <w:t xml:space="preserve">why</w:t>
      </w:r>
      <w:r>
        <w:t xml:space="preserve"> </w:t>
      </w:r>
      <w:r>
        <w:t xml:space="preserve">and Part III’s</w:t>
      </w:r>
      <w:r>
        <w:t xml:space="preserve"> </w:t>
      </w:r>
      <w:r>
        <w:rPr>
          <w:iCs/>
          <w:i/>
        </w:rPr>
        <w:t xml:space="preserve">where</w:t>
      </w:r>
      <w:r>
        <w:t xml:space="preserve"> </w:t>
      </w:r>
      <w:r>
        <w:t xml:space="preserve">— translating finalised NIST standards into enterprise policy inputs that survive audit, procurement, and production deployment.</w:t>
      </w:r>
    </w:p>
    <w:p>
      <w:r>
        <w:pict>
          <v:rect style="width:0;height:1.5pt" o:hralign="center" o:hrstd="t" o:hr="t"/>
        </w:pict>
      </w:r>
    </w:p>
    <w:bookmarkEnd w:id="25"/>
    <w:bookmarkStart w:id="26" w:name="the-teaching-organisations-in-part-ii"/>
    <w:p>
      <w:pPr>
        <w:pStyle w:val="Heading2"/>
      </w:pPr>
      <w:r>
        <w:t xml:space="preserve">The Teaching Organisations in Part II</w:t>
      </w:r>
    </w:p>
    <w:p>
      <w:pPr>
        <w:pStyle w:val="FirstParagraph"/>
      </w:pPr>
      <w:r>
        <w:t xml:space="preserve">The four organisations introduced in Part I reappear with standards-specific challenges:</w:t>
      </w:r>
    </w:p>
    <w:p>
      <w:pPr>
        <w:pStyle w:val="BodyText"/>
      </w:pPr>
      <w:r>
        <w:rPr>
          <w:bCs/>
          <w:b/>
        </w:rPr>
        <w:t xml:space="preserve">Meridian Mutual Bank</w:t>
      </w:r>
      <w:r>
        <w:t xml:space="preserve"> </w:t>
      </w:r>
      <w:r>
        <w:t xml:space="preserve">— Algorithm standards matrix linked to DORA encryption policy; payment HSM validation gap; physical token refresh sizing for ML-DSA chains.</w:t>
      </w:r>
    </w:p>
    <w:p>
      <w:pPr>
        <w:pStyle w:val="BodyText"/>
      </w:pPr>
      <w:r>
        <w:rPr>
          <w:bCs/>
          <w:b/>
        </w:rPr>
        <w:t xml:space="preserve">Northfield Energy Systems</w:t>
      </w:r>
      <w:r>
        <w:t xml:space="preserve"> </w:t>
      </w:r>
      <w:r>
        <w:t xml:space="preserve">— OT certificate and firmware store constraints; Wave 1 capital expenditure tied to VPN and firmware timelines; LMS evaluation for constrained field devices.</w:t>
      </w:r>
    </w:p>
    <w:p>
      <w:pPr>
        <w:pStyle w:val="BodyText"/>
      </w:pPr>
      <w:r>
        <w:rPr>
          <w:bCs/>
          <w:b/>
        </w:rPr>
        <w:t xml:space="preserve">Apex Defense Technologies</w:t>
      </w:r>
      <w:r>
        <w:t xml:space="preserve"> </w:t>
      </w:r>
      <w:r>
        <w:t xml:space="preserve">— CNSA 2.0 dual-track algorithm matrix; NSS vs corporate IT timeline floors; classified/unclassified firmware signing boundaries.</w:t>
      </w:r>
    </w:p>
    <w:p>
      <w:pPr>
        <w:pStyle w:val="BodyText"/>
      </w:pPr>
      <w:r>
        <w:rPr>
          <w:bCs/>
          <w:b/>
        </w:rPr>
        <w:t xml:space="preserve">GlobalSync Logistics</w:t>
      </w:r>
      <w:r>
        <w:t xml:space="preserve"> </w:t>
      </w:r>
      <w:r>
        <w:t xml:space="preserve">— Multinational timeline overlay; hybrid TLS client compatibility measurement; container image signing as cloud-native firmware analogue.</w:t>
      </w:r>
    </w:p>
    <w:p>
      <w:pPr>
        <w:pStyle w:val="BodyText"/>
      </w:pPr>
      <w:r>
        <w:t xml:space="preserve">Following one organisation’s Part II thread — Apex for defence, Northfield for OT — complements Part I narrative continuity.</w:t>
      </w:r>
    </w:p>
    <w:p>
      <w:r>
        <w:pict>
          <v:rect style="width:0;height:1.5pt" o:hralign="center" o:hrstd="t" o:hr="t"/>
        </w:pict>
      </w:r>
    </w:p>
    <w:bookmarkEnd w:id="26"/>
    <w:bookmarkStart w:id="27" w:name="the-standards-as-inputs-principle"/>
    <w:p>
      <w:pPr>
        <w:pStyle w:val="Heading2"/>
      </w:pPr>
      <w:r>
        <w:t xml:space="preserve">The Standards-as-Inputs Principle</w:t>
      </w:r>
    </w:p>
    <w:p>
      <w:pPr>
        <w:pStyle w:val="FirstParagraph"/>
      </w:pPr>
      <w:r>
        <w:t xml:space="preserve">This book treats NIST FIPS 203, 204, and 205 as</w:t>
      </w:r>
      <w:r>
        <w:t xml:space="preserve"> </w:t>
      </w:r>
      <w:r>
        <w:rPr>
          <w:bCs/>
          <w:b/>
        </w:rPr>
        <w:t xml:space="preserve">authoritative algorithm specifications</w:t>
      </w:r>
      <w:r>
        <w:t xml:space="preserve"> </w:t>
      </w:r>
      <w:r>
        <w:t xml:space="preserve">— inputs to architectural and policy decisions, not substitutes for:</w:t>
      </w:r>
    </w:p>
    <w:p>
      <w:pPr>
        <w:numPr>
          <w:ilvl w:val="0"/>
          <w:numId w:val="1001"/>
        </w:numPr>
        <w:pStyle w:val="Compact"/>
      </w:pPr>
      <w:r>
        <w:t xml:space="preserve">Cryptographic asset inventory (Part III)</w:t>
      </w:r>
    </w:p>
    <w:p>
      <w:pPr>
        <w:numPr>
          <w:ilvl w:val="0"/>
          <w:numId w:val="1001"/>
        </w:numPr>
        <w:pStyle w:val="Compact"/>
      </w:pPr>
      <w:r>
        <w:t xml:space="preserve">Dependency-aware sequencing (Part III)</w:t>
      </w:r>
    </w:p>
    <w:p>
      <w:pPr>
        <w:numPr>
          <w:ilvl w:val="0"/>
          <w:numId w:val="1001"/>
        </w:numPr>
        <w:pStyle w:val="Compact"/>
      </w:pPr>
      <w:r>
        <w:t xml:space="preserve">Hybrid deployment patterns (Part IV)</w:t>
      </w:r>
    </w:p>
    <w:p>
      <w:pPr>
        <w:numPr>
          <w:ilvl w:val="0"/>
          <w:numId w:val="1001"/>
        </w:numPr>
        <w:pStyle w:val="Compact"/>
      </w:pPr>
      <w:r>
        <w:t xml:space="preserve">Programme governance and evidence (Part V)</w:t>
      </w:r>
    </w:p>
    <w:p>
      <w:pPr>
        <w:pStyle w:val="FirstParagraph"/>
      </w:pPr>
      <w:r>
        <w:t xml:space="preserve">The principle has three operational implications: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 not defer programme chartering pending standards finalisation.</w:t>
      </w:r>
      <w:r>
        <w:t xml:space="preserve"> </w:t>
      </w:r>
      <w:r>
        <w:t xml:space="preserve">FIPS 203–205 are final. Remaining NIST work (FN-DSA, HQC, IR 8547 finalisation) informs contingency planning, not whether to begin.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 not reproduce standards in internal policies.</w:t>
      </w:r>
      <w:r>
        <w:t xml:space="preserve"> </w:t>
      </w:r>
      <w:r>
        <w:t xml:space="preserve">Enterprise cryptography policies should reference FIPS parameter sets and approved use cases. They should not paste algorithm pseudocode or security proofs.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Do not treat algorithm selection as the programme’s critical path.</w:t>
      </w:r>
      <w:r>
        <w:t xml:space="preserve"> </w:t>
      </w:r>
      <w:r>
        <w:t xml:space="preserve">For most enterprises, ecosystem readiness and dependency resolution consume more calendar time than choosing between ML-DSA-65 and ML-DSA-87.</w:t>
      </w:r>
    </w:p>
    <w:p>
      <w:r>
        <w:pict>
          <v:rect style="width:0;height:1.5pt" o:hralign="center" o:hrstd="t" o:hr="t"/>
        </w:pict>
      </w:r>
    </w:p>
    <w:bookmarkEnd w:id="27"/>
    <w:bookmarkStart w:id="28" w:name="conventions"/>
    <w:p>
      <w:pPr>
        <w:pStyle w:val="Heading2"/>
      </w:pPr>
      <w:r>
        <w:t xml:space="preserve">Conventions</w:t>
      </w:r>
    </w:p>
    <w:p>
      <w:pPr>
        <w:pStyle w:val="FirstParagraph"/>
      </w:pPr>
      <w:r>
        <w:t xml:space="preserve">Part II continues Part I conventions: British English, illustrative figures labelled as planning examples, four teaching organisations, and pedagogical boxes (</w:t>
      </w:r>
      <w:r>
        <w:rPr>
          <w:iCs/>
          <w:i/>
        </w:rPr>
        <w:t xml:space="preserve">Migration Moment</w:t>
      </w:r>
      <w:r>
        <w:t xml:space="preserve">,</w:t>
      </w:r>
      <w:r>
        <w:t xml:space="preserve"> </w:t>
      </w:r>
      <w:r>
        <w:rPr>
          <w:iCs/>
          <w:i/>
        </w:rPr>
        <w:t xml:space="preserve">Dependency Alert</w:t>
      </w:r>
      <w:r>
        <w:t xml:space="preserve">,</w:t>
      </w:r>
      <w:r>
        <w:t xml:space="preserve"> </w:t>
      </w:r>
      <w:r>
        <w:rPr>
          <w:iCs/>
          <w:i/>
        </w:rPr>
        <w:t xml:space="preserve">Regulatory Lens</w:t>
      </w:r>
      <w:r>
        <w:t xml:space="preserve">,</w:t>
      </w:r>
      <w:r>
        <w:t xml:space="preserve"> </w:t>
      </w:r>
      <w:r>
        <w:rPr>
          <w:iCs/>
          <w:i/>
        </w:rPr>
        <w:t xml:space="preserve">Architect’s Decision</w:t>
      </w:r>
      <w:r>
        <w:t xml:space="preserve">).</w:t>
      </w:r>
    </w:p>
    <w:p>
      <w:pPr>
        <w:pStyle w:val="BodyText"/>
      </w:pPr>
      <w:r>
        <w:t xml:space="preserve">Standards citations reference publication status at time of writing. NIST IR 8547 remains in Initial Public Draft at time of writing — monitor authoritative sources for final publication. FN-DSA standardisation is ongoing.</w:t>
      </w:r>
    </w:p>
    <w:p>
      <w:pPr>
        <w:pStyle w:val="BodyText"/>
      </w:pPr>
      <w:r>
        <w:t xml:space="preserve">ASCII figures in manuscript form include production briefs for artwork; final diagrams follow in production.</w:t>
      </w:r>
    </w:p>
    <w:p>
      <w:r>
        <w:pict>
          <v:rect style="width:0;height:1.5pt" o:hralign="center" o:hrstd="t" o:hr="t"/>
        </w:pict>
      </w:r>
    </w:p>
    <w:bookmarkEnd w:id="28"/>
    <w:bookmarkStart w:id="29" w:name="how-part-ii-connects-to-the-book-arc"/>
    <w:p>
      <w:pPr>
        <w:pStyle w:val="Heading2"/>
      </w:pPr>
      <w:r>
        <w:t xml:space="preserve">How Part II Connects to the Book Arc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57"/>
        <w:gridCol w:w="2262"/>
        <w:gridCol w:w="429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 II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migrate?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Threat, regulation, synchronisation 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standards apply?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FIPS suite, timelines, hybrids, firmware exceptions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is crypto deployed?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and CDG consume algorithm policy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implement?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TLS, PKI, KMS execute HLM phases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governs and when?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office maintains timeline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proof?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SOM modifies defaults from Chapters 4–6</w:t>
            </w:r>
          </w:p>
        </w:tc>
      </w:tr>
    </w:tbl>
    <w:p>
      <w:pPr>
        <w:pStyle w:val="BodyText"/>
      </w:pPr>
      <w:r>
        <w:t xml:space="preserve">Readers skipping Part II arrive at inventory and architecture chapters without algorithm vocabulary, hybrid sunset criteria, or firmware exception frameworks — producing CBOM entries that name</w:t>
      </w:r>
      <w:r>
        <w:t xml:space="preserve"> </w:t>
      </w:r>
      <w:r>
        <w:t xml:space="preserve">“</w:t>
      </w:r>
      <w:r>
        <w:t xml:space="preserve">PQC</w:t>
      </w:r>
      <w:r>
        <w:t xml:space="preserve">”</w:t>
      </w:r>
      <w:r>
        <w:t xml:space="preserve"> </w:t>
      </w:r>
      <w:r>
        <w:t xml:space="preserve">generically and policies that fail supervisory scrutiny.</w:t>
      </w:r>
    </w:p>
    <w:p>
      <w:r>
        <w:pict>
          <v:rect style="width:0;height:1.5pt" o:hralign="center" o:hrstd="t" o:hr="t"/>
        </w:pict>
      </w:r>
    </w:p>
    <w:bookmarkEnd w:id="29"/>
    <w:bookmarkStart w:id="30" w:name="suggested-reading-sequences"/>
    <w:p>
      <w:pPr>
        <w:pStyle w:val="Heading2"/>
      </w:pPr>
      <w:r>
        <w:t xml:space="preserve">Suggested Reading Sequences</w:t>
      </w:r>
    </w:p>
    <w:p>
      <w:pPr>
        <w:pStyle w:val="FirstParagraph"/>
      </w:pPr>
      <w:r>
        <w:rPr>
          <w:bCs/>
          <w:b/>
        </w:rPr>
        <w:t xml:space="preserve">Architect fast path:</w:t>
      </w:r>
      <w:r>
        <w:t xml:space="preserve"> </w:t>
      </w:r>
      <w:r>
        <w:t xml:space="preserve">Introduction → Chapter 4 (§4.1, §4.8, §4.12–4.14) → Chapter 5 (§5.6–5.7, §5.24–5.25) → Chapter 6 (§6.4, §6.8) → Part III.</w:t>
      </w:r>
    </w:p>
    <w:p>
      <w:pPr>
        <w:pStyle w:val="BodyText"/>
      </w:pPr>
      <w:r>
        <w:rPr>
          <w:bCs/>
          <w:b/>
        </w:rPr>
        <w:t xml:space="preserve">OT / critical infrastructure path:</w:t>
      </w:r>
      <w:r>
        <w:t xml:space="preserve"> </w:t>
      </w:r>
      <w:r>
        <w:t xml:space="preserve">Introduction → Chapter 4 (§4.9) → Chapter 6 (full) → Chapter 5 (§5.14, §5.17) → Chapter 19 (Part VI).</w:t>
      </w:r>
    </w:p>
    <w:p>
      <w:pPr>
        <w:pStyle w:val="BodyText"/>
      </w:pPr>
      <w:r>
        <w:rPr>
          <w:bCs/>
          <w:b/>
        </w:rPr>
        <w:t xml:space="preserve">Compliance officer path:</w:t>
      </w:r>
      <w:r>
        <w:t xml:space="preserve"> </w:t>
      </w:r>
      <w:r>
        <w:t xml:space="preserve">Introduction → Chapter 4 (§4.15, Table 4.7) → Chapter 5 (§5.2, §5.11, §5.15) → Chapter 3 cross-reference (Part I).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Proceed to Chapter 4: From NIST Competition to FIPS 203–205.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2026-06-12T10:03:12Z</dcterms:created>
  <dcterms:modified xsi:type="dcterms:W3CDTF">2026-06-12T10:03:12Z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