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rt-iv"/>
    <w:p>
      <w:pPr>
        <w:pStyle w:val="Heading1"/>
      </w:pPr>
      <w:r>
        <w:t xml:space="preserve">Part IV</w:t>
      </w:r>
    </w:p>
    <w:bookmarkEnd w:id="20"/>
    <w:bookmarkStart w:id="32" w:name="architecting-for-transition"/>
    <w:p>
      <w:pPr>
        <w:pStyle w:val="Heading1"/>
      </w:pPr>
      <w:r>
        <w:t xml:space="preserve">Architecting for Transition</w:t>
      </w:r>
    </w:p>
    <w:bookmarkStart w:id="21" w:name="introduction"/>
    <w:p>
      <w:pPr>
        <w:pStyle w:val="Heading2"/>
      </w:pPr>
      <w:r>
        <w:t xml:space="preserve">Introduction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 established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migration is a programme. Part II established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standards apply. Part III established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cryptography lives and</w:t>
      </w:r>
      <w:r>
        <w:t xml:space="preserve"> </w:t>
      </w:r>
      <w:r>
        <w:rPr>
          <w:iCs/>
          <w:i/>
        </w:rPr>
        <w:t xml:space="preserve">what moves first</w:t>
      </w:r>
      <w:r>
        <w:t xml:space="preserve">. Part IV answers the question architects and engineers ask when wave plans receive board approval:</w:t>
      </w:r>
      <w:r>
        <w:t xml:space="preserve"> </w:t>
      </w:r>
      <w:r>
        <w:rPr>
          <w:bCs/>
          <w:b/>
        </w:rPr>
        <w:t xml:space="preserve">how do we build and migrate systems without breaking production?</w:t>
      </w:r>
    </w:p>
    <w:p>
      <w:pPr>
        <w:pStyle w:val="BodyText"/>
      </w:pPr>
      <w:r>
        <w:t xml:space="preserve">Wave plans without architecture standards produce heroic engineering — each team improvises hybrid TLS, PKI changes, and HSM integrations independently. Production collisions follow: partner outages, firmware bricking, incompatible certificate chains, and audit findings on systems that deployed PQC without validation or sunset criteria. Part IV provides</w:t>
      </w:r>
      <w:r>
        <w:t xml:space="preserve"> </w:t>
      </w:r>
      <w:r>
        <w:rPr>
          <w:bCs/>
          <w:b/>
        </w:rPr>
        <w:t xml:space="preserve">implementable architecture patterns</w:t>
      </w:r>
      <w:r>
        <w:t xml:space="preserve"> </w:t>
      </w:r>
      <w:r>
        <w:t xml:space="preserve">governed by policies from Parts II and III.</w:t>
      </w:r>
    </w:p>
    <w:p>
      <w:r>
        <w:pict>
          <v:rect style="width:0;height:1.5pt" o:hralign="center" o:hrstd="t" o:hr="t"/>
        </w:pict>
      </w:r>
    </w:p>
    <w:bookmarkEnd w:id="21"/>
    <w:bookmarkStart w:id="22" w:name="what-part-iv-delivers"/>
    <w:p>
      <w:pPr>
        <w:pStyle w:val="Heading2"/>
      </w:pPr>
      <w:r>
        <w:t xml:space="preserve">What Part IV Delivers</w:t>
      </w:r>
    </w:p>
    <w:p>
      <w:pPr>
        <w:pStyle w:val="FirstParagraph"/>
      </w:pPr>
      <w:r>
        <w:t xml:space="preserve">Part IV comprises five chapters progressing from foundational agility requirements through deployment patterns to domain-specific migration paths:</w:t>
      </w:r>
    </w:p>
    <w:p>
      <w:pPr>
        <w:pStyle w:val="BodyText"/>
      </w:pPr>
      <w:r>
        <w:rPr>
          <w:bCs/>
          <w:b/>
        </w:rPr>
        <w:t xml:space="preserve">Chapter 10 — Cryptographic Agility as Architecture</w:t>
      </w:r>
      <w:r>
        <w:t xml:space="preserve"> </w:t>
      </w:r>
      <w:r>
        <w:t xml:space="preserve">defines crypto-agility as separation of cryptographic policy from implementation. New systems receive non-functional requirements; existing systems receive retrofit patterns. PQ-ADAPT Level 3 (</w:t>
      </w:r>
      <w:r>
        <w:rPr>
          <w:iCs/>
          <w:i/>
        </w:rPr>
        <w:t xml:space="preserve">Architected</w:t>
      </w:r>
      <w:r>
        <w:t xml:space="preserve">) entry criteria are satisfied when agility requirements are embedded in SDLC and enterprise architecture standards.</w:t>
      </w:r>
    </w:p>
    <w:p>
      <w:pPr>
        <w:pStyle w:val="BodyText"/>
      </w:pPr>
      <w:r>
        <w:rPr>
          <w:bCs/>
          <w:b/>
        </w:rPr>
        <w:t xml:space="preserve">Chapter 11 — Hybrid Deployment Patterns</w:t>
      </w:r>
      <w:r>
        <w:t xml:space="preserve"> </w:t>
      </w:r>
      <w:r>
        <w:t xml:space="preserve">provides production-ready hybrid constructions for TLS, VPN, code signing, and application-layer cryptography — each governed by the Hybrid Lifecycle Model (HLM) from Chapter 5 with explicit H2 triggers.</w:t>
      </w:r>
    </w:p>
    <w:p>
      <w:pPr>
        <w:pStyle w:val="BodyText"/>
      </w:pPr>
      <w:r>
        <w:rPr>
          <w:bCs/>
          <w:b/>
        </w:rPr>
        <w:t xml:space="preserve">Chapter 12 — Protocol Transition</w:t>
      </w:r>
      <w:r>
        <w:t xml:space="preserve"> </w:t>
      </w:r>
      <w:r>
        <w:t xml:space="preserve">maps migration paths for TLS, IPsec, SSH, and messaging protocols — recognising that each protocol has distinct ecosystem readiness curves and partner constraints.</w:t>
      </w:r>
    </w:p>
    <w:p>
      <w:pPr>
        <w:pStyle w:val="BodyText"/>
      </w:pPr>
      <w:r>
        <w:rPr>
          <w:bCs/>
          <w:b/>
        </w:rPr>
        <w:t xml:space="preserve">Chapter 13 — PKI Evolution and Certificate Lifecycle</w:t>
      </w:r>
      <w:r>
        <w:t xml:space="preserve"> </w:t>
      </w:r>
      <w:r>
        <w:t xml:space="preserve">addresses the most common enterprise blocking domain: root and issuing CAs, certificate profiles, validity periods, trust store mechanics, and automation.</w:t>
      </w:r>
    </w:p>
    <w:p>
      <w:pPr>
        <w:pStyle w:val="BodyText"/>
      </w:pPr>
      <w:r>
        <w:rPr>
          <w:bCs/>
          <w:b/>
        </w:rPr>
        <w:t xml:space="preserve">Chapter 14 — Key Management, HSMs, and Cloud Cryptography</w:t>
      </w:r>
      <w:r>
        <w:t xml:space="preserve"> </w:t>
      </w:r>
      <w:r>
        <w:t xml:space="preserve">covers KMS architectures, HSM partitioning, key ceremonies adapted for larger PQC keys, and multi-cloud custody patterns.</w:t>
      </w:r>
    </w:p>
    <w:p>
      <w:pPr>
        <w:pStyle w:val="BodyText"/>
      </w:pPr>
      <w:r>
        <w:t xml:space="preserve">Together, these chapters complete the</w:t>
      </w:r>
      <w:r>
        <w:t xml:space="preserve"> </w:t>
      </w:r>
      <w:r>
        <w:rPr>
          <w:bCs/>
          <w:b/>
        </w:rPr>
        <w:t xml:space="preserve">Decide</w:t>
      </w:r>
      <w:r>
        <w:t xml:space="preserve"> </w:t>
      </w:r>
      <w:r>
        <w:t xml:space="preserve">and begin the</w:t>
      </w:r>
      <w:r>
        <w:t xml:space="preserve"> </w:t>
      </w:r>
      <w:r>
        <w:rPr>
          <w:bCs/>
          <w:b/>
        </w:rPr>
        <w:t xml:space="preserve">Execute</w:t>
      </w:r>
      <w:r>
        <w:t xml:space="preserve"> </w:t>
      </w:r>
      <w:r>
        <w:t xml:space="preserve">phases of the ARCS Framework — converting wave plans into engineering standards that development teams can implement.</w:t>
      </w:r>
    </w:p>
    <w:p>
      <w:r>
        <w:pict>
          <v:rect style="width:0;height:1.5pt" o:hralign="center" o:hrstd="t" o:hr="t"/>
        </w:pict>
      </w:r>
    </w:p>
    <w:bookmarkEnd w:id="22"/>
    <w:bookmarkStart w:id="23" w:name="arcs-and-pq-adapt-positioning"/>
    <w:p>
      <w:pPr>
        <w:pStyle w:val="Heading2"/>
      </w:pPr>
      <w:r>
        <w:t xml:space="preserve">ARCS and PQ-ADAPT Positioning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22"/>
        <w:gridCol w:w="51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IV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ARCS — Decide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standards, pattern selection, validation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ARCS — 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patterns, protocol migration playbooks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PQ-ADAPT Level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Crypto-agility in SDLC; hybrid policy operationalised; PKI roadmap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PQ-ADAPT Level 4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hybrid patterns; HSM/KMS paths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deployment specification (Chapter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PQC Governance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layer populated — standards, patterns, review gates</w:t>
            </w:r>
          </w:p>
        </w:tc>
      </w:tr>
    </w:tbl>
    <w:p>
      <w:pPr>
        <w:pStyle w:val="BodyText"/>
      </w:pPr>
      <w:r>
        <w:t xml:space="preserve">Enterprises with wave plans but no architecture standards remain at PQ-ADAPT Level 2 — they know what to migrate but not how to build migration-ready systems.</w:t>
      </w:r>
    </w:p>
    <w:p>
      <w:r>
        <w:pict>
          <v:rect style="width:0;height:1.5pt" o:hralign="center" o:hrstd="t" o:hr="t"/>
        </w:pict>
      </w:r>
    </w:p>
    <w:bookmarkEnd w:id="23"/>
    <w:bookmarkStart w:id="24" w:name="part-iv-exit-artefacts"/>
    <w:p>
      <w:pPr>
        <w:pStyle w:val="Heading2"/>
      </w:pPr>
      <w:r>
        <w:t xml:space="preserve">Part IV Exit Artefacts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Crypto-agility NFR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Agility requirements by system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pattern catalog (HLM-governed)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migration playbooks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/ platform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 PKI architecture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PKI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profile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PKI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HSM/KMS capability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ceremony adaptation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Part IV assumes:</w:t>
      </w:r>
    </w:p>
    <w:p>
      <w:pPr>
        <w:numPr>
          <w:ilvl w:val="0"/>
          <w:numId w:val="1001"/>
        </w:numPr>
        <w:pStyle w:val="Compact"/>
      </w:pPr>
      <w:r>
        <w:t xml:space="preserve">Algorithm literacy from Part II (FIPS 203–205, HLM policy, timeline anchors)</w:t>
      </w:r>
    </w:p>
    <w:p>
      <w:pPr>
        <w:numPr>
          <w:ilvl w:val="0"/>
          <w:numId w:val="1001"/>
        </w:numPr>
        <w:pStyle w:val="Compact"/>
      </w:pPr>
      <w:r>
        <w:t xml:space="preserve">CBOM and CDG from Part III with wave plan approved</w:t>
      </w:r>
    </w:p>
    <w:p>
      <w:pPr>
        <w:numPr>
          <w:ilvl w:val="0"/>
          <w:numId w:val="1001"/>
        </w:numPr>
        <w:pStyle w:val="Compact"/>
      </w:pPr>
      <w:r>
        <w:t xml:space="preserve">Wave membership known for systems in scope — architecture work prioritises Wave 0–2 workloads first</w:t>
      </w:r>
    </w:p>
    <w:p>
      <w:pPr>
        <w:pStyle w:val="FirstParagraph"/>
      </w:pPr>
      <w:r>
        <w:t xml:space="preserve">Implementation in Part IV references CBOM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, CDG blocking nodes, and TRADE wave assignments — not greenfield design in isolation.</w:t>
      </w:r>
    </w:p>
    <w:p>
      <w:r>
        <w:pict>
          <v:rect style="width:0;height:1.5pt" o:hralign="center" o:hrstd="t" o:hr="t"/>
        </w:pict>
      </w:r>
    </w:p>
    <w:bookmarkEnd w:id="25"/>
    <w:bookmarkStart w:id="26" w:name="who-should-read-part-iv"/>
    <w:p>
      <w:pPr>
        <w:pStyle w:val="Heading2"/>
      </w:pPr>
      <w:r>
        <w:t xml:space="preserve">Who Should Read Part IV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proceed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five chapters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Cryptographic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five chapters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17–18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10–12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PKI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10,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13 deep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/ Cloud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10, 12,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10–12 (OT sections)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Programme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10, 11 (governance)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15–16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the-teaching-organisations-in-part-iv"/>
    <w:p>
      <w:pPr>
        <w:pStyle w:val="Heading2"/>
      </w:pPr>
      <w:r>
        <w:t xml:space="preserve">The Teaching Organisations in Part IV</w:t>
      </w:r>
    </w:p>
    <w:p>
      <w:pPr>
        <w:pStyle w:val="FirstParagraph"/>
      </w:pPr>
      <w:r>
        <w:rPr>
          <w:bCs/>
          <w:b/>
        </w:rPr>
        <w:t xml:space="preserve">Meridian Mutual Bank</w:t>
      </w:r>
      <w:r>
        <w:t xml:space="preserve"> </w:t>
      </w:r>
      <w:r>
        <w:t xml:space="preserve">— Hybrid TLS pilot with measured client compatibility; root CA strategy with ten-year overlap; payment HSM key ceremony adaptation; DORA-aligned architecture evidence.</w:t>
      </w:r>
    </w:p>
    <w:p>
      <w:pPr>
        <w:pStyle w:val="BodyText"/>
      </w:pPr>
      <w:r>
        <w:rPr>
          <w:bCs/>
          <w:b/>
        </w:rPr>
        <w:t xml:space="preserve">Northfield Energy Systems</w:t>
      </w:r>
      <w:r>
        <w:t xml:space="preserve"> </w:t>
      </w:r>
      <w:r>
        <w:t xml:space="preserve">— IPsec migration blocked by CPE firmware; OT gateway protocol constraints; WAN concentrator hybrid IKE qualification.</w:t>
      </w:r>
    </w:p>
    <w:p>
      <w:pPr>
        <w:pStyle w:val="BodyText"/>
      </w:pPr>
      <w:r>
        <w:rPr>
          <w:bCs/>
          <w:b/>
        </w:rPr>
        <w:t xml:space="preserve">Apex Defense Technologies</w:t>
      </w:r>
      <w:r>
        <w:t xml:space="preserve"> </w:t>
      </w:r>
      <w:r>
        <w:t xml:space="preserve">— NSS vs commercial architecture tracks; HSM partition strategy for classified zones; CNSA parameter profile enforcement.</w:t>
      </w:r>
    </w:p>
    <w:p>
      <w:pPr>
        <w:pStyle w:val="BodyText"/>
      </w:pPr>
      <w:r>
        <w:rPr>
          <w:bCs/>
          <w:b/>
        </w:rPr>
        <w:t xml:space="preserve">GlobalSync Logistics</w:t>
      </w:r>
      <w:r>
        <w:t xml:space="preserve"> </w:t>
      </w:r>
      <w:r>
        <w:t xml:space="preserve">— Platform-wide crypto-agility requirements in engineering standards; tenant-scoped hybrid rollout; multi-CDN TLS transition.</w:t>
      </w:r>
    </w:p>
    <w:p>
      <w:r>
        <w:pict>
          <v:rect style="width:0;height:1.5pt" o:hralign="center" o:hrstd="t" o:hr="t"/>
        </w:pict>
      </w:r>
    </w:p>
    <w:bookmarkEnd w:id="27"/>
    <w:bookmarkStart w:id="28" w:name="what-part-iv-is-and-is-not"/>
    <w:p>
      <w:pPr>
        <w:pStyle w:val="Heading2"/>
      </w:pPr>
      <w:r>
        <w:t xml:space="preserve">What Part IV Is and Is Not</w:t>
      </w:r>
    </w:p>
    <w:p>
      <w:pPr>
        <w:pStyle w:val="FirstParagraph"/>
      </w:pPr>
      <w:r>
        <w:t xml:space="preserve">Part IV is</w:t>
      </w:r>
      <w:r>
        <w:t xml:space="preserve"> </w:t>
      </w:r>
      <w:r>
        <w:rPr>
          <w:bCs/>
          <w:b/>
        </w:rPr>
        <w:t xml:space="preserve">architecture and pattern guidance</w:t>
      </w:r>
      <w:r>
        <w:t xml:space="preserve"> </w:t>
      </w:r>
      <w:r>
        <w:t xml:space="preserve">— how to design migration-ready systems and execute protocol, PKI, and key management transitions.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product configuration manual. OpenSSL cipher strings, vendor CLI commands, and cloud console screenshots age quickly; patterns and decision criteria endure.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programme governance — chartering, procurement, and steering committee operations are Part V.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sector-specific playbooks — energy, defence, and healthcare specialisations are Part VI.</w:t>
      </w:r>
    </w:p>
    <w:p>
      <w:pPr>
        <w:pStyle w:val="BodyText"/>
      </w:pPr>
      <w:r>
        <w:t xml:space="preserve">It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engineering foundation that makes Part V programme execution and Part VI sector overlays technically credible.</w:t>
      </w:r>
    </w:p>
    <w:p>
      <w:r>
        <w:pict>
          <v:rect style="width:0;height:1.5pt" o:hralign="center" o:hrstd="t" o:hr="t"/>
        </w:pict>
      </w:r>
    </w:p>
    <w:bookmarkEnd w:id="28"/>
    <w:bookmarkStart w:id="29" w:name="how-part-iv-connects-to-the-book-arc"/>
    <w:p>
      <w:pPr>
        <w:pStyle w:val="Heading2"/>
      </w:pPr>
      <w:r>
        <w:t xml:space="preserve">How Part IV Connects to the Book Arc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4"/>
        <w:gridCol w:w="2140"/>
        <w:gridCol w:w="44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IV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migrate?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Synchronisation thesis — architecture prevents local optimisation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standards apply?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FIPS algorithms and HLM policy executed in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and what order?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CBOM rows, CDG blocking nodes, wave assignments drive architecture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implement?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Agility NFRs, hybrids, protocols, PKI,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governs and when?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office sustains standards 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proof?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overlays modify Part IV defaults</w:t>
            </w:r>
          </w:p>
        </w:tc>
      </w:tr>
    </w:tbl>
    <w:p>
      <w:pPr>
        <w:pStyle w:val="BodyText"/>
      </w:pPr>
      <w:r>
        <w:t xml:space="preserve">Readers arriving at Part IV without Part III wave plans risk architecture standards detached from sequencing — producing excellent laboratory pilots that CDG analysis later blocks in production. Readers skipping Part II HLM policy risk hybrid deployments without sunset criteria.</w:t>
      </w:r>
    </w:p>
    <w:p>
      <w:r>
        <w:pict>
          <v:rect style="width:0;height:1.5pt" o:hralign="center" o:hrstd="t" o:hr="t"/>
        </w:pict>
      </w:r>
    </w:p>
    <w:bookmarkEnd w:id="29"/>
    <w:bookmarkStart w:id="30" w:name="suggested-reading-sequences"/>
    <w:p>
      <w:pPr>
        <w:pStyle w:val="Heading2"/>
      </w:pPr>
      <w:r>
        <w:t xml:space="preserve">Suggested Reading Sequences</w:t>
      </w:r>
    </w:p>
    <w:p>
      <w:pPr>
        <w:pStyle w:val="FirstParagraph"/>
      </w:pPr>
      <w:r>
        <w:rPr>
          <w:bCs/>
          <w:b/>
        </w:rPr>
        <w:t xml:space="preserve">Enterprise architect path:</w:t>
      </w:r>
      <w:r>
        <w:t xml:space="preserve"> </w:t>
      </w:r>
      <w:r>
        <w:t xml:space="preserve">Introduction → Chapter 10 (full) → Chapter 11 (§11.1–11.4, §11.10) → Chapter 13 (§13.1–13.7) → Chapter 12 (protocol sections matching estate) → Chapter 14.</w:t>
      </w:r>
    </w:p>
    <w:p>
      <w:pPr>
        <w:pStyle w:val="BodyText"/>
      </w:pPr>
      <w:r>
        <w:rPr>
          <w:bCs/>
          <w:b/>
        </w:rPr>
        <w:t xml:space="preserve">Cryptographic engineer path:</w:t>
      </w:r>
      <w:r>
        <w:t xml:space="preserve"> </w:t>
      </w:r>
      <w:r>
        <w:t xml:space="preserve">All five chapters sequentially — agility before hybrids before protocols; PKI and keys before application-layer shortcuts.</w:t>
      </w:r>
    </w:p>
    <w:p>
      <w:pPr>
        <w:pStyle w:val="BodyText"/>
      </w:pPr>
      <w:r>
        <w:rPr>
          <w:bCs/>
          <w:b/>
        </w:rPr>
        <w:t xml:space="preserve">PKI specialist path:</w:t>
      </w:r>
      <w:r>
        <w:t xml:space="preserve"> </w:t>
      </w:r>
      <w:r>
        <w:t xml:space="preserve">Introduction → Chapter 10 (§10.5 NFR template) → Chapter 13 (full) → Chapter 11 (§11.6 code signing) → Chapter 14 (§14.3–14.9).</w:t>
      </w:r>
    </w:p>
    <w:p>
      <w:pPr>
        <w:pStyle w:val="BodyText"/>
      </w:pPr>
      <w:r>
        <w:rPr>
          <w:bCs/>
          <w:b/>
        </w:rPr>
        <w:t xml:space="preserve">OT / critical infrastructure path:</w:t>
      </w:r>
      <w:r>
        <w:t xml:space="preserve"> </w:t>
      </w:r>
      <w:r>
        <w:t xml:space="preserve">Introduction → Chapter 10 (§10.12 Northfield) → Chapter 11 (§11.5 VPN, §11.7 firmware) → Chapter 12 (§12.6–12.7 IPsec) → Chapter 19 (Part VI).</w:t>
      </w:r>
    </w:p>
    <w:p>
      <w:pPr>
        <w:pStyle w:val="BodyText"/>
      </w:pPr>
      <w:r>
        <w:rPr>
          <w:bCs/>
          <w:b/>
        </w:rPr>
        <w:t xml:space="preserve">Programme director path:</w:t>
      </w:r>
      <w:r>
        <w:t xml:space="preserve"> </w:t>
      </w:r>
      <w:r>
        <w:t xml:space="preserve">Introduction → Chapter 10 (§10.1, §10.25 Level 3 checklist) → Chapter 11 (§11.1 HLM governance) → Part V.</w:t>
      </w:r>
    </w:p>
    <w:p>
      <w:r>
        <w:pict>
          <v:rect style="width:0;height:1.5pt" o:hralign="center" o:hrstd="t" o:hr="t"/>
        </w:pict>
      </w:r>
    </w:p>
    <w:bookmarkEnd w:id="30"/>
    <w:bookmarkStart w:id="31" w:name="conventions"/>
    <w:p>
      <w:pPr>
        <w:pStyle w:val="Heading2"/>
      </w:pPr>
      <w:r>
        <w:t xml:space="preserve">Conventions</w:t>
      </w:r>
    </w:p>
    <w:p>
      <w:pPr>
        <w:pStyle w:val="FirstParagraph"/>
      </w:pPr>
      <w:r>
        <w:t xml:space="preserve">British English, illustrative figures labelled as planning examples, pedagogical boxes (</w:t>
      </w:r>
      <w:r>
        <w:rPr>
          <w:iCs/>
          <w:i/>
        </w:rPr>
        <w:t xml:space="preserve">Migration Moment</w:t>
      </w:r>
      <w:r>
        <w:t xml:space="preserve">,</w:t>
      </w:r>
      <w:r>
        <w:t xml:space="preserve"> </w:t>
      </w:r>
      <w:r>
        <w:rPr>
          <w:iCs/>
          <w:i/>
        </w:rPr>
        <w:t xml:space="preserve">Dependency Alert</w:t>
      </w:r>
      <w:r>
        <w:t xml:space="preserve">,</w:t>
      </w:r>
      <w:r>
        <w:t xml:space="preserve"> </w:t>
      </w:r>
      <w:r>
        <w:rPr>
          <w:iCs/>
          <w:i/>
        </w:rPr>
        <w:t xml:space="preserve">Regulatory Lens</w:t>
      </w:r>
      <w:r>
        <w:t xml:space="preserve">,</w:t>
      </w:r>
      <w:r>
        <w:t xml:space="preserve"> </w:t>
      </w:r>
      <w:r>
        <w:rPr>
          <w:iCs/>
          <w:i/>
        </w:rPr>
        <w:t xml:space="preserve">Architect’s Decision</w:t>
      </w:r>
      <w:r>
        <w:t xml:space="preserve">), and</w:t>
      </w:r>
      <w:r>
        <w:t xml:space="preserve"> </w:t>
      </w:r>
      <w:r>
        <w:rPr>
          <w:iCs/>
          <w:i/>
        </w:rPr>
        <w:t xml:space="preserve">Apply in Your Organisation</w:t>
      </w:r>
      <w:r>
        <w:t xml:space="preserve"> </w:t>
      </w:r>
      <w:r>
        <w:t xml:space="preserve">checklists continue from prior parts.</w:t>
      </w:r>
    </w:p>
    <w:p>
      <w:pPr>
        <w:pStyle w:val="BodyText"/>
      </w:pPr>
      <w:r>
        <w:t xml:space="preserve">Standards references align with FIPS 203–205 and IETF specifications at time of writing. NIST IR 8547 remains in Initial Public Draft at time of writing — monitor authoritative sources before embedding draft language in contractual instruments. IETF hybrid TLS specifications may advance from Internet-Draft to RFC during the migration horizon; architecture documents should reference standards-track identifiers with version dates.</w:t>
      </w:r>
    </w:p>
    <w:p>
      <w:pPr>
        <w:pStyle w:val="BodyText"/>
      </w:pPr>
      <w:r>
        <w:t xml:space="preserve">ASCII figures in manuscript form include production briefs for artwork; final diagrams follow in production.</w:t>
      </w:r>
    </w:p>
    <w:p>
      <w:pPr>
        <w:pStyle w:val="BodyText"/>
      </w:pPr>
      <w:r>
        <w:t xml:space="preserve">Vendor and cloud provider names appear as</w:t>
      </w:r>
      <w:r>
        <w:t xml:space="preserve"> </w:t>
      </w:r>
      <w:r>
        <w:rPr>
          <w:bCs/>
          <w:b/>
        </w:rPr>
        <w:t xml:space="preserve">categories</w:t>
      </w:r>
      <w:r>
        <w:t xml:space="preserve"> </w:t>
      </w:r>
      <w:r>
        <w:t xml:space="preserve">for pattern illustration — no product endorsement.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Proceed to Chapter 10: Cryptographic Agility as Architecture.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2026-06-12T10:03:14Z</dcterms:created>
  <dcterms:modified xsi:type="dcterms:W3CDTF">2026-06-12T10:03:14Z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