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rt-v"/>
    <w:p>
      <w:pPr>
        <w:pStyle w:val="Heading1"/>
      </w:pPr>
      <w:r>
        <w:t xml:space="preserve">Part V</w:t>
      </w:r>
    </w:p>
    <w:bookmarkEnd w:id="20"/>
    <w:bookmarkStart w:id="32" w:name="running-the-migration-programme"/>
    <w:p>
      <w:pPr>
        <w:pStyle w:val="Heading1"/>
      </w:pPr>
      <w:r>
        <w:t xml:space="preserve">Running the Migration Programme</w:t>
      </w:r>
    </w:p>
    <w:bookmarkStart w:id="21" w:name="introduction"/>
    <w:p>
      <w:pPr>
        <w:pStyle w:val="Heading2"/>
      </w:pPr>
      <w:r>
        <w:t xml:space="preserve">Introduction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Parts I through IV answered</w:t>
      </w:r>
      <w:r>
        <w:t xml:space="preserve"> </w:t>
      </w:r>
      <w:r>
        <w:rPr>
          <w:iCs/>
          <w:i/>
        </w:rPr>
        <w:t xml:space="preserve">why</w:t>
      </w:r>
      <w:r>
        <w:t xml:space="preserve">,</w:t>
      </w:r>
      <w:r>
        <w:t xml:space="preserve"> </w:t>
      </w:r>
      <w:r>
        <w:rPr>
          <w:iCs/>
          <w:i/>
        </w:rPr>
        <w:t xml:space="preserve">what</w:t>
      </w:r>
      <w:r>
        <w:t xml:space="preserve">,</w:t>
      </w:r>
      <w:r>
        <w:t xml:space="preserve"> </w:t>
      </w:r>
      <w:r>
        <w:rPr>
          <w:iCs/>
          <w:i/>
        </w:rPr>
        <w:t xml:space="preserve">where</w:t>
      </w:r>
      <w:r>
        <w:t xml:space="preserve">, and</w:t>
      </w:r>
      <w:r>
        <w:t xml:space="preserve"> </w:t>
      </w:r>
      <w:r>
        <w:rPr>
          <w:iCs/>
          <w:i/>
        </w:rPr>
        <w:t xml:space="preserve">how</w:t>
      </w:r>
      <w:r>
        <w:t xml:space="preserve">. Part V answers</w:t>
      </w:r>
      <w:r>
        <w:t xml:space="preserve"> </w:t>
      </w:r>
      <w:r>
        <w:rPr>
          <w:bCs/>
          <w:b/>
        </w:rPr>
        <w:t xml:space="preserve">who governs the migration, when decisions get made, and how the programme sustains momentum</w:t>
      </w:r>
      <w:r>
        <w:t xml:space="preserve"> </w:t>
      </w:r>
      <w:r>
        <w:t xml:space="preserve">after the first wave plan receives board approval.</w:t>
      </w:r>
    </w:p>
    <w:p>
      <w:pPr>
        <w:pStyle w:val="BodyText"/>
      </w:pPr>
      <w:r>
        <w:t xml:space="preserve">Architecture standards without programme authority produce excellent documents and inconsistent adoption. Procurement without contractual teeth produces vendor questionnaires that claim PQC readiness while production systems remain classical-only. CI/CD pipelines without governance gates merge quantum-vulnerable dependencies at scale. Assurance without programme integration produces penetration test findings that sit in ticket backlogs while steering committees hear green status slides.</w:t>
      </w:r>
    </w:p>
    <w:p>
      <w:pPr>
        <w:pStyle w:val="BodyText"/>
      </w:pPr>
      <w:r>
        <w:t xml:space="preserve">Part V is where post-quantum migration becomes</w:t>
      </w:r>
      <w:r>
        <w:t xml:space="preserve"> </w:t>
      </w:r>
      <w:r>
        <w:rPr>
          <w:bCs/>
          <w:b/>
        </w:rPr>
        <w:t xml:space="preserve">operational enterprise discipline</w:t>
      </w:r>
      <w:r>
        <w:t xml:space="preserve"> </w:t>
      </w:r>
      <w:r>
        <w:t xml:space="preserve">— not a security project with an end date.</w:t>
      </w:r>
    </w:p>
    <w:p>
      <w:r>
        <w:pict>
          <v:rect style="width:0;height:1.5pt" o:hralign="center" o:hrstd="t" o:hr="t"/>
        </w:pict>
      </w:r>
    </w:p>
    <w:bookmarkEnd w:id="21"/>
    <w:bookmarkStart w:id="22" w:name="what-part-v-delivers"/>
    <w:p>
      <w:pPr>
        <w:pStyle w:val="Heading2"/>
      </w:pPr>
      <w:r>
        <w:t xml:space="preserve">What Part V Delivers</w:t>
      </w:r>
    </w:p>
    <w:p>
      <w:pPr>
        <w:pStyle w:val="FirstParagraph"/>
      </w:pPr>
      <w:r>
        <w:t xml:space="preserve">Part V comprises four chapters addressing the programme machinery that Parts I–IV assume but do not fully specify:</w:t>
      </w:r>
    </w:p>
    <w:p>
      <w:pPr>
        <w:pStyle w:val="BodyText"/>
      </w:pPr>
      <w:r>
        <w:rPr>
          <w:bCs/>
          <w:b/>
        </w:rPr>
        <w:t xml:space="preserve">Chapter 15 — Programme Governance and Operating Model</w:t>
      </w:r>
      <w:r>
        <w:t xml:space="preserve"> </w:t>
      </w:r>
      <w:r>
        <w:t xml:space="preserve">develops the PQC Governance Stack (Chapter 3) into a functioning programme office: charter, RACI, steering committee rhythm, KPI dashboards, board reporting, and funding models. Without migration authority, pilots become permanent exceptions.</w:t>
      </w:r>
    </w:p>
    <w:p>
      <w:pPr>
        <w:pStyle w:val="BodyText"/>
      </w:pPr>
      <w:r>
        <w:rPr>
          <w:bCs/>
          <w:b/>
        </w:rPr>
        <w:t xml:space="preserve">Chapter 16 — Procurement, Contracts, and Third-Party Risk</w:t>
      </w:r>
      <w:r>
        <w:t xml:space="preserve"> </w:t>
      </w:r>
      <w:r>
        <w:t xml:space="preserve">encodes PQC requirements in commercial relationships — contractual clauses, vendor evidence requests, DORA third-party ICT risk integration, and supplier CBOM obligations. Third-party cryptography is your cryptography; contracts are enforcement mechanisms.</w:t>
      </w:r>
    </w:p>
    <w:p>
      <w:pPr>
        <w:pStyle w:val="BodyText"/>
      </w:pPr>
      <w:r>
        <w:rPr>
          <w:bCs/>
          <w:b/>
        </w:rPr>
        <w:t xml:space="preserve">Chapter 17 — Software Supply Chain and Embedded Cryptography</w:t>
      </w:r>
      <w:r>
        <w:t xml:space="preserve"> </w:t>
      </w:r>
      <w:r>
        <w:t xml:space="preserve">integrates PQC migration with SBOM/CBOM pipelines, CI/CD verification gates, and dependency management — where most enterprise cryptography actually lives.</w:t>
      </w:r>
    </w:p>
    <w:p>
      <w:pPr>
        <w:pStyle w:val="BodyText"/>
      </w:pPr>
      <w:r>
        <w:rPr>
          <w:bCs/>
          <w:b/>
        </w:rPr>
        <w:t xml:space="preserve">Chapter 18 — FIPS Validation, Testing, and Assurance</w:t>
      </w:r>
      <w:r>
        <w:t xml:space="preserve"> </w:t>
      </w:r>
      <w:r>
        <w:t xml:space="preserve">defines the assurance programme for regulated environments: FIPS 140-3 module transitions, interoperability testing, red team considerations, and examination evidence packages.</w:t>
      </w:r>
    </w:p>
    <w:p>
      <w:pPr>
        <w:pStyle w:val="BodyText"/>
      </w:pPr>
      <w:r>
        <w:t xml:space="preserve">Together, these chapters complete the</w:t>
      </w:r>
      <w:r>
        <w:t xml:space="preserve"> </w:t>
      </w:r>
      <w:r>
        <w:rPr>
          <w:bCs/>
          <w:b/>
        </w:rPr>
        <w:t xml:space="preserve">Synchronize</w:t>
      </w:r>
      <w:r>
        <w:t xml:space="preserve"> </w:t>
      </w:r>
      <w:r>
        <w:t xml:space="preserve">phase of ARCS and advance enterprises from PQ-ADAPT Level 3 (</w:t>
      </w:r>
      <w:r>
        <w:rPr>
          <w:iCs/>
          <w:i/>
        </w:rPr>
        <w:t xml:space="preserve">Architected</w:t>
      </w:r>
      <w:r>
        <w:t xml:space="preserve">) toward Level 4 (</w:t>
      </w:r>
      <w:r>
        <w:rPr>
          <w:iCs/>
          <w:i/>
        </w:rPr>
        <w:t xml:space="preserve">Transitioning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Start w:id="23" w:name="arcs-and-pq-adapt-positioning"/>
    <w:p>
      <w:pPr>
        <w:pStyle w:val="Heading2"/>
      </w:pPr>
      <w:r>
        <w:t xml:space="preserve">ARCS and PQ-ADAPT Positioning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22"/>
        <w:gridCol w:w="51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V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ARCS — Synchronize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Vendor, partner, and internal team alignment on shared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PQ-ADAPT Level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hybrids; supplier contracts updated; validation programme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PQC Governance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operating model across all five layers (Ch 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and steering inputs from MPI trends and wave burn-down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CBOM / CDG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layer maintenance governed by programme cadence</w:t>
            </w:r>
          </w:p>
        </w:tc>
      </w:tr>
    </w:tbl>
    <w:p>
      <w:pPr>
        <w:pStyle w:val="BodyText"/>
      </w:pPr>
      <w:r>
        <w:t xml:space="preserve">Enterprises with architecture standards but no programme office remain at PQ-ADAPT Level 3 — they know how to build migration-ready systems but cannot sustain adoption across thousands of engineers and hundreds of vendors.</w:t>
      </w:r>
    </w:p>
    <w:p>
      <w:r>
        <w:pict>
          <v:rect style="width:0;height:1.5pt" o:hralign="center" o:hrstd="t" o:hr="t"/>
        </w:pict>
      </w:r>
    </w:p>
    <w:bookmarkEnd w:id="23"/>
    <w:bookmarkStart w:id="24" w:name="part-v-exit-artefacts"/>
    <w:p>
      <w:pPr>
        <w:pStyle w:val="Heading2"/>
      </w:pPr>
      <w:r>
        <w:t xml:space="preserve">Part V Exit Artefacts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2132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Programme charter and RACI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Steering committee TOR and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dashboard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reporting pack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/ programme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clause library (PQC)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evidence request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cryptographic verification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Build-time vs runtime verification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programme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engineering /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category matrix (functional, interop, performance)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Part V assumes:</w:t>
      </w:r>
    </w:p>
    <w:p>
      <w:pPr>
        <w:numPr>
          <w:ilvl w:val="0"/>
          <w:numId w:val="1001"/>
        </w:numPr>
        <w:pStyle w:val="Compact"/>
      </w:pPr>
      <w:r>
        <w:t xml:space="preserve">Board-approved wave plan (Chapter 9)</w:t>
      </w:r>
    </w:p>
    <w:p>
      <w:pPr>
        <w:numPr>
          <w:ilvl w:val="0"/>
          <w:numId w:val="1001"/>
        </w:numPr>
        <w:pStyle w:val="Compact"/>
      </w:pPr>
      <w:r>
        <w:t xml:space="preserve">Architecture standards and hybrid patterns (Chapters 10–14)</w:t>
      </w:r>
    </w:p>
    <w:p>
      <w:pPr>
        <w:numPr>
          <w:ilvl w:val="0"/>
          <w:numId w:val="1001"/>
        </w:numPr>
        <w:pStyle w:val="Compact"/>
      </w:pPr>
      <w:r>
        <w:t xml:space="preserve">CBOM baseline and CDG with blocking nodes identified (Chapters 7–8)</w:t>
      </w:r>
    </w:p>
    <w:p>
      <w:pPr>
        <w:numPr>
          <w:ilvl w:val="0"/>
          <w:numId w:val="1001"/>
        </w:numPr>
        <w:pStyle w:val="Compact"/>
      </w:pPr>
      <w:r>
        <w:t xml:space="preserve">Algorithm and hybrid policy from Part II</w:t>
      </w:r>
    </w:p>
    <w:p>
      <w:pPr>
        <w:pStyle w:val="FirstParagraph"/>
      </w:pPr>
      <w:r>
        <w:t xml:space="preserve">Programme governance without Parts III–IV produces steering committees that debate priorities without inventory evidence and fund pilots without implementation standards.</w:t>
      </w:r>
    </w:p>
    <w:p>
      <w:r>
        <w:pict>
          <v:rect style="width:0;height:1.5pt" o:hralign="center" o:hrstd="t" o:hr="t"/>
        </w:pict>
      </w:r>
    </w:p>
    <w:bookmarkEnd w:id="25"/>
    <w:bookmarkStart w:id="26" w:name="who-should-read-part-v"/>
    <w:p>
      <w:pPr>
        <w:pStyle w:val="Heading2"/>
      </w:pPr>
      <w:r>
        <w:t xml:space="preserve">Who Should Read Part 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1532"/>
        <w:gridCol w:w="43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proceed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Programme Director / CISO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chapters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Procurement / Vendor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 15–16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16 deep dive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/ DevOps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 15,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17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/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 15–16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3 regulatory cross-ref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audit /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 15,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18 assurance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VI sector playbooks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the-teaching-organisations-in-part-v"/>
    <w:p>
      <w:pPr>
        <w:pStyle w:val="Heading2"/>
      </w:pPr>
      <w:r>
        <w:t xml:space="preserve">The Teaching Organisations in Part V</w:t>
      </w:r>
    </w:p>
    <w:p>
      <w:pPr>
        <w:pStyle w:val="FirstParagraph"/>
      </w:pPr>
      <w:r>
        <w:rPr>
          <w:bCs/>
          <w:b/>
        </w:rPr>
        <w:t xml:space="preserve">Meridian Mutual Bank</w:t>
      </w:r>
      <w:r>
        <w:t xml:space="preserve"> </w:t>
      </w:r>
      <w:r>
        <w:t xml:space="preserve">— Programme office structure; DORA-aligned steering; vendor assessment of 40 critical suppliers; supervisory examination evidence.</w:t>
      </w:r>
    </w:p>
    <w:p>
      <w:pPr>
        <w:pStyle w:val="BodyText"/>
      </w:pPr>
      <w:r>
        <w:rPr>
          <w:bCs/>
          <w:b/>
        </w:rPr>
        <w:t xml:space="preserve">GlobalSync Logistics</w:t>
      </w:r>
      <w:r>
        <w:t xml:space="preserve"> </w:t>
      </w:r>
      <w:r>
        <w:t xml:space="preserve">— Three-region programme office; multinational procurement overlay; CI/CD gates rejecting non-agile crypto; tenant contractual sunsets.</w:t>
      </w:r>
    </w:p>
    <w:p>
      <w:pPr>
        <w:pStyle w:val="BodyText"/>
      </w:pPr>
      <w:r>
        <w:rPr>
          <w:bCs/>
          <w:b/>
        </w:rPr>
        <w:t xml:space="preserve">Apex Defense Technologies</w:t>
      </w:r>
      <w:r>
        <w:t xml:space="preserve"> </w:t>
      </w:r>
      <w:r>
        <w:t xml:space="preserve">— CMMC assessment evidence package; classified programme governance; NSS assurance separation.</w:t>
      </w:r>
    </w:p>
    <w:p>
      <w:pPr>
        <w:pStyle w:val="BodyText"/>
      </w:pPr>
      <w:r>
        <w:rPr>
          <w:bCs/>
          <w:b/>
        </w:rPr>
        <w:t xml:space="preserve">Northfield Energy Systems</w:t>
      </w:r>
      <w:r>
        <w:t xml:space="preserve"> </w:t>
      </w:r>
      <w:r>
        <w:t xml:space="preserve">— OT vendor management; NERC CIP evidence integration; essential-entity programme reporting.</w:t>
      </w:r>
    </w:p>
    <w:p>
      <w:r>
        <w:pict>
          <v:rect style="width:0;height:1.5pt" o:hralign="center" o:hrstd="t" o:hr="t"/>
        </w:pict>
      </w:r>
    </w:p>
    <w:bookmarkEnd w:id="27"/>
    <w:bookmarkStart w:id="28" w:name="what-part-v-is-and-is-not"/>
    <w:p>
      <w:pPr>
        <w:pStyle w:val="Heading2"/>
      </w:pPr>
      <w:r>
        <w:t xml:space="preserve">What Part V Is and Is Not</w:t>
      </w:r>
    </w:p>
    <w:p>
      <w:pPr>
        <w:pStyle w:val="FirstParagraph"/>
      </w:pPr>
      <w:r>
        <w:t xml:space="preserve">Part V is</w:t>
      </w:r>
      <w:r>
        <w:t xml:space="preserve"> </w:t>
      </w:r>
      <w:r>
        <w:rPr>
          <w:bCs/>
          <w:b/>
        </w:rPr>
        <w:t xml:space="preserve">programme execution governance</w:t>
      </w:r>
      <w:r>
        <w:t xml:space="preserve"> </w:t>
      </w:r>
      <w:r>
        <w:t xml:space="preserve">— authority, rhythm, procurement, supply chain, and assurance machinery.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project management methodology textbook. PRINCE2, SAFe, and ITIL integrate at the edges; PQC programme specifics are the focus.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sector-specific playbook content — banking, defence, and energy specialisations are Part VI.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cryptographic implementation — architecture patterns are Part IV.</w:t>
      </w:r>
    </w:p>
    <w:p>
      <w:pPr>
        <w:pStyle w:val="BodyText"/>
      </w:pPr>
      <w:r>
        <w:t xml:space="preserve">It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organisational layer that prevents Parts I–IV artefacts from decaying into shelfware.</w:t>
      </w:r>
    </w:p>
    <w:p>
      <w:r>
        <w:pict>
          <v:rect style="width:0;height:1.5pt" o:hralign="center" o:hrstd="t" o:hr="t"/>
        </w:pict>
      </w:r>
    </w:p>
    <w:bookmarkEnd w:id="28"/>
    <w:bookmarkStart w:id="29" w:name="how-part-v-connects-to-the-book-arc"/>
    <w:p>
      <w:pPr>
        <w:pStyle w:val="Heading2"/>
      </w:pPr>
      <w:r>
        <w:t xml:space="preserve">How Part V Connects to the Book Arc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4"/>
        <w:gridCol w:w="2140"/>
        <w:gridCol w:w="44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V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migrate?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Stack introduced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standards?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layer operationalised through procurement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and when?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plan executed through programme rhythm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implement?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and assurance verify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governs?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Charter, RACI, contracts, gates,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proof?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playbooks assume Part V operating model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uggested-reading-sequences"/>
    <w:p>
      <w:pPr>
        <w:pStyle w:val="Heading2"/>
      </w:pPr>
      <w:r>
        <w:t xml:space="preserve">Suggested Reading Sequences</w:t>
      </w:r>
    </w:p>
    <w:p>
      <w:pPr>
        <w:pStyle w:val="FirstParagraph"/>
      </w:pPr>
      <w:r>
        <w:rPr>
          <w:bCs/>
          <w:b/>
        </w:rPr>
        <w:t xml:space="preserve">Programme director path:</w:t>
      </w:r>
      <w:r>
        <w:t xml:space="preserve"> </w:t>
      </w:r>
      <w:r>
        <w:t xml:space="preserve">Introduction → Chapter 15 (full) → Chapter 16 (§16.1–16.6) → Chapter 18 (assurance overview) → Part VI.</w:t>
      </w:r>
    </w:p>
    <w:p>
      <w:pPr>
        <w:pStyle w:val="BodyText"/>
      </w:pPr>
      <w:r>
        <w:rPr>
          <w:bCs/>
          <w:b/>
        </w:rPr>
        <w:t xml:space="preserve">Procurement path:</w:t>
      </w:r>
      <w:r>
        <w:t xml:space="preserve"> </w:t>
      </w:r>
      <w:r>
        <w:t xml:space="preserve">Introduction → Chapter 16 (full) → Chapter 7 CBOM third-party cross-ref → Chapter 15 (§15.4 funding).</w:t>
      </w:r>
    </w:p>
    <w:p>
      <w:pPr>
        <w:pStyle w:val="BodyText"/>
      </w:pPr>
      <w:r>
        <w:rPr>
          <w:bCs/>
          <w:b/>
        </w:rPr>
        <w:t xml:space="preserve">Platform engineering path:</w:t>
      </w:r>
      <w:r>
        <w:t xml:space="preserve"> </w:t>
      </w:r>
      <w:r>
        <w:t xml:space="preserve">Introduction → Chapter 17 (full) → Chapter 10 agility cross-ref → Chapter 15 (§15.7 KPIs).</w:t>
      </w:r>
    </w:p>
    <w:p>
      <w:pPr>
        <w:pStyle w:val="BodyText"/>
      </w:pPr>
      <w:r>
        <w:rPr>
          <w:bCs/>
          <w:b/>
        </w:rPr>
        <w:t xml:space="preserve">Assurance / audit path:</w:t>
      </w:r>
      <w:r>
        <w:t xml:space="preserve"> </w:t>
      </w:r>
      <w:r>
        <w:t xml:space="preserve">Introduction → Chapter 18 (full) → Chapter 15 (§15.9 board reporting) → Chapter 3 regulatory mapping.</w:t>
      </w:r>
    </w:p>
    <w:p>
      <w:r>
        <w:pict>
          <v:rect style="width:0;height:1.5pt" o:hralign="center" o:hrstd="t" o:hr="t"/>
        </w:pict>
      </w:r>
    </w:p>
    <w:bookmarkEnd w:id="30"/>
    <w:bookmarkStart w:id="31" w:name="conventions"/>
    <w:p>
      <w:pPr>
        <w:pStyle w:val="Heading2"/>
      </w:pPr>
      <w:r>
        <w:t xml:space="preserve">Conventions</w:t>
      </w:r>
    </w:p>
    <w:p>
      <w:pPr>
        <w:pStyle w:val="FirstParagraph"/>
      </w:pPr>
      <w:r>
        <w:t xml:space="preserve">British English, illustrative figures labelled as planning examples, pedagogical boxes (</w:t>
      </w:r>
      <w:r>
        <w:rPr>
          <w:iCs/>
          <w:i/>
        </w:rPr>
        <w:t xml:space="preserve">Migration Moment</w:t>
      </w:r>
      <w:r>
        <w:t xml:space="preserve">,</w:t>
      </w:r>
      <w:r>
        <w:t xml:space="preserve"> </w:t>
      </w:r>
      <w:r>
        <w:rPr>
          <w:iCs/>
          <w:i/>
        </w:rPr>
        <w:t xml:space="preserve">Dependency Alert</w:t>
      </w:r>
      <w:r>
        <w:t xml:space="preserve">,</w:t>
      </w:r>
      <w:r>
        <w:t xml:space="preserve"> </w:t>
      </w:r>
      <w:r>
        <w:rPr>
          <w:iCs/>
          <w:i/>
        </w:rPr>
        <w:t xml:space="preserve">Regulatory Lens</w:t>
      </w:r>
      <w:r>
        <w:t xml:space="preserve">,</w:t>
      </w:r>
      <w:r>
        <w:t xml:space="preserve"> </w:t>
      </w:r>
      <w:r>
        <w:rPr>
          <w:iCs/>
          <w:i/>
        </w:rPr>
        <w:t xml:space="preserve">Architect’s Decision</w:t>
      </w:r>
      <w:r>
        <w:t xml:space="preserve">), and</w:t>
      </w:r>
      <w:r>
        <w:t xml:space="preserve"> </w:t>
      </w:r>
      <w:r>
        <w:rPr>
          <w:iCs/>
          <w:i/>
        </w:rPr>
        <w:t xml:space="preserve">Apply in Your Organisation</w:t>
      </w:r>
      <w:r>
        <w:t xml:space="preserve"> </w:t>
      </w:r>
      <w:r>
        <w:t xml:space="preserve">checklists continue from prior parts.</w:t>
      </w:r>
    </w:p>
    <w:p>
      <w:pPr>
        <w:pStyle w:val="BodyText"/>
      </w:pPr>
      <w:r>
        <w:t xml:space="preserve">Standards references align with FIPS 203–205 and IETF specifications at time of writing. NIST IR 8547 remains in Initial Public Draft at time of writing — monitor authoritative sources before embedding draft language in contractual instruments. IETF hybrid TLS specifications may advance from Internet-Draft to RFC during the migration horizon; programme documents should reference standards-track identifiers with version dates.</w:t>
      </w:r>
    </w:p>
    <w:p>
      <w:pPr>
        <w:pStyle w:val="BodyText"/>
      </w:pPr>
      <w:r>
        <w:t xml:space="preserve">ASCII figures in manuscript form include production briefs for artwork; final diagrams follow in production.</w:t>
      </w:r>
    </w:p>
    <w:p>
      <w:pPr>
        <w:pStyle w:val="BodyText"/>
      </w:pPr>
      <w:r>
        <w:t xml:space="preserve">Vendor and cloud provider names appear as</w:t>
      </w:r>
      <w:r>
        <w:t xml:space="preserve"> </w:t>
      </w:r>
      <w:r>
        <w:rPr>
          <w:bCs/>
          <w:b/>
        </w:rPr>
        <w:t xml:space="preserve">categories</w:t>
      </w:r>
      <w:r>
        <w:t xml:space="preserve"> </w:t>
      </w:r>
      <w:r>
        <w:t xml:space="preserve">for pattern illustration — no product endorsement.</w:t>
      </w:r>
    </w:p>
    <w:p>
      <w:pPr>
        <w:pStyle w:val="BodyText"/>
      </w:pPr>
      <w:r>
        <w:t xml:space="preserve">Contract clause samples are informative — organisation-specific legal review required before use in binding instruments.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Proceed to Chapter 15: Programme Governance and Operating Model.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2026-06-12T10:03:15Z</dcterms:created>
  <dcterms:modified xsi:type="dcterms:W3CDTF">2026-06-12T10:03:15Z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