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vi"/>
    <w:p>
      <w:pPr>
        <w:pStyle w:val="Heading1"/>
      </w:pPr>
      <w:r>
        <w:t xml:space="preserve">Part VI</w:t>
      </w:r>
    </w:p>
    <w:bookmarkEnd w:id="20"/>
    <w:bookmarkStart w:id="32" w:name="sector-playbooks-and-proof"/>
    <w:p>
      <w:pPr>
        <w:pStyle w:val="Heading1"/>
      </w:pPr>
      <w:r>
        <w:t xml:space="preserve">Sector Playbooks and Proof</w:t>
      </w:r>
    </w:p>
    <w:bookmarkStart w:id="21" w:name="introduction"/>
    <w:p>
      <w:pPr>
        <w:pStyle w:val="Heading2"/>
      </w:pPr>
      <w:r>
        <w:t xml:space="preserve">Introduction</w:t>
      </w:r>
    </w:p>
    <w:p>
      <w:r>
        <w:pict>
          <v:rect style="width:0;height:1.5pt" o:hralign="center" o:hrstd="t" o:hr="t"/>
        </w:pict>
      </w:r>
    </w:p>
    <w:p>
      <w:pPr>
        <w:pStyle w:val="FirstParagraph"/>
      </w:pPr>
      <w:r>
        <w:t xml:space="preserve">Parts I through V built a universal migration architecture — threat framing, standards literacy, cryptographic inventory, implementation patterns, and programme governance. Part VI answers the question every practitioner asks when the universal model meets their employer:</w:t>
      </w:r>
      <w:r>
        <w:t xml:space="preserve"> </w:t>
      </w:r>
      <w:r>
        <w:rPr>
          <w:bCs/>
          <w:b/>
        </w:rPr>
        <w:t xml:space="preserve">what changes in banking, defence, energy, or cloud — and how do we prove the programme works?</w:t>
      </w:r>
    </w:p>
    <w:p>
      <w:pPr>
        <w:pStyle w:val="BodyText"/>
      </w:pPr>
      <w:r>
        <w:t xml:space="preserve">Universal frameworks without sector overlays produce programmes that are technically correct and operationally rejected. A DORA-regulated bank cannot sequence migration like a SaaS platform. A gas transmission operator cannot treat firmware signing like corporate TLS. A defence contractor cannot merge NSS and commercial evidence zones without assessor findings. Part VI provides</w:t>
      </w:r>
      <w:r>
        <w:t xml:space="preserve"> </w:t>
      </w:r>
      <w:r>
        <w:rPr>
          <w:bCs/>
          <w:b/>
        </w:rPr>
        <w:t xml:space="preserve">sector playbooks</w:t>
      </w:r>
      <w:r>
        <w:t xml:space="preserve"> </w:t>
      </w:r>
      <w:r>
        <w:t xml:space="preserve">that modify TRADE weights, HLM timelines, procurement emphasis, and assurance evidence — without duplicating the programme machinery Parts I–V already defined.</w:t>
      </w:r>
    </w:p>
    <w:p>
      <w:pPr>
        <w:pStyle w:val="BodyText"/>
      </w:pPr>
      <w:r>
        <w:t xml:space="preserve">Part VI is also</w:t>
      </w:r>
      <w:r>
        <w:t xml:space="preserve"> </w:t>
      </w:r>
      <w:r>
        <w:rPr>
          <w:bCs/>
          <w:b/>
        </w:rPr>
        <w:t xml:space="preserve">proof</w:t>
      </w:r>
      <w:r>
        <w:t xml:space="preserve">: the four teaching organisations introduced in Part I return with full programme arcs, Year 2–3 results, supervisory and assessor outcomes, and honest lessons learned. Readers who followed Meridian, Northfield, Apex, or GlobalSync through earlier chapters will see how inventory, architecture, governance, and assurance converge under sector constraints.</w:t>
      </w:r>
    </w:p>
    <w:p>
      <w:r>
        <w:pict>
          <v:rect style="width:0;height:1.5pt" o:hralign="center" o:hrstd="t" o:hr="t"/>
        </w:pict>
      </w:r>
    </w:p>
    <w:bookmarkEnd w:id="21"/>
    <w:bookmarkStart w:id="22" w:name="what-part-vi-delivers"/>
    <w:p>
      <w:pPr>
        <w:pStyle w:val="Heading2"/>
      </w:pPr>
      <w:r>
        <w:t xml:space="preserve">What Part VI Delivers</w:t>
      </w:r>
    </w:p>
    <w:p>
      <w:pPr>
        <w:pStyle w:val="FirstParagraph"/>
      </w:pPr>
      <w:r>
        <w:t xml:space="preserve">Part VI comprises four chapters progressing from sector-specific execution patterns to sustained organisational capability:</w:t>
      </w:r>
    </w:p>
    <w:p>
      <w:pPr>
        <w:pStyle w:val="BodyText"/>
      </w:pPr>
      <w:r>
        <w:rPr>
          <w:bCs/>
          <w:b/>
        </w:rPr>
        <w:t xml:space="preserve">Chapter 19 — Financial Services Playbook</w:t>
      </w:r>
      <w:r>
        <w:t xml:space="preserve"> </w:t>
      </w:r>
      <w:r>
        <w:t xml:space="preserve">applies the universal model to banking and payments — DORA supervisory evidence, PCI and payment HSM certification cycles, SWIFT and market infrastructure dependencies, and the Sector Overlay Matrix (SOM) financial services modifier. Meridian Mutual Bank’s programme arc from initial DORA briefing through Year 2 examination results provides the teaching thread.</w:t>
      </w:r>
    </w:p>
    <w:p>
      <w:pPr>
        <w:pStyle w:val="BodyText"/>
      </w:pPr>
      <w:r>
        <w:rPr>
          <w:bCs/>
          <w:b/>
        </w:rPr>
        <w:t xml:space="preserve">Chapter 20 — Defense, Government, and Critical Infrastructure</w:t>
      </w:r>
      <w:r>
        <w:t xml:space="preserve"> </w:t>
      </w:r>
      <w:r>
        <w:t xml:space="preserve">addresses NSS, defence industrial base, and OT-heavy operators — CNSA 2.0 floors, CMMC and FedRAMP evidence separation, NERC CIP integration, and long-lived asset constraints. Apex Defense Technologies and Northfield Energy Systems run parallel threads illustrating classified/commercial boundaries and OT/IT convergence.</w:t>
      </w:r>
    </w:p>
    <w:p>
      <w:pPr>
        <w:pStyle w:val="BodyText"/>
      </w:pPr>
      <w:r>
        <w:rPr>
          <w:bCs/>
          <w:b/>
        </w:rPr>
        <w:t xml:space="preserve">Chapter 21 — Cloud, SaaS, and Multinational Compliance</w:t>
      </w:r>
      <w:r>
        <w:t xml:space="preserve"> </w:t>
      </w:r>
      <w:r>
        <w:t xml:space="preserve">covers tenant-isolated PQC architectures, shared responsibility models, cross-border evidence under GDPR, and platform concentration risk. GlobalSync Logistics’ three-region programme demonstrates EU/US regulatory split without duplicate programme offices.</w:t>
      </w:r>
    </w:p>
    <w:p>
      <w:pPr>
        <w:pStyle w:val="BodyText"/>
      </w:pPr>
      <w:r>
        <w:rPr>
          <w:bCs/>
          <w:b/>
        </w:rPr>
        <w:t xml:space="preserve">Chapter 22 — Sustaining Quantum Resilience</w:t>
      </w:r>
      <w:r>
        <w:t xml:space="preserve"> </w:t>
      </w:r>
      <w:r>
        <w:t xml:space="preserve">closes the book — standards watch, algorithm contingency planning, PQ-ADAPT Level 5 operations, and a Year 3 retrospective across all four organisations. Migration ends in capability, not in a single deployment wave.</w:t>
      </w:r>
    </w:p>
    <w:p>
      <w:pPr>
        <w:pStyle w:val="BodyText"/>
      </w:pPr>
      <w:r>
        <w:t xml:space="preserve">Together, these chapters complete the</w:t>
      </w:r>
      <w:r>
        <w:t xml:space="preserve"> </w:t>
      </w:r>
      <w:r>
        <w:rPr>
          <w:bCs/>
          <w:b/>
        </w:rPr>
        <w:t xml:space="preserve">Proof</w:t>
      </w:r>
      <w:r>
        <w:t xml:space="preserve"> </w:t>
      </w:r>
      <w:r>
        <w:t xml:space="preserve">phase of ARCS and advance enterprises from PQ-ADAPT Level 4 (</w:t>
      </w:r>
      <w:r>
        <w:rPr>
          <w:iCs/>
          <w:i/>
        </w:rPr>
        <w:t xml:space="preserve">Transitioning</w:t>
      </w:r>
      <w:r>
        <w:t xml:space="preserve">) toward Level 5 (</w:t>
      </w:r>
      <w:r>
        <w:rPr>
          <w:iCs/>
          <w:i/>
        </w:rPr>
        <w:t xml:space="preserve">Quantum-Resilient</w:t>
      </w:r>
      <w:r>
        <w:t xml:space="preserve">).</w:t>
      </w:r>
    </w:p>
    <w:p>
      <w:r>
        <w:pict>
          <v:rect style="width:0;height:1.5pt" o:hralign="center" o:hrstd="t" o:hr="t"/>
        </w:pict>
      </w:r>
    </w:p>
    <w:bookmarkEnd w:id="22"/>
    <w:bookmarkStart w:id="23" w:name="arcs-and-pq-adapt-positioning"/>
    <w:p>
      <w:pPr>
        <w:pStyle w:val="Heading2"/>
      </w:pPr>
      <w:r>
        <w:t xml:space="preserve">ARCS and PQ-ADAPT Positioning</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t xml:space="preserve">Framework</w:t>
            </w:r>
          </w:p>
        </w:tc>
        <w:tc>
          <w:tcPr/>
          <w:p>
            <w:pPr>
              <w:pStyle w:val="Compact"/>
              <w:jc w:val="left"/>
            </w:pPr>
            <w:r>
              <w:t xml:space="preserve">Part VI contribution</w:t>
            </w:r>
          </w:p>
        </w:tc>
      </w:tr>
      <w:tr>
        <w:tc>
          <w:tcPr/>
          <w:p>
            <w:pPr>
              <w:pStyle w:val="Compact"/>
              <w:jc w:val="left"/>
            </w:pPr>
            <w:r>
              <w:rPr>
                <w:bCs/>
                <w:b/>
              </w:rPr>
              <w:t xml:space="preserve">ARCS — Proof</w:t>
            </w:r>
          </w:p>
        </w:tc>
        <w:tc>
          <w:tcPr/>
          <w:p>
            <w:pPr>
              <w:pStyle w:val="Compact"/>
              <w:jc w:val="left"/>
            </w:pPr>
            <w:r>
              <w:t xml:space="preserve">Sector-validated programme outcomes; supervisory and assessor evidence</w:t>
            </w:r>
          </w:p>
        </w:tc>
      </w:tr>
      <w:tr>
        <w:tc>
          <w:tcPr/>
          <w:p>
            <w:pPr>
              <w:pStyle w:val="Compact"/>
              <w:jc w:val="left"/>
            </w:pPr>
            <w:r>
              <w:rPr>
                <w:bCs/>
                <w:b/>
              </w:rPr>
              <w:t xml:space="preserve">PQ-ADAPT Level 4 → 5</w:t>
            </w:r>
          </w:p>
        </w:tc>
        <w:tc>
          <w:tcPr/>
          <w:p>
            <w:pPr>
              <w:pStyle w:val="Compact"/>
              <w:jc w:val="left"/>
            </w:pPr>
            <w:r>
              <w:t xml:space="preserve">Sustained hybrid operations; disallowance readiness; continuous improvement</w:t>
            </w:r>
          </w:p>
        </w:tc>
      </w:tr>
      <w:tr>
        <w:tc>
          <w:tcPr/>
          <w:p>
            <w:pPr>
              <w:pStyle w:val="Compact"/>
              <w:jc w:val="left"/>
            </w:pPr>
            <w:r>
              <w:rPr>
                <w:bCs/>
                <w:b/>
              </w:rPr>
              <w:t xml:space="preserve">Sector Overlay Matrix (SOM)</w:t>
            </w:r>
          </w:p>
        </w:tc>
        <w:tc>
          <w:tcPr/>
          <w:p>
            <w:pPr>
              <w:pStyle w:val="Compact"/>
              <w:jc w:val="left"/>
            </w:pPr>
            <w:r>
              <w:t xml:space="preserve">TRADE weight modifiers, HLM timeline adjustments, evidence overlays</w:t>
            </w:r>
          </w:p>
        </w:tc>
      </w:tr>
      <w:tr>
        <w:tc>
          <w:tcPr/>
          <w:p>
            <w:pPr>
              <w:pStyle w:val="Compact"/>
              <w:jc w:val="left"/>
            </w:pPr>
            <w:r>
              <w:rPr>
                <w:bCs/>
                <w:b/>
              </w:rPr>
              <w:t xml:space="preserve">PQC Governance Stack</w:t>
            </w:r>
          </w:p>
        </w:tc>
        <w:tc>
          <w:tcPr/>
          <w:p>
            <w:pPr>
              <w:pStyle w:val="Compact"/>
              <w:jc w:val="left"/>
            </w:pPr>
            <w:r>
              <w:t xml:space="preserve">Sector annotations on universal layers — not separate architectures</w:t>
            </w:r>
          </w:p>
        </w:tc>
      </w:tr>
      <w:tr>
        <w:tc>
          <w:tcPr/>
          <w:p>
            <w:pPr>
              <w:pStyle w:val="Compact"/>
              <w:jc w:val="left"/>
            </w:pPr>
            <w:r>
              <w:rPr>
                <w:bCs/>
                <w:b/>
              </w:rPr>
              <w:t xml:space="preserve">TRADE engine</w:t>
            </w:r>
          </w:p>
        </w:tc>
        <w:tc>
          <w:tcPr/>
          <w:p>
            <w:pPr>
              <w:pStyle w:val="Compact"/>
              <w:jc w:val="left"/>
            </w:pPr>
            <w:r>
              <w:t xml:space="preserve">Sector-modified scoring documented in programme charter</w:t>
            </w:r>
          </w:p>
        </w:tc>
      </w:tr>
    </w:tbl>
    <w:p>
      <w:pPr>
        <w:pStyle w:val="BodyText"/>
      </w:pPr>
      <w:r>
        <w:t xml:space="preserve">Enterprises that complete Parts I–V without Part VI sector overlays risk</w:t>
      </w:r>
      <w:r>
        <w:t xml:space="preserve"> </w:t>
      </w:r>
      <w:r>
        <w:rPr>
          <w:bCs/>
          <w:b/>
        </w:rPr>
        <w:t xml:space="preserve">universal programmes rejected by sector reality</w:t>
      </w:r>
      <w:r>
        <w:t xml:space="preserve"> </w:t>
      </w:r>
      <w:r>
        <w:t xml:space="preserve">— payment certification cycles ignored, OT maintenance windows violated, NSS boundaries blurred, or tenant custody models misunderstood.</w:t>
      </w:r>
    </w:p>
    <w:p>
      <w:r>
        <w:pict>
          <v:rect style="width:0;height:1.5pt" o:hralign="center" o:hrstd="t" o:hr="t"/>
        </w:pict>
      </w:r>
    </w:p>
    <w:bookmarkEnd w:id="23"/>
    <w:bookmarkStart w:id="24" w:name="part-vi-exit-artefacts"/>
    <w:p>
      <w:pPr>
        <w:pStyle w:val="Heading2"/>
      </w:pPr>
      <w:r>
        <w:t xml:space="preserve">Part VI Exit Artefacts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Sector Overlay — Financial Services</w:t>
            </w:r>
          </w:p>
        </w:tc>
        <w:tc>
          <w:tcPr/>
          <w:p>
            <w:pPr>
              <w:pStyle w:val="Compact"/>
              <w:jc w:val="left"/>
            </w:pPr>
            <w:r>
              <w:t xml:space="preserve">CISO / compliance</w:t>
            </w:r>
          </w:p>
        </w:tc>
        <w:tc>
          <w:tcPr/>
          <w:p>
            <w:pPr>
              <w:pStyle w:val="Compact"/>
              <w:jc w:val="left"/>
            </w:pPr>
            <w:r>
              <w:t xml:space="preserve">19</w:t>
            </w:r>
          </w:p>
        </w:tc>
      </w:tr>
      <w:tr>
        <w:tc>
          <w:tcPr/>
          <w:p>
            <w:pPr>
              <w:pStyle w:val="Compact"/>
              <w:jc w:val="left"/>
            </w:pPr>
            <w:r>
              <w:t xml:space="preserve">Banking PQC architecture reference</w:t>
            </w:r>
          </w:p>
        </w:tc>
        <w:tc>
          <w:tcPr/>
          <w:p>
            <w:pPr>
              <w:pStyle w:val="Compact"/>
              <w:jc w:val="left"/>
            </w:pPr>
            <w:r>
              <w:t xml:space="preserve">Enterprise architecture</w:t>
            </w:r>
          </w:p>
        </w:tc>
        <w:tc>
          <w:tcPr/>
          <w:p>
            <w:pPr>
              <w:pStyle w:val="Compact"/>
              <w:jc w:val="left"/>
            </w:pPr>
            <w:r>
              <w:t xml:space="preserve">19</w:t>
            </w:r>
          </w:p>
        </w:tc>
      </w:tr>
      <w:tr>
        <w:tc>
          <w:tcPr/>
          <w:p>
            <w:pPr>
              <w:pStyle w:val="Compact"/>
              <w:jc w:val="left"/>
            </w:pPr>
            <w:r>
              <w:t xml:space="preserve">DORA examination evidence pack (worked example)</w:t>
            </w:r>
          </w:p>
        </w:tc>
        <w:tc>
          <w:tcPr/>
          <w:p>
            <w:pPr>
              <w:pStyle w:val="Compact"/>
              <w:jc w:val="left"/>
            </w:pPr>
            <w:r>
              <w:t xml:space="preserve">Programme office</w:t>
            </w:r>
          </w:p>
        </w:tc>
        <w:tc>
          <w:tcPr/>
          <w:p>
            <w:pPr>
              <w:pStyle w:val="Compact"/>
              <w:jc w:val="left"/>
            </w:pPr>
            <w:r>
              <w:t xml:space="preserve">19</w:t>
            </w:r>
          </w:p>
        </w:tc>
      </w:tr>
      <w:tr>
        <w:tc>
          <w:tcPr/>
          <w:p>
            <w:pPr>
              <w:pStyle w:val="Compact"/>
              <w:jc w:val="left"/>
            </w:pPr>
            <w:r>
              <w:t xml:space="preserve">Sector Overlay — Defense/Government/CII</w:t>
            </w:r>
          </w:p>
        </w:tc>
        <w:tc>
          <w:tcPr/>
          <w:p>
            <w:pPr>
              <w:pStyle w:val="Compact"/>
              <w:jc w:val="left"/>
            </w:pPr>
            <w:r>
              <w:t xml:space="preserve">CISO / compliance</w:t>
            </w:r>
          </w:p>
        </w:tc>
        <w:tc>
          <w:tcPr/>
          <w:p>
            <w:pPr>
              <w:pStyle w:val="Compact"/>
              <w:jc w:val="left"/>
            </w:pPr>
            <w:r>
              <w:t xml:space="preserve">20</w:t>
            </w:r>
          </w:p>
        </w:tc>
      </w:tr>
      <w:tr>
        <w:tc>
          <w:tcPr/>
          <w:p>
            <w:pPr>
              <w:pStyle w:val="Compact"/>
              <w:jc w:val="left"/>
            </w:pPr>
            <w:r>
              <w:t xml:space="preserve">Classified/commercial boundary diagram</w:t>
            </w:r>
          </w:p>
        </w:tc>
        <w:tc>
          <w:tcPr/>
          <w:p>
            <w:pPr>
              <w:pStyle w:val="Compact"/>
              <w:jc w:val="left"/>
            </w:pPr>
            <w:r>
              <w:t xml:space="preserve">Security architecture</w:t>
            </w:r>
          </w:p>
        </w:tc>
        <w:tc>
          <w:tcPr/>
          <w:p>
            <w:pPr>
              <w:pStyle w:val="Compact"/>
              <w:jc w:val="left"/>
            </w:pPr>
            <w:r>
              <w:t xml:space="preserve">20</w:t>
            </w:r>
          </w:p>
        </w:tc>
      </w:tr>
      <w:tr>
        <w:tc>
          <w:tcPr/>
          <w:p>
            <w:pPr>
              <w:pStyle w:val="Compact"/>
              <w:jc w:val="left"/>
            </w:pPr>
            <w:r>
              <w:t xml:space="preserve">OT/IT convergence migration map</w:t>
            </w:r>
          </w:p>
        </w:tc>
        <w:tc>
          <w:tcPr/>
          <w:p>
            <w:pPr>
              <w:pStyle w:val="Compact"/>
              <w:jc w:val="left"/>
            </w:pPr>
            <w:r>
              <w:t xml:space="preserve">OT security / programme</w:t>
            </w:r>
          </w:p>
        </w:tc>
        <w:tc>
          <w:tcPr/>
          <w:p>
            <w:pPr>
              <w:pStyle w:val="Compact"/>
              <w:jc w:val="left"/>
            </w:pPr>
            <w:r>
              <w:t xml:space="preserve">20</w:t>
            </w:r>
          </w:p>
        </w:tc>
      </w:tr>
      <w:tr>
        <w:tc>
          <w:tcPr/>
          <w:p>
            <w:pPr>
              <w:pStyle w:val="Compact"/>
              <w:jc w:val="left"/>
            </w:pPr>
            <w:r>
              <w:t xml:space="preserve">Multi-tenant PQC architecture reference</w:t>
            </w:r>
          </w:p>
        </w:tc>
        <w:tc>
          <w:tcPr/>
          <w:p>
            <w:pPr>
              <w:pStyle w:val="Compact"/>
              <w:jc w:val="left"/>
            </w:pPr>
            <w:r>
              <w:t xml:space="preserve">Platform engineering</w:t>
            </w:r>
          </w:p>
        </w:tc>
        <w:tc>
          <w:tcPr/>
          <w:p>
            <w:pPr>
              <w:pStyle w:val="Compact"/>
              <w:jc w:val="left"/>
            </w:pPr>
            <w:r>
              <w:t xml:space="preserve">21</w:t>
            </w:r>
          </w:p>
        </w:tc>
      </w:tr>
      <w:tr>
        <w:tc>
          <w:tcPr/>
          <w:p>
            <w:pPr>
              <w:pStyle w:val="Compact"/>
              <w:jc w:val="left"/>
            </w:pPr>
            <w:r>
              <w:t xml:space="preserve">Cloud provider capability assessment framework</w:t>
            </w:r>
          </w:p>
        </w:tc>
        <w:tc>
          <w:tcPr/>
          <w:p>
            <w:pPr>
              <w:pStyle w:val="Compact"/>
              <w:jc w:val="left"/>
            </w:pPr>
            <w:r>
              <w:t xml:space="preserve">Security architecture</w:t>
            </w:r>
          </w:p>
        </w:tc>
        <w:tc>
          <w:tcPr/>
          <w:p>
            <w:pPr>
              <w:pStyle w:val="Compact"/>
              <w:jc w:val="left"/>
            </w:pPr>
            <w:r>
              <w:t xml:space="preserve">21</w:t>
            </w:r>
          </w:p>
        </w:tc>
      </w:tr>
      <w:tr>
        <w:tc>
          <w:tcPr/>
          <w:p>
            <w:pPr>
              <w:pStyle w:val="Compact"/>
              <w:jc w:val="left"/>
            </w:pPr>
            <w:r>
              <w:t xml:space="preserve">Cross-border evidence matrix (GDPR)</w:t>
            </w:r>
          </w:p>
        </w:tc>
        <w:tc>
          <w:tcPr/>
          <w:p>
            <w:pPr>
              <w:pStyle w:val="Compact"/>
              <w:jc w:val="left"/>
            </w:pPr>
            <w:r>
              <w:t xml:space="preserve">DPO / legal</w:t>
            </w:r>
          </w:p>
        </w:tc>
        <w:tc>
          <w:tcPr/>
          <w:p>
            <w:pPr>
              <w:pStyle w:val="Compact"/>
              <w:jc w:val="left"/>
            </w:pPr>
            <w:r>
              <w:t xml:space="preserve">21</w:t>
            </w:r>
          </w:p>
        </w:tc>
      </w:tr>
      <w:tr>
        <w:tc>
          <w:tcPr/>
          <w:p>
            <w:pPr>
              <w:pStyle w:val="Compact"/>
              <w:jc w:val="left"/>
            </w:pPr>
            <w:r>
              <w:t xml:space="preserve">Standards watch calendar</w:t>
            </w:r>
          </w:p>
        </w:tc>
        <w:tc>
          <w:tcPr/>
          <w:p>
            <w:pPr>
              <w:pStyle w:val="Compact"/>
              <w:jc w:val="left"/>
            </w:pPr>
            <w:r>
              <w:t xml:space="preserve">Crypto governance board</w:t>
            </w:r>
          </w:p>
        </w:tc>
        <w:tc>
          <w:tcPr/>
          <w:p>
            <w:pPr>
              <w:pStyle w:val="Compact"/>
              <w:jc w:val="left"/>
            </w:pPr>
            <w:r>
              <w:t xml:space="preserve">22</w:t>
            </w:r>
          </w:p>
        </w:tc>
      </w:tr>
      <w:tr>
        <w:tc>
          <w:tcPr/>
          <w:p>
            <w:pPr>
              <w:pStyle w:val="Compact"/>
              <w:jc w:val="left"/>
            </w:pPr>
            <w:r>
              <w:t xml:space="preserve">PQ-ADAPT Level 5 self-assessment criteria</w:t>
            </w:r>
          </w:p>
        </w:tc>
        <w:tc>
          <w:tcPr/>
          <w:p>
            <w:pPr>
              <w:pStyle w:val="Compact"/>
              <w:jc w:val="left"/>
            </w:pPr>
            <w:r>
              <w:t xml:space="preserve">Assurance</w:t>
            </w:r>
          </w:p>
        </w:tc>
        <w:tc>
          <w:tcPr/>
          <w:p>
            <w:pPr>
              <w:pStyle w:val="Compact"/>
              <w:jc w:val="left"/>
            </w:pPr>
            <w:r>
              <w:t xml:space="preserve">22</w:t>
            </w:r>
          </w:p>
        </w:tc>
      </w:tr>
      <w:tr>
        <w:tc>
          <w:tcPr/>
          <w:p>
            <w:pPr>
              <w:pStyle w:val="Compact"/>
              <w:jc w:val="left"/>
            </w:pPr>
            <w:r>
              <w:t xml:space="preserve">Lessons learned synthesis (four-org retrospective)</w:t>
            </w:r>
          </w:p>
        </w:tc>
        <w:tc>
          <w:tcPr/>
          <w:p>
            <w:pPr>
              <w:pStyle w:val="Compact"/>
              <w:jc w:val="left"/>
            </w:pPr>
            <w:r>
              <w:t xml:space="preserve">Programme director</w:t>
            </w:r>
          </w:p>
        </w:tc>
        <w:tc>
          <w:tcPr/>
          <w:p>
            <w:pPr>
              <w:pStyle w:val="Compact"/>
              <w:jc w:val="left"/>
            </w:pPr>
            <w:r>
              <w:t xml:space="preserve">22</w:t>
            </w:r>
          </w:p>
        </w:tc>
      </w:tr>
    </w:tbl>
    <w:p>
      <w:r>
        <w:pict>
          <v:rect style="width:0;height:1.5pt" o:hralign="center" o:hrstd="t" o:hr="t"/>
        </w:pict>
      </w:r>
    </w:p>
    <w:bookmarkEnd w:id="24"/>
    <w:bookmarkStart w:id="25" w:name="prerequisites"/>
    <w:p>
      <w:pPr>
        <w:pStyle w:val="Heading2"/>
      </w:pPr>
      <w:r>
        <w:t xml:space="preserve">Prerequisites</w:t>
      </w:r>
    </w:p>
    <w:p>
      <w:pPr>
        <w:pStyle w:val="FirstParagraph"/>
      </w:pPr>
      <w:r>
        <w:t xml:space="preserve">Part VI assumes:</w:t>
      </w:r>
    </w:p>
    <w:p>
      <w:pPr>
        <w:numPr>
          <w:ilvl w:val="0"/>
          <w:numId w:val="1001"/>
        </w:numPr>
        <w:pStyle w:val="Compact"/>
      </w:pPr>
      <w:r>
        <w:t xml:space="preserve">Programme charter and operating model (Chapter 15)</w:t>
      </w:r>
    </w:p>
    <w:p>
      <w:pPr>
        <w:numPr>
          <w:ilvl w:val="0"/>
          <w:numId w:val="1001"/>
        </w:numPr>
        <w:pStyle w:val="Compact"/>
      </w:pPr>
      <w:r>
        <w:t xml:space="preserve">Procurement clause library and vendor assessment (Chapter 16)</w:t>
      </w:r>
    </w:p>
    <w:p>
      <w:pPr>
        <w:numPr>
          <w:ilvl w:val="0"/>
          <w:numId w:val="1001"/>
        </w:numPr>
        <w:pStyle w:val="Compact"/>
      </w:pPr>
      <w:r>
        <w:t xml:space="preserve">CI/CD cryptographic gates (Chapter 17)</w:t>
      </w:r>
    </w:p>
    <w:p>
      <w:pPr>
        <w:numPr>
          <w:ilvl w:val="0"/>
          <w:numId w:val="1001"/>
        </w:numPr>
        <w:pStyle w:val="Compact"/>
      </w:pPr>
      <w:r>
        <w:t xml:space="preserve">Validation programme and test matrix (Chapter 18)</w:t>
      </w:r>
    </w:p>
    <w:p>
      <w:pPr>
        <w:numPr>
          <w:ilvl w:val="0"/>
          <w:numId w:val="1001"/>
        </w:numPr>
        <w:pStyle w:val="Compact"/>
      </w:pPr>
      <w:r>
        <w:t xml:space="preserve">CBOM baseline, CDG, and wave plan (Chapters 7–9)</w:t>
      </w:r>
    </w:p>
    <w:p>
      <w:pPr>
        <w:numPr>
          <w:ilvl w:val="0"/>
          <w:numId w:val="1001"/>
        </w:numPr>
        <w:pStyle w:val="Compact"/>
      </w:pPr>
      <w:r>
        <w:t xml:space="preserve">Architecture standards and hybrid patterns (Chapters 10–14)</w:t>
      </w:r>
    </w:p>
    <w:p>
      <w:pPr>
        <w:pStyle w:val="FirstParagraph"/>
      </w:pPr>
      <w:r>
        <w:t xml:space="preserve">Sector playbooks without Parts III–V produce</w:t>
      </w:r>
      <w:r>
        <w:t xml:space="preserve"> </w:t>
      </w:r>
      <w:r>
        <w:rPr>
          <w:bCs/>
          <w:b/>
        </w:rPr>
        <w:t xml:space="preserve">sector slides without execution machinery</w:t>
      </w:r>
      <w:r>
        <w:t xml:space="preserve"> </w:t>
      </w:r>
      <w:r>
        <w:t xml:space="preserve">— regulatory mapping without inventory, or DORA evidence without contractual enforcement.</w:t>
      </w:r>
    </w:p>
    <w:p>
      <w:r>
        <w:pict>
          <v:rect style="width:0;height:1.5pt" o:hralign="center" o:hrstd="t" o:hr="t"/>
        </w:pict>
      </w:r>
    </w:p>
    <w:bookmarkEnd w:id="25"/>
    <w:bookmarkStart w:id="26" w:name="who-should-read-part-vi"/>
    <w:p>
      <w:pPr>
        <w:pStyle w:val="Heading2"/>
      </w:pPr>
      <w:r>
        <w:t xml:space="preserve">Who Should Read Part VI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Primary chapter</w:t>
            </w:r>
          </w:p>
        </w:tc>
      </w:tr>
      <w:tr>
        <w:tc>
          <w:tcPr/>
          <w:p>
            <w:pPr>
              <w:pStyle w:val="Compact"/>
              <w:jc w:val="left"/>
            </w:pPr>
            <w:r>
              <w:t xml:space="preserve">CISO / Programme Director</w:t>
            </w:r>
          </w:p>
        </w:tc>
        <w:tc>
          <w:tcPr/>
          <w:p>
            <w:pPr>
              <w:pStyle w:val="Compact"/>
              <w:jc w:val="left"/>
            </w:pPr>
            <w:r>
              <w:t xml:space="preserve">All four chapters</w:t>
            </w:r>
          </w:p>
        </w:tc>
        <w:tc>
          <w:tcPr/>
          <w:p>
            <w:pPr>
              <w:pStyle w:val="Compact"/>
              <w:jc w:val="left"/>
            </w:pPr>
            <w:r>
              <w:t xml:space="preserve">22 (sustain)</w:t>
            </w:r>
          </w:p>
        </w:tc>
      </w:tr>
      <w:tr>
        <w:tc>
          <w:tcPr/>
          <w:p>
            <w:pPr>
              <w:pStyle w:val="Compact"/>
              <w:jc w:val="left"/>
            </w:pPr>
            <w:r>
              <w:t xml:space="preserve">Financial services compliance</w:t>
            </w:r>
          </w:p>
        </w:tc>
        <w:tc>
          <w:tcPr/>
          <w:p>
            <w:pPr>
              <w:pStyle w:val="Compact"/>
              <w:jc w:val="left"/>
            </w:pPr>
            <w:r>
              <w:t xml:space="preserve">Chapter 19 (full)</w:t>
            </w:r>
          </w:p>
        </w:tc>
        <w:tc>
          <w:tcPr/>
          <w:p>
            <w:pPr>
              <w:pStyle w:val="Compact"/>
              <w:jc w:val="left"/>
            </w:pPr>
            <w:r>
              <w:t xml:space="preserve">19</w:t>
            </w:r>
          </w:p>
        </w:tc>
      </w:tr>
      <w:tr>
        <w:tc>
          <w:tcPr/>
          <w:p>
            <w:pPr>
              <w:pStyle w:val="Compact"/>
              <w:jc w:val="left"/>
            </w:pPr>
            <w:r>
              <w:t xml:space="preserve">Defence / government security</w:t>
            </w:r>
          </w:p>
        </w:tc>
        <w:tc>
          <w:tcPr/>
          <w:p>
            <w:pPr>
              <w:pStyle w:val="Compact"/>
              <w:jc w:val="left"/>
            </w:pPr>
            <w:r>
              <w:t xml:space="preserve">Chapter 20 (full)</w:t>
            </w:r>
          </w:p>
        </w:tc>
        <w:tc>
          <w:tcPr/>
          <w:p>
            <w:pPr>
              <w:pStyle w:val="Compact"/>
              <w:jc w:val="left"/>
            </w:pPr>
            <w:r>
              <w:t xml:space="preserve">20</w:t>
            </w:r>
          </w:p>
        </w:tc>
      </w:tr>
      <w:tr>
        <w:tc>
          <w:tcPr/>
          <w:p>
            <w:pPr>
              <w:pStyle w:val="Compact"/>
              <w:jc w:val="left"/>
            </w:pPr>
            <w:r>
              <w:t xml:space="preserve">Critical infrastructure / OT</w:t>
            </w:r>
          </w:p>
        </w:tc>
        <w:tc>
          <w:tcPr/>
          <w:p>
            <w:pPr>
              <w:pStyle w:val="Compact"/>
              <w:jc w:val="left"/>
            </w:pPr>
            <w:r>
              <w:t xml:space="preserve">Chapter 20 (§20.6–20.12)</w:t>
            </w:r>
          </w:p>
        </w:tc>
        <w:tc>
          <w:tcPr/>
          <w:p>
            <w:pPr>
              <w:pStyle w:val="Compact"/>
              <w:jc w:val="left"/>
            </w:pPr>
            <w:r>
              <w:t xml:space="preserve">20</w:t>
            </w:r>
          </w:p>
        </w:tc>
      </w:tr>
      <w:tr>
        <w:tc>
          <w:tcPr/>
          <w:p>
            <w:pPr>
              <w:pStyle w:val="Compact"/>
              <w:jc w:val="left"/>
            </w:pPr>
            <w:r>
              <w:t xml:space="preserve">Cloud / platform engineering</w:t>
            </w:r>
          </w:p>
        </w:tc>
        <w:tc>
          <w:tcPr/>
          <w:p>
            <w:pPr>
              <w:pStyle w:val="Compact"/>
              <w:jc w:val="left"/>
            </w:pPr>
            <w:r>
              <w:t xml:space="preserve">Chapter 21 (full)</w:t>
            </w:r>
          </w:p>
        </w:tc>
        <w:tc>
          <w:tcPr/>
          <w:p>
            <w:pPr>
              <w:pStyle w:val="Compact"/>
              <w:jc w:val="left"/>
            </w:pPr>
            <w:r>
              <w:t xml:space="preserve">21</w:t>
            </w:r>
          </w:p>
        </w:tc>
      </w:tr>
      <w:tr>
        <w:tc>
          <w:tcPr/>
          <w:p>
            <w:pPr>
              <w:pStyle w:val="Compact"/>
              <w:jc w:val="left"/>
            </w:pPr>
            <w:r>
              <w:t xml:space="preserve">Multinational DPO / legal</w:t>
            </w:r>
          </w:p>
        </w:tc>
        <w:tc>
          <w:tcPr/>
          <w:p>
            <w:pPr>
              <w:pStyle w:val="Compact"/>
              <w:jc w:val="left"/>
            </w:pPr>
            <w:r>
              <w:t xml:space="preserve">Chapters 19, 21</w:t>
            </w:r>
          </w:p>
        </w:tc>
        <w:tc>
          <w:tcPr/>
          <w:p>
            <w:pPr>
              <w:pStyle w:val="Compact"/>
              <w:jc w:val="left"/>
            </w:pPr>
            <w:r>
              <w:t xml:space="preserve">21</w:t>
            </w:r>
          </w:p>
        </w:tc>
      </w:tr>
      <w:tr>
        <w:tc>
          <w:tcPr/>
          <w:p>
            <w:pPr>
              <w:pStyle w:val="Compact"/>
              <w:jc w:val="left"/>
            </w:pPr>
            <w:r>
              <w:t xml:space="preserve">Enterprise architect</w:t>
            </w:r>
          </w:p>
        </w:tc>
        <w:tc>
          <w:tcPr/>
          <w:p>
            <w:pPr>
              <w:pStyle w:val="Compact"/>
              <w:jc w:val="left"/>
            </w:pPr>
            <w:r>
              <w:t xml:space="preserve">Chapters 19–21 overlays</w:t>
            </w:r>
          </w:p>
        </w:tc>
        <w:tc>
          <w:tcPr/>
          <w:p>
            <w:pPr>
              <w:pStyle w:val="Compact"/>
              <w:jc w:val="left"/>
            </w:pPr>
            <w:r>
              <w:t xml:space="preserve">Sector matching estate</w:t>
            </w:r>
          </w:p>
        </w:tc>
      </w:tr>
      <w:tr>
        <w:tc>
          <w:tcPr/>
          <w:p>
            <w:pPr>
              <w:pStyle w:val="Compact"/>
              <w:jc w:val="left"/>
            </w:pPr>
            <w:r>
              <w:t xml:space="preserve">Internal audit</w:t>
            </w:r>
          </w:p>
        </w:tc>
        <w:tc>
          <w:tcPr/>
          <w:p>
            <w:pPr>
              <w:pStyle w:val="Compact"/>
              <w:jc w:val="left"/>
            </w:pPr>
            <w:r>
              <w:t xml:space="preserve">Chapters 19, 20, 22</w:t>
            </w:r>
          </w:p>
        </w:tc>
        <w:tc>
          <w:tcPr/>
          <w:p>
            <w:pPr>
              <w:pStyle w:val="Compact"/>
              <w:jc w:val="left"/>
            </w:pPr>
            <w:r>
              <w:t xml:space="preserve">22</w:t>
            </w:r>
          </w:p>
        </w:tc>
      </w:tr>
    </w:tbl>
    <w:p>
      <w:r>
        <w:pict>
          <v:rect style="width:0;height:1.5pt" o:hralign="center" o:hrstd="t" o:hr="t"/>
        </w:pict>
      </w:r>
    </w:p>
    <w:bookmarkEnd w:id="26"/>
    <w:bookmarkStart w:id="27" w:name="the-teaching-organisations-in-part-vi"/>
    <w:p>
      <w:pPr>
        <w:pStyle w:val="Heading2"/>
      </w:pPr>
      <w:r>
        <w:t xml:space="preserve">The Teaching Organisations in Part VI</w:t>
      </w:r>
    </w:p>
    <w:p>
      <w:pPr>
        <w:pStyle w:val="FirstParagraph"/>
      </w:pPr>
      <w:r>
        <w:rPr>
          <w:bCs/>
          <w:b/>
        </w:rPr>
        <w:t xml:space="preserve">Meridian Mutual Bank</w:t>
      </w:r>
      <w:r>
        <w:t xml:space="preserve"> </w:t>
      </w:r>
      <w:r>
        <w:t xml:space="preserve">— Full financial services arc: DORA examination, 40-supplier assessment outcomes, payment HSM certification constraint, retail mobile acceleration, Year 2 supervisory results.</w:t>
      </w:r>
    </w:p>
    <w:p>
      <w:pPr>
        <w:pStyle w:val="BodyText"/>
      </w:pPr>
      <w:r>
        <w:rPr>
          <w:bCs/>
          <w:b/>
        </w:rPr>
        <w:t xml:space="preserve">Northfield Energy Systems</w:t>
      </w:r>
      <w:r>
        <w:t xml:space="preserve"> </w:t>
      </w:r>
      <w:r>
        <w:t xml:space="preserve">— Critical infrastructure arc: WAN hybrid rollout, firmware signing programme, NERC CIP evidence integration, OT vendor management, board reporting in plain language.</w:t>
      </w:r>
    </w:p>
    <w:p>
      <w:pPr>
        <w:pStyle w:val="BodyText"/>
      </w:pPr>
      <w:r>
        <w:rPr>
          <w:bCs/>
          <w:b/>
        </w:rPr>
        <w:t xml:space="preserve">Apex Defense Technologies</w:t>
      </w:r>
      <w:r>
        <w:t xml:space="preserve"> </w:t>
      </w:r>
      <w:r>
        <w:t xml:space="preserve">— Defence arc: CMMC assessment closure, NSS/commercial swim lanes, CNSA 2.0 alignment, classified evidence zone separation, ML-DSA module gap remediation.</w:t>
      </w:r>
    </w:p>
    <w:p>
      <w:pPr>
        <w:pStyle w:val="BodyText"/>
      </w:pPr>
      <w:r>
        <w:rPr>
          <w:bCs/>
          <w:b/>
        </w:rPr>
        <w:t xml:space="preserve">GlobalSync Logistics</w:t>
      </w:r>
      <w:r>
        <w:t xml:space="preserve"> </w:t>
      </w:r>
      <w:r>
        <w:t xml:space="preserve">— Cloud/SaaS arc: three-region tenant assurance tiers, GDPR cross-border evidence, platform concentration management, partner ecosystem Wave 0 completion, Year 3 tenant contract sunsets.</w:t>
      </w:r>
    </w:p>
    <w:p>
      <w:r>
        <w:pict>
          <v:rect style="width:0;height:1.5pt" o:hralign="center" o:hrstd="t" o:hr="t"/>
        </w:pict>
      </w:r>
    </w:p>
    <w:bookmarkEnd w:id="27"/>
    <w:bookmarkStart w:id="28" w:name="what-part-vi-is-and-is-not"/>
    <w:p>
      <w:pPr>
        <w:pStyle w:val="Heading2"/>
      </w:pPr>
      <w:r>
        <w:t xml:space="preserve">What Part VI Is and Is Not</w:t>
      </w:r>
    </w:p>
    <w:p>
      <w:pPr>
        <w:pStyle w:val="FirstParagraph"/>
      </w:pPr>
      <w:r>
        <w:t xml:space="preserve">Part VI is</w:t>
      </w:r>
      <w:r>
        <w:t xml:space="preserve"> </w:t>
      </w:r>
      <w:r>
        <w:rPr>
          <w:bCs/>
          <w:b/>
        </w:rPr>
        <w:t xml:space="preserve">sector proof</w:t>
      </w:r>
      <w:r>
        <w:t xml:space="preserve"> </w:t>
      </w:r>
      <w:r>
        <w:t xml:space="preserve">— how universal migration architecture survives banking supervision, defence assessment, OT field operations, and multinational cloud regulation.</w:t>
      </w:r>
    </w:p>
    <w:p>
      <w:pPr>
        <w:pStyle w:val="BodyText"/>
      </w:pPr>
      <w:r>
        <w:t xml:space="preserve">It is</w:t>
      </w:r>
      <w:r>
        <w:t xml:space="preserve"> </w:t>
      </w:r>
      <w:r>
        <w:rPr>
          <w:bCs/>
          <w:b/>
        </w:rPr>
        <w:t xml:space="preserve">not</w:t>
      </w:r>
      <w:r>
        <w:t xml:space="preserve"> </w:t>
      </w:r>
      <w:r>
        <w:t xml:space="preserve">a replacement for Parts I–V. Sector playbooks annotate the universal model; they do not redefine algorithm standards, CBOM methodology, or programme governance.</w:t>
      </w:r>
    </w:p>
    <w:p>
      <w:pPr>
        <w:pStyle w:val="BodyText"/>
      </w:pPr>
      <w:r>
        <w:t xml:space="preserve">It is</w:t>
      </w:r>
      <w:r>
        <w:t xml:space="preserve"> </w:t>
      </w:r>
      <w:r>
        <w:rPr>
          <w:bCs/>
          <w:b/>
        </w:rPr>
        <w:t xml:space="preserve">not</w:t>
      </w:r>
      <w:r>
        <w:t xml:space="preserve"> </w:t>
      </w:r>
      <w:r>
        <w:t xml:space="preserve">exhaustive sector coverage. Healthcare, telecommunications, and public-sector civilian agencies receive SOM principles applicable by analogy; dedicated healthcare expansion remains future work.</w:t>
      </w:r>
    </w:p>
    <w:p>
      <w:pPr>
        <w:pStyle w:val="BodyText"/>
      </w:pPr>
      <w:r>
        <w:t xml:space="preserve">It is</w:t>
      </w:r>
      <w:r>
        <w:t xml:space="preserve"> </w:t>
      </w:r>
      <w:r>
        <w:rPr>
          <w:bCs/>
          <w:b/>
        </w:rPr>
        <w:t xml:space="preserve">not</w:t>
      </w:r>
      <w:r>
        <w:t xml:space="preserve"> </w:t>
      </w:r>
      <w:r>
        <w:t xml:space="preserve">vendor product guidance. Cloud provider names appear as</w:t>
      </w:r>
      <w:r>
        <w:t xml:space="preserve"> </w:t>
      </w:r>
      <w:r>
        <w:rPr>
          <w:bCs/>
          <w:b/>
        </w:rPr>
        <w:t xml:space="preserve">categories</w:t>
      </w:r>
      <w:r>
        <w:t xml:space="preserve"> </w:t>
      </w:r>
      <w:r>
        <w:t xml:space="preserve">for assessment frameworks — no product endorsement.</w:t>
      </w:r>
    </w:p>
    <w:p>
      <w:pPr>
        <w:pStyle w:val="BodyText"/>
      </w:pPr>
      <w:r>
        <w:t xml:space="preserve">It</w:t>
      </w:r>
      <w:r>
        <w:t xml:space="preserve"> </w:t>
      </w:r>
      <w:r>
        <w:rPr>
          <w:bCs/>
          <w:b/>
        </w:rPr>
        <w:t xml:space="preserve">is</w:t>
      </w:r>
      <w:r>
        <w:t xml:space="preserve"> </w:t>
      </w:r>
      <w:r>
        <w:t xml:space="preserve">the closing argument that enterprise post-quantum migration is achievable, measurable, and defensible when sector constraints are honoured rather than ignored.</w:t>
      </w:r>
    </w:p>
    <w:p>
      <w:r>
        <w:pict>
          <v:rect style="width:0;height:1.5pt" o:hralign="center" o:hrstd="t" o:hr="t"/>
        </w:pict>
      </w:r>
    </w:p>
    <w:bookmarkEnd w:id="28"/>
    <w:bookmarkStart w:id="29" w:name="how-part-vi-connects-to-the-book-arc"/>
    <w:p>
      <w:pPr>
        <w:pStyle w:val="Heading2"/>
      </w:pPr>
      <w:r>
        <w:t xml:space="preserve">How Part VI Connects to the Book Arc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Question</w:t>
            </w:r>
          </w:p>
        </w:tc>
        <w:tc>
          <w:tcPr/>
          <w:p>
            <w:pPr>
              <w:pStyle w:val="Compact"/>
              <w:jc w:val="left"/>
            </w:pPr>
            <w:r>
              <w:t xml:space="preserve">Part VI contribution</w:t>
            </w:r>
          </w:p>
        </w:tc>
      </w:tr>
      <w:tr>
        <w:tc>
          <w:tcPr/>
          <w:p>
            <w:pPr>
              <w:pStyle w:val="Compact"/>
              <w:jc w:val="left"/>
            </w:pPr>
            <w:r>
              <w:t xml:space="preserve">I</w:t>
            </w:r>
          </w:p>
        </w:tc>
        <w:tc>
          <w:tcPr/>
          <w:p>
            <w:pPr>
              <w:pStyle w:val="Compact"/>
              <w:jc w:val="left"/>
            </w:pPr>
            <w:r>
              <w:t xml:space="preserve">Why migrate?</w:t>
            </w:r>
          </w:p>
        </w:tc>
        <w:tc>
          <w:tcPr/>
          <w:p>
            <w:pPr>
              <w:pStyle w:val="Compact"/>
              <w:jc w:val="left"/>
            </w:pPr>
            <w:r>
              <w:t xml:space="preserve">Sector threat calibration (SOM weights)</w:t>
            </w:r>
          </w:p>
        </w:tc>
      </w:tr>
      <w:tr>
        <w:tc>
          <w:tcPr/>
          <w:p>
            <w:pPr>
              <w:pStyle w:val="Compact"/>
              <w:jc w:val="left"/>
            </w:pPr>
            <w:r>
              <w:t xml:space="preserve">II</w:t>
            </w:r>
          </w:p>
        </w:tc>
        <w:tc>
          <w:tcPr/>
          <w:p>
            <w:pPr>
              <w:pStyle w:val="Compact"/>
              <w:jc w:val="left"/>
            </w:pPr>
            <w:r>
              <w:t xml:space="preserve">What standards?</w:t>
            </w:r>
          </w:p>
        </w:tc>
        <w:tc>
          <w:tcPr/>
          <w:p>
            <w:pPr>
              <w:pStyle w:val="Compact"/>
              <w:jc w:val="left"/>
            </w:pPr>
            <w:r>
              <w:t xml:space="preserve">Sector timeline modifiers (CNSA, PCI, NERC)</w:t>
            </w:r>
          </w:p>
        </w:tc>
      </w:tr>
      <w:tr>
        <w:tc>
          <w:tcPr/>
          <w:p>
            <w:pPr>
              <w:pStyle w:val="Compact"/>
              <w:jc w:val="left"/>
            </w:pPr>
            <w:r>
              <w:t xml:space="preserve">III</w:t>
            </w:r>
          </w:p>
        </w:tc>
        <w:tc>
          <w:tcPr/>
          <w:p>
            <w:pPr>
              <w:pStyle w:val="Compact"/>
              <w:jc w:val="left"/>
            </w:pPr>
            <w:r>
              <w:t xml:space="preserve">Where and when?</w:t>
            </w:r>
          </w:p>
        </w:tc>
        <w:tc>
          <w:tcPr/>
          <w:p>
            <w:pPr>
              <w:pStyle w:val="Compact"/>
              <w:jc w:val="left"/>
            </w:pPr>
            <w:r>
              <w:t xml:space="preserve">Sector wave sequencing</w:t>
            </w:r>
          </w:p>
        </w:tc>
      </w:tr>
      <w:tr>
        <w:tc>
          <w:tcPr/>
          <w:p>
            <w:pPr>
              <w:pStyle w:val="Compact"/>
              <w:jc w:val="left"/>
            </w:pPr>
            <w:r>
              <w:t xml:space="preserve">IV</w:t>
            </w:r>
          </w:p>
        </w:tc>
        <w:tc>
          <w:tcPr/>
          <w:p>
            <w:pPr>
              <w:pStyle w:val="Compact"/>
              <w:jc w:val="left"/>
            </w:pPr>
            <w:r>
              <w:t xml:space="preserve">How to implement?</w:t>
            </w:r>
          </w:p>
        </w:tc>
        <w:tc>
          <w:tcPr/>
          <w:p>
            <w:pPr>
              <w:pStyle w:val="Compact"/>
              <w:jc w:val="left"/>
            </w:pPr>
            <w:r>
              <w:t xml:space="preserve">Sector architecture defaults</w:t>
            </w:r>
          </w:p>
        </w:tc>
      </w:tr>
      <w:tr>
        <w:tc>
          <w:tcPr/>
          <w:p>
            <w:pPr>
              <w:pStyle w:val="Compact"/>
              <w:jc w:val="left"/>
            </w:pPr>
            <w:r>
              <w:t xml:space="preserve">V</w:t>
            </w:r>
          </w:p>
        </w:tc>
        <w:tc>
          <w:tcPr/>
          <w:p>
            <w:pPr>
              <w:pStyle w:val="Compact"/>
              <w:jc w:val="left"/>
            </w:pPr>
            <w:r>
              <w:t xml:space="preserve">Who governs?</w:t>
            </w:r>
          </w:p>
        </w:tc>
        <w:tc>
          <w:tcPr/>
          <w:p>
            <w:pPr>
              <w:pStyle w:val="Compact"/>
              <w:jc w:val="left"/>
            </w:pPr>
            <w:r>
              <w:t xml:space="preserve">Sector evidence and examination packs</w:t>
            </w:r>
          </w:p>
        </w:tc>
      </w:tr>
      <w:tr>
        <w:tc>
          <w:tcPr/>
          <w:p>
            <w:pPr>
              <w:pStyle w:val="Compact"/>
              <w:jc w:val="left"/>
            </w:pPr>
            <w:r>
              <w:rPr>
                <w:bCs/>
                <w:b/>
              </w:rPr>
              <w:t xml:space="preserve">VI</w:t>
            </w:r>
          </w:p>
        </w:tc>
        <w:tc>
          <w:tcPr/>
          <w:p>
            <w:pPr>
              <w:pStyle w:val="Compact"/>
              <w:jc w:val="left"/>
            </w:pPr>
            <w:r>
              <w:rPr>
                <w:bCs/>
                <w:b/>
              </w:rPr>
              <w:t xml:space="preserve">Sector proof?</w:t>
            </w:r>
          </w:p>
        </w:tc>
        <w:tc>
          <w:tcPr/>
          <w:p>
            <w:pPr>
              <w:pStyle w:val="Compact"/>
              <w:jc w:val="left"/>
            </w:pPr>
            <w:r>
              <w:rPr>
                <w:bCs/>
                <w:b/>
              </w:rPr>
              <w:t xml:space="preserve">Playbooks, arcs, sustainment</w:t>
            </w:r>
          </w:p>
        </w:tc>
      </w:tr>
    </w:tbl>
    <w:p>
      <w:r>
        <w:pict>
          <v:rect style="width:0;height:1.5pt" o:hralign="center" o:hrstd="t" o:hr="t"/>
        </w:pict>
      </w:r>
    </w:p>
    <w:bookmarkEnd w:id="29"/>
    <w:bookmarkStart w:id="30" w:name="suggested-reading-sequences"/>
    <w:p>
      <w:pPr>
        <w:pStyle w:val="Heading2"/>
      </w:pPr>
      <w:r>
        <w:t xml:space="preserve">Suggested Reading Sequences</w:t>
      </w:r>
    </w:p>
    <w:p>
      <w:pPr>
        <w:pStyle w:val="FirstParagraph"/>
      </w:pPr>
      <w:r>
        <w:rPr>
          <w:bCs/>
          <w:b/>
        </w:rPr>
        <w:t xml:space="preserve">Financial services path:</w:t>
      </w:r>
      <w:r>
        <w:t xml:space="preserve"> </w:t>
      </w:r>
      <w:r>
        <w:t xml:space="preserve">Introduction → Chapter 19 (full) → Chapter 3 regulatory cross-ref → Chapter 16 vendor assessment → Chapter 22 (§22.5 sustain).</w:t>
      </w:r>
    </w:p>
    <w:p>
      <w:pPr>
        <w:pStyle w:val="BodyText"/>
      </w:pPr>
      <w:r>
        <w:rPr>
          <w:bCs/>
          <w:b/>
        </w:rPr>
        <w:t xml:space="preserve">Defence / government path:</w:t>
      </w:r>
      <w:r>
        <w:t xml:space="preserve"> </w:t>
      </w:r>
      <w:r>
        <w:t xml:space="preserve">Introduction → Chapter 20 (full) → Chapter 18 assurance → Chapter 14 HSM → Chapter 22.</w:t>
      </w:r>
    </w:p>
    <w:p>
      <w:pPr>
        <w:pStyle w:val="BodyText"/>
      </w:pPr>
      <w:r>
        <w:rPr>
          <w:bCs/>
          <w:b/>
        </w:rPr>
        <w:t xml:space="preserve">Critical infrastructure / OT path:</w:t>
      </w:r>
      <w:r>
        <w:t xml:space="preserve"> </w:t>
      </w:r>
      <w:r>
        <w:t xml:space="preserve">Introduction → Chapter 20 (§20.6–20.14) → Chapter 6 firmware → Chapter 12 IPsec → Chapter 22.</w:t>
      </w:r>
    </w:p>
    <w:p>
      <w:pPr>
        <w:pStyle w:val="BodyText"/>
      </w:pPr>
      <w:r>
        <w:rPr>
          <w:bCs/>
          <w:b/>
        </w:rPr>
        <w:t xml:space="preserve">Cloud / SaaS path:</w:t>
      </w:r>
      <w:r>
        <w:t xml:space="preserve"> </w:t>
      </w:r>
      <w:r>
        <w:t xml:space="preserve">Introduction → Chapter 21 (full) → Chapter 17 supply chain → Chapter 15 three-region PO → Chapter 22.</w:t>
      </w:r>
    </w:p>
    <w:p>
      <w:pPr>
        <w:pStyle w:val="BodyText"/>
      </w:pPr>
      <w:r>
        <w:rPr>
          <w:bCs/>
          <w:b/>
        </w:rPr>
        <w:t xml:space="preserve">Programme director close-out:</w:t>
      </w:r>
      <w:r>
        <w:t xml:space="preserve"> </w:t>
      </w:r>
      <w:r>
        <w:t xml:space="preserve">Introduction → Chapter 22 (full) → sector chapter matching industry → Appendix B PQ-ADAPT assessment.</w:t>
      </w:r>
    </w:p>
    <w:p>
      <w:r>
        <w:pict>
          <v:rect style="width:0;height:1.5pt" o:hralign="center" o:hrstd="t" o:hr="t"/>
        </w:pict>
      </w:r>
    </w:p>
    <w:bookmarkEnd w:id="30"/>
    <w:bookmarkStart w:id="31" w:name="conventions"/>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prior parts.</w:t>
      </w:r>
    </w:p>
    <w:p>
      <w:pPr>
        <w:pStyle w:val="BodyText"/>
      </w:pPr>
      <w:r>
        <w:t xml:space="preserve">Standards references align with FIPS 203–205 and IETF specifications at time of writing. NIST IR 8547 remains in Initial Public Draft at time of writing — monitor authoritative sources before embedding draft language in supervisory submissions. IETF hybrid TLS specifications may advance from Internet-Draft to RFC during the migration horizon; sector playbooks should reference standards-track identifiers with version dates. Sector regulatory instruments (DORA RTS, CNSA 2.0, NERC CIP) should be verified against current authoritative publications before examination or assessment use.</w:t>
      </w:r>
    </w:p>
    <w:p>
      <w:pPr>
        <w:pStyle w:val="BodyText"/>
      </w:pPr>
      <w:r>
        <w:t xml:space="preserve">ASCII figures in manuscript form include production briefs for artwork; final diagrams follow in production.</w:t>
      </w:r>
    </w:p>
    <w:p>
      <w:pPr>
        <w:pStyle w:val="BodyText"/>
      </w:pPr>
      <w:r>
        <w:t xml:space="preserve">Vendor and cloud provider names appear as</w:t>
      </w:r>
      <w:r>
        <w:t xml:space="preserve"> </w:t>
      </w:r>
      <w:r>
        <w:rPr>
          <w:bCs/>
          <w:b/>
        </w:rPr>
        <w:t xml:space="preserve">categories</w:t>
      </w:r>
      <w:r>
        <w:t xml:space="preserve"> </w:t>
      </w:r>
      <w:r>
        <w:t xml:space="preserve">for pattern illustration — no product endorsement.</w:t>
      </w:r>
    </w:p>
    <w:p>
      <w:pPr>
        <w:pStyle w:val="BodyText"/>
      </w:pPr>
      <w:r>
        <w:t xml:space="preserve">The four teaching organisations are</w:t>
      </w:r>
      <w:r>
        <w:t xml:space="preserve"> </w:t>
      </w:r>
      <w:r>
        <w:rPr>
          <w:bCs/>
          <w:b/>
        </w:rPr>
        <w:t xml:space="preserve">composite case studies</w:t>
      </w:r>
      <w:r>
        <w:t xml:space="preserve"> </w:t>
      </w:r>
      <w:r>
        <w:t xml:space="preserve">synthesising patterns from multiple enterprise programmes — illustrative, not representations of specific institutions.</w:t>
      </w:r>
    </w:p>
    <w:p>
      <w:r>
        <w:pict>
          <v:rect style="width:0;height:1.5pt" o:hralign="center" o:hrstd="t" o:hr="t"/>
        </w:pict>
      </w:r>
    </w:p>
    <w:p>
      <w:pPr>
        <w:pStyle w:val="FirstParagraph"/>
      </w:pPr>
      <w:r>
        <w:rPr>
          <w:iCs/>
          <w:i/>
        </w:rPr>
        <w:t xml:space="preserve">Proceed to Chapter 19: Financial Services Playbook.</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2026-06-12T10:03:16Z</dcterms:created>
  <dcterms:modified xsi:type="dcterms:W3CDTF">2026-06-12T10:03:16Z</dcterms:modified>
</cp:coreProperties>
</file>

<file path=docProps/custom.xml><?xml version="1.0" encoding="utf-8"?>
<Properties xmlns="http://schemas.openxmlformats.org/officeDocument/2006/custom-properties" xmlns:vt="http://schemas.openxmlformats.org/officeDocument/2006/docPropsVTypes"/>
</file>