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00175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8"/>
          <w:szCs w:val="28"/>
        </w:rPr>
        <w:t xml:space="preserve">INDUVALLAS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8"/>
          <w:szCs w:val="28"/>
        </w:rPr>
        <w:t xml:space="preserve">Guía rápida de la versión DEMO · kam. Comisiones IA</w:t>
      </w:r>
    </w:p>
    <w:p>
      <w:pPr>
        <w:pBdr>
          <w:bottom w:val="single" w:color="F652A0" w:sz="12" w:space="4"/>
        </w:pBd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D6D7F"/>
          <w:sz w:val="24"/>
          <w:szCs w:val="24"/>
        </w:rPr>
        <w:t xml:space="preserve">Herramienta de cálculo, liquidación y auditoría de comisiones de ventas · V.1.3 · 14 de septiembre de 2026</w:t>
      </w:r>
    </w:p>
    <w:p>
      <w:pPr>
        <w:spacing w:after="120" w:before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Esta guía describe, en una lectura de cinco minutos, cómo funciona la versión de demostración de la herramienta y qué recorrido seguir para entender cada regla de comisiones. Todos los datos son ficticios: los nombres de vendedores, clientes y agencias no corresponden a personas ni empresas reales.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1. Qué es y cómo se abre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Un solo archivo.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ComisionesIA_Induvallas_V.1.3.html. Se abre con doble clic en Chrome o Edge. No necesita instalación, servidor ni conexión a internet: ninguna información sale del navegador.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Rol de trabajo.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Al abrir se elige un rol. Finanzas carga datos, edita parámetros, registra ajustes y valida. Gerencia Financiera además aprueba, bloquea el mes y genera el rol. Consulta solo lee. El rol se cambia con el botón «Cambiar rol» de la cabecera.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Datos ya cargados.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Por ser versión DEMO, al abrir sin datos la herramienta carga sola el dataset ficticio del ejercicio (enero a septiembre 2026) y lo anuncia con un aviso y una entrada en la bitácora. No hace falta importar 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Fecha de referencia.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 demo fija el cálculo al 14 de septiembre de 2026, con agosto 2026 como mes a cerrar y septiembre en curso. Enero a julio ya están aprobados y bloqueados.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2. Qué aparece al abrir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Guía paso a paso.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Un recorrido de cuatro páginas explica qué hace la herramienta, las siete pestañas, cómo leer una comisión y por dónde empezar. Se reabre con el botón «Guía paso a paso» o la tecla «?».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Barra de pasos del cierre.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Encima del contenido, cinco pasos: Cargar datos → Revisar parámetros → Revisar cálculo y alertas → Validar y aprobar → Generar y exportar el rol. Marca lo hecho, indica el paso actual con su instrucción y el botón «Ir» lleva a la pestaña correcta.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Tarjeta «Cómo usar».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Cada pestaña empieza con su propósito y pasos numerados. Se pliega y recuerda su estado.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Guion de la demostración.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 el Panel ejecutivo, seis pasos preparados con botón «Ver» que abre la pantalla correspondiente con agosto 2026 seleccionado.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3. Recorrido sugerido en diez minutos (guion de la demostración)</w:t>
      </w:r>
    </w:p>
    <w:tbl>
      <w:tblPr>
        <w:tblW w:type="dxa" w:w="9355"/>
        <w:tblBorders>
          <w:top w:val="single" w:color="B8BAC5" w:sz="4"/>
          <w:left w:val="single" w:color="B8BAC5" w:sz="4"/>
          <w:bottom w:val="single" w:color="B8BAC5" w:sz="4"/>
          <w:right w:val="single" w:color="B8BAC5" w:sz="4"/>
          <w:insideH w:val="single" w:color="B8BAC5" w:sz="4"/>
          <w:insideV w:val="single" w:color="B8BAC5" w:sz="4"/>
        </w:tblBorders>
      </w:tblPr>
      <w:tblGrid>
        <w:gridCol w:w="2438"/>
        <w:gridCol w:w="3742"/>
        <w:gridCol w:w="2211"/>
        <w:gridCol w:w="964"/>
      </w:tblGrid>
      <w:tr>
        <w:trPr>
          <w:tblHeader/>
        </w:trPr>
        <w:tc>
          <w:tcPr>
            <w:tcW w:type="dxa" w:w="2438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742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2211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Dónde mirar</w:t>
            </w:r>
          </w:p>
        </w:tc>
        <w:tc>
          <w:tcPr>
            <w:tcW w:type="dxa" w:w="964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 Carolina Mera supera el tope</w:t>
            </w:r>
          </w:p>
        </w:tc>
        <w:tc>
          <w:tcPr>
            <w:tcW w:type="dxa" w:w="37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Cumplimiento de 240 %, bono mix y dos bonos por cliente nuevo; el neto supera el tope de USD 1.500 y el excedente queda visible como pendiente.</w:t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Motor de cálculo, línea L9 y alerta A-05</w:t>
            </w:r>
          </w:p>
        </w:tc>
        <w:tc>
          <w:tcPr>
            <w:tcW w:type="dxa" w:w="9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R-02, R-05</w:t>
            </w:r>
          </w:p>
        </w:tc>
      </w:tr>
      <w:tr>
        <w:trPr>
          <w:cantSplit/>
        </w:trPr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2. Diego Cárdenas con saldo negativo</w:t>
            </w:r>
          </w:p>
        </w:tc>
        <w:tc>
          <w:tcPr>
            <w:tcW w:type="dxa" w:w="374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 64 % de cumplimiento no devenga comisión; una nota de crédito anula parte de una factura de julio ya pagada y el clawback supera lo liberado: el saldo pasa a septiembre.</w:t>
            </w:r>
          </w:p>
        </w:tc>
        <w:tc>
          <w:tcPr>
            <w:tcW w:type="dxa" w:w="22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Líneas L2, L7 y L9; alertas A-01, A-06 y A-11</w:t>
            </w:r>
          </w:p>
        </w:tc>
        <w:tc>
          <w:tcPr>
            <w:tcW w:type="dxa" w:w="96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R-01, R-03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3. Sebastián Andrade: caducidades y cartera en riesgo</w:t>
            </w:r>
          </w:p>
        </w:tc>
        <w:tc>
          <w:tcPr>
            <w:tcW w:type="dxa" w:w="37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Tres facturas caducaron en agosto y otras están a pocos días de caducar. Es el caso para presionar la cobranza.</w:t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Política de cobranza, cartera ordenada por días restantes; alertas A-03 y A-04</w:t>
            </w:r>
          </w:p>
        </w:tc>
        <w:tc>
          <w:tcPr>
            <w:tcW w:type="dxa" w:w="9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R-04</w:t>
            </w:r>
          </w:p>
        </w:tc>
      </w:tr>
      <w:tr>
        <w:trPr>
          <w:cantSplit/>
        </w:trPr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4. Juan Pablo Ortiz a medio punto del Acelerador</w:t>
            </w:r>
          </w:p>
        </w:tc>
        <w:tc>
          <w:tcPr>
            <w:tcW w:type="dxa" w:w="374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Cumplimiento de 99,5 %: le faltaron USD 250 de base para cambiar de tramo.</w:t>
            </w:r>
          </w:p>
        </w:tc>
        <w:tc>
          <w:tcPr>
            <w:tcW w:type="dxa" w:w="22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Gauge, línea L2 y alerta A-07</w:t>
            </w:r>
          </w:p>
        </w:tc>
        <w:tc>
          <w:tcPr>
            <w:tcW w:type="dxa" w:w="96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R-01</w:t>
            </w:r>
          </w:p>
        </w:tc>
      </w:tr>
      <w:tr>
        <w:trPr>
          <w:cantSplit/>
        </w:trPr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5. María Fernanda Salazar con clawback</w:t>
            </w:r>
          </w:p>
        </w:tc>
        <w:tc>
          <w:tcPr>
            <w:tcW w:type="dxa" w:w="37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Una factura de julio cobrada y pagada recibe en agosto una nota de crédito de USD 2.200; la comisión pagada sobre el valor anulado se descuenta en agosto.</w:t>
            </w:r>
          </w:p>
        </w:tc>
        <w:tc>
          <w:tcPr>
            <w:tcW w:type="dxa" w:w="22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Línea L7 y alerta A-06</w:t>
            </w:r>
          </w:p>
        </w:tc>
        <w:tc>
          <w:tcPr>
            <w:tcW w:type="dxa" w:w="9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</w:t>
            </w:r>
          </w:p>
        </w:tc>
      </w:tr>
      <w:tr>
        <w:trPr>
          <w:cantSplit/>
        </w:trPr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6. Contraste con el Excel anterior</w:t>
            </w:r>
          </w:p>
        </w:tc>
        <w:tc>
          <w:tcPr>
            <w:tcW w:type="dxa" w:w="3742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 rol histórico ficticio de enero a agosto se compara con la herramienta: 60 cifras coinciden al centavo y 4 difieren por causas conocidas, cada una explicada con botón «Ver».</w:t>
            </w:r>
          </w:p>
        </w:tc>
        <w:tc>
          <w:tcPr>
            <w:tcW w:type="dxa" w:w="22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Liquidación y auditoría, tarjeta «Contraste con la liquidación histórica»</w:t>
            </w:r>
          </w:p>
        </w:tc>
        <w:tc>
          <w:tcPr>
            <w:tcW w:type="dxa" w:w="964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R-03, R-04, R-06</w:t>
            </w:r>
          </w:p>
        </w:tc>
      </w:tr>
    </w:tbl>
    <w:p>
      <w:pPr>
        <w:spacing w:after="120" w:before="10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Las cuatro diferencias del contraste: pago duplicado de USD 100,00 en junio (Valeria Espinoza); nota de crédito no descontada, USD 20,57 (María Fernanda Salazar); error de digitación de USD 25,50 (Andrés Villacís); y pago del devengado íntegro sin retener por cobranza, USD 153,04 (Sebastián Andrade).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4. Cierre del mes dentro de la demo (barra de pasos)</w:t>
      </w:r>
    </w:p>
    <w:tbl>
      <w:tblPr>
        <w:tblW w:type="dxa" w:w="9355"/>
        <w:tblBorders>
          <w:top w:val="single" w:color="B8BAC5" w:sz="4"/>
          <w:left w:val="single" w:color="B8BAC5" w:sz="4"/>
          <w:bottom w:val="single" w:color="B8BAC5" w:sz="4"/>
          <w:right w:val="single" w:color="B8BAC5" w:sz="4"/>
          <w:insideH w:val="single" w:color="B8BAC5" w:sz="4"/>
          <w:insideV w:val="single" w:color="B8BAC5" w:sz="4"/>
        </w:tblBorders>
      </w:tblPr>
      <w:tblGrid>
        <w:gridCol w:w="2041"/>
        <w:gridCol w:w="5613"/>
        <w:gridCol w:w="1701"/>
      </w:tblGrid>
      <w:tr>
        <w:trPr>
          <w:tblHeader/>
        </w:trPr>
        <w:tc>
          <w:tcPr>
            <w:tcW w:type="dxa" w:w="2041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613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hacer en la demo</w:t>
            </w:r>
          </w:p>
        </w:tc>
        <w:tc>
          <w:tcPr>
            <w:tcW w:type="dxa" w:w="1701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1. Cargar datos</w:t>
            </w:r>
          </w:p>
        </w:tc>
        <w:tc>
          <w:tcPr>
            <w:tcW w:type="dxa" w:w="5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Ya está hecho: los datos ficticios se cargan al abrir. Con datos reales se importa la plantilla Excel desde la pestaña Datos.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Finanzas</w:t>
            </w:r>
          </w:p>
        </w:tc>
      </w:tr>
      <w:tr>
        <w:trPr>
          <w:cantSplit/>
        </w:trPr>
        <w:tc>
          <w:tcPr>
            <w:tcW w:type="dxa" w:w="204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2. Revisar parámetros</w:t>
            </w:r>
          </w:p>
        </w:tc>
        <w:tc>
          <w:tcPr>
            <w:tcW w:type="dxa" w:w="5613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Abrir Tabla de determinación (matriz de porcentajes por tramo, línea y canal; bonos; tope) y Política de cobranza (tramos de días, caducidad, transición). Ver «Vista previa del impacto» antes de guardar una versión.</w:t>
            </w:r>
          </w:p>
        </w:tc>
        <w:tc>
          <w:tcPr>
            <w:tcW w:type="dxa" w:w="170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Finanzas</w:t>
            </w:r>
          </w:p>
        </w:tc>
      </w:tr>
      <w:tr>
        <w:trPr>
          <w:cantSplit/>
        </w:trPr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3. Revisar cálculo y alertas</w:t>
            </w:r>
          </w:p>
        </w:tc>
        <w:tc>
          <w:tcPr>
            <w:tcW w:type="dxa" w:w="5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Panel ejecutivo: veredicto, ranking y alertas. Motor de cálculo: ledger de nueve líneas por vendedor, explicación en lenguaje natural y simulador «¿qué pasa si…?».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Finanzas</w:t>
            </w:r>
          </w:p>
        </w:tc>
      </w:tr>
      <w:tr>
        <w:trPr>
          <w:cantSplit/>
        </w:trPr>
        <w:tc>
          <w:tcPr>
            <w:tcW w:type="dxa" w:w="204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4. Validar y aprobar</w:t>
            </w:r>
          </w:p>
        </w:tc>
        <w:tc>
          <w:tcPr>
            <w:tcW w:type="dxa" w:w="5613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Liquidación y auditoría: revisar el rol, registrar ajustes con motivo, comprobar los controles del cierre, «Validar todos los vendedores»; luego, con el rol Gerencia Financiera, «Aprobar y bloquear el período».</w:t>
            </w:r>
          </w:p>
        </w:tc>
        <w:tc>
          <w:tcPr>
            <w:tcW w:type="dxa" w:w="170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Finanzas · Gerencia Financiera</w:t>
            </w:r>
          </w:p>
        </w:tc>
      </w:tr>
      <w:tr>
        <w:trPr>
          <w:cantSplit/>
        </w:trPr>
        <w:tc>
          <w:tcPr>
            <w:tcW w:type="dxa" w:w="204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5. Generar y exportar el rol</w:t>
            </w:r>
          </w:p>
        </w:tc>
        <w:tc>
          <w:tcPr>
            <w:tcW w:type="dxa" w:w="561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 el período aprobado, «Generar rol» y «Exportar Excel (rol y detalle)» o «Imprimir rol». La bitácora registra cada acción con usuario y fecha.</w:t>
            </w:r>
          </w:p>
        </w:tc>
        <w:tc>
          <w:tcPr>
            <w:tcW w:type="dxa" w:w="17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Gerencia Financiera</w:t>
            </w:r>
          </w:p>
        </w:tc>
      </w:tr>
    </w:tbl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5. Ficha de los datos ficticios</w:t>
      </w:r>
    </w:p>
    <w:tbl>
      <w:tblPr>
        <w:tblW w:type="dxa" w:w="9356"/>
        <w:tblBorders>
          <w:top w:val="single" w:color="B8BAC5" w:sz="4"/>
          <w:left w:val="single" w:color="B8BAC5" w:sz="4"/>
          <w:bottom w:val="single" w:color="B8BAC5" w:sz="4"/>
          <w:right w:val="single" w:color="B8BAC5" w:sz="4"/>
          <w:insideH w:val="single" w:color="B8BAC5" w:sz="4"/>
          <w:insideV w:val="single" w:color="B8BAC5" w:sz="4"/>
        </w:tblBorders>
      </w:tblPr>
      <w:tblGrid>
        <w:gridCol w:w="2835"/>
        <w:gridCol w:w="6521"/>
      </w:tblGrid>
      <w:tr>
        <w:trPr>
          <w:tblHeader/>
        </w:trPr>
        <w:tc>
          <w:tcPr>
            <w:tcW w:type="dxa" w:w="2835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21"/>
            <w:shd w:fill="4C5270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en la demo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Vendedores · clientes · agencias</w:t>
            </w:r>
          </w:p>
        </w:tc>
        <w:tc>
          <w:tcPr>
            <w:tcW w:type="dxa" w:w="6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· 32 · 12</w:t>
            </w:r>
          </w:p>
        </w:tc>
      </w:tr>
      <w:tr>
        <w:trPr>
          <w:cantSplit/>
        </w:trPr>
        <w:tc>
          <w:tcPr>
            <w:tcW w:type="dxa" w:w="28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Facturas · cobros · notas de crédito</w:t>
            </w:r>
          </w:p>
        </w:tc>
        <w:tc>
          <w:tcPr>
            <w:tcW w:type="dxa" w:w="652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459 · 418 · 12 (enero a septiembre 2026)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Períodos</w:t>
            </w:r>
          </w:p>
        </w:tc>
        <w:tc>
          <w:tcPr>
            <w:tcW w:type="dxa" w:w="6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Enero a julio aprobados y bloqueados; agosto abierto (mes a cerrar); septiembre en curso</w:t>
            </w:r>
          </w:p>
        </w:tc>
      </w:tr>
      <w:tr>
        <w:trPr>
          <w:cantSplit/>
        </w:trPr>
        <w:tc>
          <w:tcPr>
            <w:tcW w:type="dxa" w:w="28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Matriz de comisión (R-01)</w:t>
            </w:r>
          </w:p>
        </w:tc>
        <w:tc>
          <w:tcPr>
            <w:tcW w:type="dxa" w:w="652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Entre 0,50 % y 2,00 % según tramo, línea y canal. Tramos: Sin comisión (&lt; 70 %), Base reducida (70 a 90 %, ×0,5), Base (90 a 100 %, ×1), Acelerador (100 a 115 %, ×1,1), Sobrecumplimiento (≥ 115 %, ×1,25)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Bonos (R-02) y tope (R-05)</w:t>
            </w:r>
          </w:p>
        </w:tc>
        <w:tc>
          <w:tcPr>
            <w:tcW w:type="dxa" w:w="6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Bono mix: Retail Media ≥ 20 % de la base ⇒ +10 % del devengado. Bono cliente nuevo: USD 150, máximo 5. Tope: USD 1.500 por vendedor y mes</w:t>
            </w:r>
          </w:p>
        </w:tc>
      </w:tr>
      <w:tr>
        <w:trPr>
          <w:cantSplit/>
        </w:trPr>
        <w:tc>
          <w:tcPr>
            <w:tcW w:type="dxa" w:w="28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Políticas de cobranza (R-04)</w:t>
            </w:r>
          </w:p>
        </w:tc>
        <w:tc>
          <w:tcPr>
            <w:tcW w:type="dxa" w:w="652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v1.0 (2025): liberación al emitir. v2.0 (desde 01-ene-2026): liberación al cobro, 100 % hasta 60 días, 80 % hasta 90, 50 % hasta 120, caduca después; transición por emisión</w:t>
            </w:r>
          </w:p>
        </w:tc>
      </w:tr>
      <w:tr>
        <w:trPr>
          <w:cantSplit/>
        </w:trPr>
        <w:tc>
          <w:tcPr>
            <w:tcW w:type="dxa" w:w="28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Agosto 2026 (totales)</w:t>
            </w:r>
          </w:p>
        </w:tc>
        <w:tc>
          <w:tcPr>
            <w:tcW w:type="dxa" w:w="652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 comisionable USD 395.829,32 · devengado USD 4.783,89 · bonos USD 524,49 · liberado USD 4.671,19 · retenido USD 8.090,44 · caducado USD 481,42 · clawback USD 343,97 · liquidable USD 3.297,91</w:t>
            </w:r>
          </w:p>
        </w:tc>
      </w:tr>
      <w:tr>
        <w:trPr>
          <w:cantSplit/>
        </w:trPr>
        <w:tc>
          <w:tcPr>
            <w:tcW w:type="dxa" w:w="283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Alertas de agosto</w:t>
            </w:r>
          </w:p>
        </w:tc>
        <w:tc>
          <w:tcPr>
            <w:tcW w:type="dxa" w:w="652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 alertas del motor de control, 5 de ellas críticas (A-04 caducidad inminente y A-11 saldo negativo)</w:t>
            </w:r>
          </w:p>
        </w:tc>
      </w:tr>
    </w:tbl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6. Ayuda dentro de la herramienta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Glosario.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Botón «Glosario» en la cabecera. Los términos subrayados con puntos en cualquier pantalla muestran su definición al pasar el ratón y abren el glosario con un clic.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Asistente.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Pestaña Asistente: preguntas en lenguaje natural sobre el período seleccionado («¿por qué Carolina cobra menos de lo devengado?», «cartera vencida de Sebastián»). Cada respuesta cita la regla y trae un botón «Ver en la herramienta».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Explicación del cálculo.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 Motor de cálculo, el texto de la derecha narra la comisión del vendedor con las reglas citadas; sirve para responder al vendedor.</w:t>
      </w:r>
    </w:p>
    <w:p>
      <w:pPr>
        <w:keepNext/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F652A0"/>
          <w:sz w:val="24"/>
          <w:szCs w:val="24"/>
        </w:rPr>
        <w:t xml:space="preserve">► </w:t>
      </w: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4"/>
          <w:szCs w:val="24"/>
        </w:rPr>
        <w:t xml:space="preserve">7. Reiniciar la demo o pasar a datos reales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Volver a empezar.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Pestaña Datos → «Cargar datos de demostración» reemplaza lo que haya por el dataset ficticio original.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Cargar un mes real.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Pestaña Datos → «Borrar todos los datos» (escribir BORRAR) → «Descargar plantilla», completarla e «Importar archivo…». Tras un borrado deliberado la demo ya no se recarga sola. La versión para uso real se entregará sin autocarga de datos ficticios.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Respaldo.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Los datos viven solo en el navegador del equipo. «Exportar respaldo JSON» antes de cambiar de equipo o de navegador.</w:t>
      </w:r>
    </w:p>
    <w:p>
      <w:pPr>
        <w:spacing w:after="200" w:befor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D6D7F"/>
          <w:sz w:val="20"/>
          <w:szCs w:val="20"/>
        </w:rPr>
        <w:t xml:space="preserve">Atentamente,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4C5270"/>
          <w:sz w:val="20"/>
          <w:szCs w:val="20"/>
        </w:rPr>
        <w:t xml:space="preserve">Pablo POVEDA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D6D7F"/>
          <w:sz w:val="20"/>
          <w:szCs w:val="20"/>
        </w:rPr>
        <w:t xml:space="preserve">CEO | Director Ejecutivo</w:t>
      </w:r>
    </w:p>
    <w:p>
      <w:pPr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D6D7F"/>
          <w:sz w:val="20"/>
          <w:szCs w:val="20"/>
        </w:rPr>
        <w:t xml:space="preserve">kam-Analytica S.A.S.</w:t>
      </w:r>
    </w:p>
    <w:sectPr>
      <w:headerReference w:type="default" r:id="rId7"/>
      <w:footerReference w:type="default" r:id="rId8"/>
      <w:pgSz w:w="11906" w:h="16838" w:orient="portrait"/>
      <w:pgMar w:top="1247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56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6D6D7F"/>
        <w:sz w:val="18"/>
        <w:szCs w:val="18"/>
      </w:rPr>
      <w:t xml:space="preserve">kam-Analytica S.A.S. · RUC 1793220761001 · Confidencial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6D6D7F"/>
        <w:sz w:val="18"/>
        <w:szCs w:val="18"/>
      </w:rPr>
      <w:t xml:space="preserve">Página </w:t>
    </w:r>
    <w:r>
      <w:rPr>
        <w:rFonts w:ascii="Calibri" w:cs="Calibri" w:eastAsia="Calibri" w:hAnsi="Calibri"/>
        <w:color w:val="6D6D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 w:val="false"/>
        <w:bCs w:val="false"/>
        <w:i/>
        <w:iCs/>
        <w:color w:val="6D6D7F"/>
        <w:sz w:val="18"/>
        <w:szCs w:val="18"/>
      </w:rPr>
      <w:t xml:space="preserve">Documento de uso exclusivo de INDUVALLAS · Datos ficticios · versión de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94dc9b7d48d2f7a6ff54ffca8c5707c8d4666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la versión DEMO · kam. Comisiones IA · INDUVALLAS · V.1.3</dc:title>
  <dc:creator>kam. Analytica</dc:creator>
  <cp:lastModifiedBy>Un-named</cp:lastModifiedBy>
  <cp:revision>1</cp:revision>
  <dcterms:created xsi:type="dcterms:W3CDTF">2026-09-14T21:23:20.403Z</dcterms:created>
  <dcterms:modified xsi:type="dcterms:W3CDTF">2026-09-14T21:23:20.403Z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