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0"/>
        <w:jc w:val="both"/>
      </w:pPr>
      <w:r>
        <w:rPr>
          <w:sz w:val="24"/>
        </w:rPr>
        <w:t xml:space="preserve">Документ </w:t>
      </w:r>
      <w:hyperlink w:history="0" r:id="rId2" w:tooltip="&quot;ГОСТ Р 56093-2014. Национальный стандарт Российской Федерации. Защита информации. Автоматизированные системы в защищенном исполнении. Средства обнаружения преднамеренных силовых электромагнитных воздействий. Общие требования&quot; (утв. и введен в действие Приказом Росстандарта от 09.09.2014 N 1027-ст) {КонсультантПлюс}">
        <w:r>
          <w:rPr>
            <w:sz w:val="24"/>
            <w:color w:val="0000ff"/>
          </w:rPr>
          <w:t xml:space="preserve">введен</w:t>
        </w:r>
      </w:hyperlink>
      <w:r>
        <w:rPr>
          <w:sz w:val="24"/>
        </w:rPr>
        <w:t xml:space="preserve"> в действие с 1 июля 2015 года.</w:t>
      </w:r>
    </w:p>
    <w:p>
      <w:pPr>
        <w:pStyle w:val="0"/>
      </w:pPr>
      <w:hyperlink w:history="0" r:id="rId3" w:tooltip="&quot;ГОСТ Р 56093-2014. Национальный стандарт Российской Федерации. Защита информации. Автоматизированные системы в защищенном исполнении. Средства обнаружения преднамеренных силовых электромагнитных воздействий. Общие требования&quot; (утв. и введен в действие Приказом Росстандарта от 09.09.2014 N 1027-ст) {КонсультантПлюс}">
        <w:r>
          <w:rPr>
            <w:sz w:val="24"/>
            <w:color w:val="0000ff"/>
            <w:i w:val="on"/>
          </w:rPr>
          <w:br/>
          <w:t xml:space="preserve">"ГОСТ Р 56093-2014. Национальный стандарт Российской Федерации. Защита информации. Автоматизированные системы в защищенном исполнении. Средства обнаружения преднамеренных силовых электромагнитных воздействий. Общие требования" (утв. и введен в действие Приказом Росстандарта от 09.09.2014 N 1027-ст) {КонсультантПлюс}</w:t>
        </w:r>
      </w:hyperlink>
      <w:r>
        <w:rPr>
          <w:sz w:val="24"/>
        </w:rPr>
        <w:br/>
      </w:r>
    </w:p>
    <w:sectPr>
      <w:pgSz w:w="11906" w:h="16838"/>
      <w:pgMar w:top="1440" w:right="566" w:bottom="1440" w:left="1133" w:header="0" w:footer="0" w:gutter="0"/>
      <w:titlePg/>
    </w:sectPr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4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hyperlink" Target="https://login.consultant.ru/link/?req=doc&amp;base=OTN&amp;n=7802&amp;date=02.07.2025&amp;dst=100009&amp;field=134" TargetMode = "External"/>
	<Relationship Id="rId3" Type="http://schemas.openxmlformats.org/officeDocument/2006/relationships/hyperlink" Target="https://login.consultant.ru/link/?req=doc&amp;base=OTN&amp;n=7802&amp;date=02.07.2025&amp;dst=1&amp;field=3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4024.00.50</Application>
  <Company>КонсультантПлюс Версия 4024.00.50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"ГОСТ Р 56093-2014. Национальный стандарт Российской Федерации. Защита информации. Автоматизированные системы в защищенном исполнении. Средства обнаружения преднамеренных силовых электромагнитных воздействий. Общие требования"
(утв. и введен в действие Приказом Росстандарта от 09.09.2014 N 1027-ст)</dc:title>
  <dcterms:created xsi:type="dcterms:W3CDTF">2025-07-02T18:44:56Z</dcterms:created>
</cp:coreProperties>
</file>