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</w:pPr>
      <w:r>
        <w:rPr>
          <w:sz w:val="24"/>
          <w:b w:val="on"/>
        </w:rPr>
        <w:t xml:space="preserve">Источник публикации</w:t>
      </w:r>
    </w:p>
    <w:p>
      <w:pPr>
        <w:pStyle w:val="0"/>
        <w:jc w:val="both"/>
      </w:pPr>
      <w:r>
        <w:rPr>
          <w:sz w:val="24"/>
        </w:rPr>
        <w:t xml:space="preserve">М.: ФГБУ "Институт стандартизации", 2022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Примечание к документу</w:t>
      </w:r>
    </w:p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59712-2022. Национальный стандарт Российской Федерации. Защита информации. Управление компьютерными инцидентами. Руководство по реагированию на компьютерные инциденты&quot; (утв. и введен в действие Приказом Росстандарта от 29.11.2022 N 1378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01.02.2023.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Название документа</w:t>
      </w:r>
    </w:p>
    <w:p>
      <w:pPr>
        <w:pStyle w:val="0"/>
        <w:jc w:val="both"/>
      </w:pPr>
      <w:r>
        <w:rPr>
          <w:sz w:val="24"/>
        </w:rPr>
        <w:t xml:space="preserve">"ГОСТ Р 59712-2022. Национальный стандарт Российской Федерации. Защита информации. Управление компьютерными инцидентами. Руководство по реагированию на компьютерные инциденты"</w:t>
      </w:r>
    </w:p>
    <w:p>
      <w:pPr>
        <w:pStyle w:val="0"/>
        <w:jc w:val="both"/>
      </w:pPr>
      <w:r>
        <w:rPr>
          <w:sz w:val="24"/>
        </w:rPr>
        <w:t xml:space="preserve">(утв. и введен в действие Приказом Росстандарта от 29.11.2022 N 1378-ст)</w:t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34752&amp;date=03.07.2025&amp;dst=100009&amp;field=134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59712-2022. Национальный стандарт Российской Федерации. Защита информации. Управление компьютерными инцидентами. Руководство по реагированию на компьютерные инциденты"
(утв. и введен в действие Приказом Росстандарта от 29.11.2022 N 1378-ст)</dc:title>
  <dcterms:created xsi:type="dcterms:W3CDTF">2025-07-03T13:22:14Z</dcterms:created>
</cp:coreProperties>
</file>