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6838"/>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5638" w:hRule="exact"/>
        </w:trPr>
        <w:tc>
          <w:tcPr>
            <w:tcW w:type="dxa" w:w="16838"/>
            <w:tcBorders>
              <w:top w:val="single" w:color="D4AF37" w:sz="8"/>
              <w:left w:val="single" w:color="D4AF37" w:sz="8"/>
              <w:bottom w:val="single" w:color="D4AF37" w:sz="8"/>
              <w:right w:val="single" w:color="D4AF37" w:sz="8"/>
            </w:tcBorders>
            <w:tcMar>
              <w:top w:type="dxa" w:w="1440"/>
              <w:left w:type="dxa" w:w="2160"/>
              <w:bottom w:type="dxa" w:w="1440"/>
              <w:right w:type="dxa" w:w="2160"/>
            </w:tcMar>
            <w:vAlign w:val="center"/>
          </w:tcPr>
          <w:p>
            <w:pPr>
              <w:spacing w:after="200"/>
            </w:pPr>
            <w:r>
              <w:rPr>
                <w:rFonts w:ascii="Calibri"/>
                <w:b/>
                <w:bCs/>
                <w:color w:val="D4AF37"/>
                <w:sz w:val="72"/>
                <w:szCs w:val="72"/>
              </w:rPr>
              <w:t xml:space="preserve">VIXOR V2</w:t>
            </w:r>
          </w:p>
          <w:p>
            <w:pPr>
              <w:spacing w:after="100"/>
            </w:pPr>
            <w:r>
              <w:rPr>
                <w:rFonts w:ascii="Calibri"/>
                <w:b/>
                <w:bCs/>
                <w:color w:val="0F2027"/>
                <w:sz w:val="48"/>
                <w:szCs w:val="48"/>
              </w:rPr>
              <w:t xml:space="preserve">ARCHITECTURE DECISION FREEZE</w:t>
            </w:r>
          </w:p>
          <w:p>
            <w:pPr>
              <w:spacing w:after="60"/>
            </w:pPr>
            <w:r>
              <w:rPr>
                <w:rFonts w:ascii="Calibri"/>
                <w:color w:val="4A6575"/>
                <w:sz w:val="28"/>
                <w:szCs w:val="28"/>
              </w:rPr>
              <w:t xml:space="preserve">Phase 1 — Implementation Blueprint</w:t>
            </w:r>
          </w:p>
          <w:p>
            <w:pPr>
              <w:spacing w:after="0" w:before="200"/>
            </w:pPr>
          </w:p>
          <w:p>
            <w:pPr>
              <w:spacing w:after="0" w:before="0"/>
            </w:pPr>
          </w:p>
          <w:p>
            <w:pPr>
              <w:spacing w:after="0" w:before="200"/>
            </w:pPr>
          </w:p>
          <w:p>
            <w:pPr>
              <w:spacing w:after="60"/>
            </w:pPr>
            <w:r>
              <w:rPr>
                <w:rFonts w:ascii="Calibri"/>
                <w:color w:val="4A6575"/>
                <w:sz w:val="20"/>
                <w:szCs w:val="20"/>
              </w:rPr>
              <w:t xml:space="preserve">Commit: 32bbf147 | Branch: main</w:t>
            </w:r>
          </w:p>
          <w:p>
            <w:pPr>
              <w:spacing w:after="60"/>
            </w:pPr>
            <w:r>
              <w:rPr>
                <w:rFonts w:ascii="Calibri"/>
                <w:color w:val="4A6575"/>
                <w:sz w:val="20"/>
                <w:szCs w:val="20"/>
              </w:rPr>
              <w:t xml:space="preserve">Baseline: VIXOR_REALITY_BASELINE (Phase 0)</w:t>
            </w:r>
          </w:p>
          <w:p>
            <w:pPr>
              <w:spacing w:after="60"/>
            </w:pPr>
            <w:r>
              <w:rPr>
                <w:rFonts w:ascii="Calibri"/>
                <w:color w:val="4A6575"/>
                <w:sz w:val="20"/>
                <w:szCs w:val="20"/>
              </w:rPr>
              <w:t xml:space="preserve">Classification: CONFIDENTIAL</w:t>
            </w:r>
          </w:p>
          <w:p>
            <w:r>
              <w:rPr>
                <w:rFonts w:ascii="Calibri"/>
                <w:color w:val="4A6575"/>
                <w:sz w:val="20"/>
                <w:szCs w:val="20"/>
              </w:rPr>
              <w:t xml:space="preserve">2026-08-10</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b/>
          <w:bCs/>
          <w:color w:val="0F2027"/>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Decision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What This Document Decides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Current Reality Summary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Repository State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Critical Findings from Phase 0</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Architecture Principles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Capability-First Principle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Server Authority Principle</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3.3 Reality Baseline Wins Principle</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3.4 Minimum Powerful Stack Principle</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3.5 Two-Vertical Separation Principle</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3.6 No Regressions Principle</w:t>
            </w:r>
            <w:r>
              <w:tab/>
            </w:r>
            <w:r>
              <w:fldChar w:fldCharType="begin"/>
            </w:r>
            <w:r>
              <w:instrText xml:space="preserve"> PAGEREF _Toc100011 \h </w:instrText>
            </w:r>
            <w:r>
              <w:fldChar w:fldCharType="separate"/>
            </w:r>
            <w:r>
              <w:t>4</w:t>
            </w:r>
            <w:r>
              <w:fldChar w:fldCharType="end"/>
            </w:r>
          </w:hyperlink>
        </w:p>
        <w:p>
          <w:pPr>
            <w:pStyle w:val="9"/>
            <w:tabs>
              <w:tab w:val="right" w:leader="dot" w:pos="9026"/>
            </w:tabs>
            <w:spacing w:before="120" w:after="60"/>
          </w:pPr>
          <w:hyperlink w:anchor="_Toc100012" w:history="1">
            <w:r>
              <w:rPr>
                <w:rStyle w:val="Hyperlink"/>
              </w:rPr>
              <w:t>4. Product Definition</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4.1 What VIXOR IS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4.2 What VIXOR is NOT</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4.3 Product Loop</w:t>
            </w:r>
            <w:r>
              <w:tab/>
            </w:r>
            <w:r>
              <w:fldChar w:fldCharType="begin"/>
            </w:r>
            <w:r>
              <w:instrText xml:space="preserve"> PAGEREF _Toc100015 \h </w:instrText>
            </w:r>
            <w:r>
              <w:fldChar w:fldCharType="separate"/>
            </w:r>
            <w:r>
              <w:t>5</w:t>
            </w:r>
            <w:r>
              <w:fldChar w:fldCharType="end"/>
            </w:r>
          </w:hyperlink>
        </w:p>
        <w:p>
          <w:pPr>
            <w:pStyle w:val="9"/>
            <w:tabs>
              <w:tab w:val="right" w:leader="dot" w:pos="9026"/>
            </w:tabs>
            <w:spacing w:before="120" w:after="60"/>
          </w:pPr>
          <w:hyperlink w:anchor="_Toc100016" w:history="1">
            <w:r>
              <w:rPr>
                <w:rStyle w:val="Hyperlink"/>
              </w:rPr>
              <w:t>5. Two-Vertical Boundary</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5.1 ON-CHAIN Vertical</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5.2 MARKETS Vertical</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5.3 Shared Platform Layer</w:t>
            </w:r>
            <w:r>
              <w:tab/>
            </w:r>
            <w:r>
              <w:fldChar w:fldCharType="begin"/>
            </w:r>
            <w:r>
              <w:instrText xml:space="preserve"> PAGEREF _Toc100019 \h </w:instrText>
            </w:r>
            <w:r>
              <w:fldChar w:fldCharType="separate"/>
            </w:r>
            <w:r>
              <w:t>6</w:t>
            </w:r>
            <w:r>
              <w:fldChar w:fldCharType="end"/>
            </w:r>
          </w:hyperlink>
        </w:p>
        <w:p>
          <w:pPr>
            <w:pStyle w:val="9"/>
            <w:tabs>
              <w:tab w:val="right" w:leader="dot" w:pos="9026"/>
            </w:tabs>
            <w:spacing w:before="120" w:after="60"/>
          </w:pPr>
          <w:hyperlink w:anchor="_Toc100020" w:history="1">
            <w:r>
              <w:rPr>
                <w:rStyle w:val="Hyperlink"/>
              </w:rPr>
              <w:t>6. Capability Map</w:t>
            </w:r>
            <w:r>
              <w:tab/>
            </w:r>
            <w:r>
              <w:fldChar w:fldCharType="begin"/>
            </w:r>
            <w:r>
              <w:instrText xml:space="preserve"> PAGEREF _Toc100020 \h </w:instrText>
            </w:r>
            <w:r>
              <w:fldChar w:fldCharType="separate"/>
            </w:r>
            <w:r>
              <w:t>6</w:t>
            </w:r>
            <w:r>
              <w:fldChar w:fldCharType="end"/>
            </w:r>
          </w:hyperlink>
        </w:p>
        <w:p>
          <w:pPr>
            <w:pStyle w:val="9"/>
            <w:tabs>
              <w:tab w:val="right" w:leader="dot" w:pos="9026"/>
            </w:tabs>
            <w:spacing w:before="120" w:after="60"/>
          </w:pPr>
          <w:hyperlink w:anchor="_Toc100021" w:history="1">
            <w:r>
              <w:rPr>
                <w:rStyle w:val="Hyperlink"/>
              </w:rPr>
              <w:t>7. OSS Master Decision Matrix</w:t>
            </w:r>
            <w:r>
              <w:tab/>
            </w:r>
            <w:r>
              <w:fldChar w:fldCharType="begin"/>
            </w:r>
            <w:r>
              <w:instrText xml:space="preserve"> PAGEREF _Toc100021 \h </w:instrText>
            </w:r>
            <w:r>
              <w:fldChar w:fldCharType="separate"/>
            </w:r>
            <w:r>
              <w:t>7</w:t>
            </w:r>
            <w:r>
              <w:fldChar w:fldCharType="end"/>
            </w:r>
          </w:hyperlink>
        </w:p>
        <w:p>
          <w:pPr>
            <w:pStyle w:val="9"/>
            <w:tabs>
              <w:tab w:val="right" w:leader="dot" w:pos="9026"/>
            </w:tabs>
            <w:spacing w:before="120" w:after="60"/>
          </w:pPr>
          <w:hyperlink w:anchor="_Toc100022" w:history="1">
            <w:r>
              <w:rPr>
                <w:rStyle w:val="Hyperlink"/>
              </w:rPr>
              <w:t>8. License Matrix</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8.1 License Risk Assessment</w:t>
            </w:r>
            <w:r>
              <w:tab/>
            </w:r>
            <w:r>
              <w:fldChar w:fldCharType="begin"/>
            </w:r>
            <w:r>
              <w:instrText xml:space="preserve"> PAGEREF _Toc100023 \h </w:instrText>
            </w:r>
            <w:r>
              <w:fldChar w:fldCharType="separate"/>
            </w:r>
            <w:r>
              <w:t>7</w:t>
            </w:r>
            <w:r>
              <w:fldChar w:fldCharType="end"/>
            </w:r>
          </w:hyperlink>
        </w:p>
        <w:p>
          <w:pPr>
            <w:pStyle w:val="9"/>
            <w:tabs>
              <w:tab w:val="right" w:leader="dot" w:pos="9026"/>
            </w:tabs>
            <w:spacing w:before="120" w:after="60"/>
          </w:pPr>
          <w:hyperlink w:anchor="_Toc100024" w:history="1">
            <w:r>
              <w:rPr>
                <w:rStyle w:val="Hyperlink"/>
              </w:rPr>
              <w:t>9. Data Architecture</w:t>
            </w:r>
            <w:r>
              <w:tab/>
            </w:r>
            <w:r>
              <w:fldChar w:fldCharType="begin"/>
            </w:r>
            <w:r>
              <w:instrText xml:space="preserve"> PAGEREF _Toc100024 \h </w:instrText>
            </w:r>
            <w:r>
              <w:fldChar w:fldCharType="separate"/>
            </w:r>
            <w:r>
              <w:t>7</w:t>
            </w:r>
            <w:r>
              <w:fldChar w:fldCharType="end"/>
            </w:r>
          </w:hyperlink>
        </w:p>
        <w:p>
          <w:pPr>
            <w:pStyle w:val="11"/>
            <w:ind w:left="360"/>
            <w:tabs>
              <w:tab w:val="right" w:leader="dot" w:pos="9026"/>
            </w:tabs>
            <w:spacing w:before="120" w:after="60"/>
          </w:pPr>
          <w:hyperlink w:anchor="_Toc100025" w:history="1">
            <w:r>
              <w:rPr>
                <w:rStyle w:val="Hyperlink"/>
              </w:rPr>
              <w:t>9.1 Target Data Pipeline</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9.2 Critical Pipeline Breaks</w:t>
            </w:r>
            <w:r>
              <w:tab/>
            </w:r>
            <w:r>
              <w:fldChar w:fldCharType="begin"/>
            </w:r>
            <w:r>
              <w:instrText xml:space="preserve"> PAGEREF _Toc100026 \h </w:instrText>
            </w:r>
            <w:r>
              <w:fldChar w:fldCharType="separate"/>
            </w:r>
            <w:r>
              <w:t>8</w:t>
            </w:r>
            <w:r>
              <w:fldChar w:fldCharType="end"/>
            </w:r>
          </w:hyperlink>
        </w:p>
        <w:p>
          <w:pPr>
            <w:pStyle w:val="9"/>
            <w:tabs>
              <w:tab w:val="right" w:leader="dot" w:pos="9026"/>
            </w:tabs>
            <w:spacing w:before="120" w:after="60"/>
          </w:pPr>
          <w:hyperlink w:anchor="_Toc100027" w:history="1">
            <w:r>
              <w:rPr>
                <w:rStyle w:val="Hyperlink"/>
              </w:rPr>
              <w:t>10. Canonical Data Models</w:t>
            </w:r>
            <w:r>
              <w:tab/>
            </w:r>
            <w:r>
              <w:fldChar w:fldCharType="begin"/>
            </w:r>
            <w:r>
              <w:instrText xml:space="preserve"> PAGEREF _Toc100027 \h </w:instrText>
            </w:r>
            <w:r>
              <w:fldChar w:fldCharType="separate"/>
            </w:r>
            <w:r>
              <w:t>8</w:t>
            </w:r>
            <w:r>
              <w:fldChar w:fldCharType="end"/>
            </w:r>
          </w:hyperlink>
        </w:p>
        <w:p>
          <w:pPr>
            <w:pStyle w:val="11"/>
            <w:ind w:left="360"/>
            <w:tabs>
              <w:tab w:val="right" w:leader="dot" w:pos="9026"/>
            </w:tabs>
            <w:spacing w:before="120" w:after="60"/>
          </w:pPr>
          <w:hyperlink w:anchor="_Toc100028" w:history="1">
            <w:r>
              <w:rPr>
                <w:rStyle w:val="Hyperlink"/>
              </w:rPr>
              <w:t>10.1 Market Data Layer Models</w:t>
            </w:r>
            <w:r>
              <w:tab/>
            </w:r>
            <w:r>
              <w:fldChar w:fldCharType="begin"/>
            </w:r>
            <w:r>
              <w:instrText xml:space="preserve"> PAGEREF _Toc100028 \h </w:instrText>
            </w:r>
            <w:r>
              <w:fldChar w:fldCharType="separate"/>
            </w:r>
            <w:r>
              <w:t>8</w:t>
            </w:r>
            <w:r>
              <w:fldChar w:fldCharType="end"/>
            </w:r>
          </w:hyperlink>
        </w:p>
        <w:p>
          <w:pPr>
            <w:pStyle w:val="12"/>
            <w:ind w:left="720"/>
            <w:tabs>
              <w:tab w:val="right" w:leader="dot" w:pos="9026"/>
            </w:tabs>
            <w:spacing w:before="120" w:after="60"/>
          </w:pPr>
          <w:hyperlink w:anchor="_Toc100029" w:history="1">
            <w:r>
              <w:rPr>
                <w:rStyle w:val="Hyperlink"/>
              </w:rPr>
              <w:t>Asset</w:t>
            </w:r>
            <w:r>
              <w:tab/>
            </w:r>
            <w:r>
              <w:fldChar w:fldCharType="begin"/>
            </w:r>
            <w:r>
              <w:instrText xml:space="preserve"> PAGEREF _Toc100029 \h </w:instrText>
            </w:r>
            <w:r>
              <w:fldChar w:fldCharType="separate"/>
            </w:r>
            <w:r>
              <w:t>8</w:t>
            </w:r>
            <w:r>
              <w:fldChar w:fldCharType="end"/>
            </w:r>
          </w:hyperlink>
        </w:p>
        <w:p>
          <w:pPr>
            <w:pStyle w:val="12"/>
            <w:ind w:left="720"/>
            <w:tabs>
              <w:tab w:val="right" w:leader="dot" w:pos="9026"/>
            </w:tabs>
            <w:spacing w:before="120" w:after="60"/>
          </w:pPr>
          <w:hyperlink w:anchor="_Toc100030" w:history="1">
            <w:r>
              <w:rPr>
                <w:rStyle w:val="Hyperlink"/>
              </w:rPr>
              <w:t>Pair</w:t>
            </w:r>
            <w:r>
              <w:tab/>
            </w:r>
            <w:r>
              <w:fldChar w:fldCharType="begin"/>
            </w:r>
            <w:r>
              <w:instrText xml:space="preserve"> PAGEREF _Toc100030 \h </w:instrText>
            </w:r>
            <w:r>
              <w:fldChar w:fldCharType="separate"/>
            </w:r>
            <w:r>
              <w:t>9</w:t>
            </w:r>
            <w:r>
              <w:fldChar w:fldCharType="end"/>
            </w:r>
          </w:hyperlink>
        </w:p>
        <w:p>
          <w:pPr>
            <w:pStyle w:val="12"/>
            <w:ind w:left="720"/>
            <w:tabs>
              <w:tab w:val="right" w:leader="dot" w:pos="9026"/>
            </w:tabs>
            <w:spacing w:before="120" w:after="60"/>
          </w:pPr>
          <w:hyperlink w:anchor="_Toc100031" w:history="1">
            <w:r>
              <w:rPr>
                <w:rStyle w:val="Hyperlink"/>
              </w:rPr>
              <w:t>Candle</w:t>
            </w:r>
            <w:r>
              <w:tab/>
            </w:r>
            <w:r>
              <w:fldChar w:fldCharType="begin"/>
            </w:r>
            <w:r>
              <w:instrText xml:space="preserve"> PAGEREF _Toc100031 \h </w:instrText>
            </w:r>
            <w:r>
              <w:fldChar w:fldCharType="separate"/>
            </w:r>
            <w:r>
              <w:t>9</w:t>
            </w:r>
            <w:r>
              <w:fldChar w:fldCharType="end"/>
            </w:r>
          </w:hyperlink>
        </w:p>
        <w:p>
          <w:pPr>
            <w:pStyle w:val="12"/>
            <w:ind w:left="720"/>
            <w:tabs>
              <w:tab w:val="right" w:leader="dot" w:pos="9026"/>
            </w:tabs>
            <w:spacing w:before="120" w:after="60"/>
          </w:pPr>
          <w:hyperlink w:anchor="_Toc100032" w:history="1">
            <w:r>
              <w:rPr>
                <w:rStyle w:val="Hyperlink"/>
              </w:rPr>
              <w:t>Ticker</w:t>
            </w:r>
            <w:r>
              <w:tab/>
            </w:r>
            <w:r>
              <w:fldChar w:fldCharType="begin"/>
            </w:r>
            <w:r>
              <w:instrText xml:space="preserve"> PAGEREF _Toc100032 \h </w:instrText>
            </w:r>
            <w:r>
              <w:fldChar w:fldCharType="separate"/>
            </w:r>
            <w:r>
              <w:t>9</w:t>
            </w:r>
            <w:r>
              <w:fldChar w:fldCharType="end"/>
            </w:r>
          </w:hyperlink>
        </w:p>
        <w:p>
          <w:pPr>
            <w:pStyle w:val="11"/>
            <w:ind w:left="360"/>
            <w:tabs>
              <w:tab w:val="right" w:leader="dot" w:pos="9026"/>
            </w:tabs>
            <w:spacing w:before="120" w:after="60"/>
          </w:pPr>
          <w:hyperlink w:anchor="_Toc100033" w:history="1">
            <w:r>
              <w:rPr>
                <w:rStyle w:val="Hyperlink"/>
              </w:rPr>
              <w:t>10.2 Signal and Tracking Models</w:t>
            </w:r>
            <w:r>
              <w:tab/>
            </w:r>
            <w:r>
              <w:fldChar w:fldCharType="begin"/>
            </w:r>
            <w:r>
              <w:instrText xml:space="preserve"> PAGEREF _Toc100033 \h </w:instrText>
            </w:r>
            <w:r>
              <w:fldChar w:fldCharType="separate"/>
            </w:r>
            <w:r>
              <w:t>9</w:t>
            </w:r>
            <w:r>
              <w:fldChar w:fldCharType="end"/>
            </w:r>
          </w:hyperlink>
        </w:p>
        <w:p>
          <w:pPr>
            <w:pStyle w:val="12"/>
            <w:ind w:left="720"/>
            <w:tabs>
              <w:tab w:val="right" w:leader="dot" w:pos="9026"/>
            </w:tabs>
            <w:spacing w:before="120" w:after="60"/>
          </w:pPr>
          <w:hyperlink w:anchor="_Toc100034" w:history="1">
            <w:r>
              <w:rPr>
                <w:rStyle w:val="Hyperlink"/>
              </w:rPr>
              <w:t>Signal</w:t>
            </w:r>
            <w:r>
              <w:tab/>
            </w:r>
            <w:r>
              <w:fldChar w:fldCharType="begin"/>
            </w:r>
            <w:r>
              <w:instrText xml:space="preserve"> PAGEREF _Toc100034 \h </w:instrText>
            </w:r>
            <w:r>
              <w:fldChar w:fldCharType="separate"/>
            </w:r>
            <w:r>
              <w:t>10</w:t>
            </w:r>
            <w:r>
              <w:fldChar w:fldCharType="end"/>
            </w:r>
          </w:hyperlink>
        </w:p>
        <w:p>
          <w:pPr>
            <w:pStyle w:val="12"/>
            <w:ind w:left="720"/>
            <w:tabs>
              <w:tab w:val="right" w:leader="dot" w:pos="9026"/>
            </w:tabs>
            <w:spacing w:before="120" w:after="60"/>
          </w:pPr>
          <w:hyperlink w:anchor="_Toc100035" w:history="1">
            <w:r>
              <w:rPr>
                <w:rStyle w:val="Hyperlink"/>
              </w:rPr>
              <w:t>SignalTransition</w:t>
            </w:r>
            <w:r>
              <w:tab/>
            </w:r>
            <w:r>
              <w:fldChar w:fldCharType="begin"/>
            </w:r>
            <w:r>
              <w:instrText xml:space="preserve"> PAGEREF _Toc100035 \h </w:instrText>
            </w:r>
            <w:r>
              <w:fldChar w:fldCharType="separate"/>
            </w:r>
            <w:r>
              <w:t>10</w:t>
            </w:r>
            <w:r>
              <w:fldChar w:fldCharType="end"/>
            </w:r>
          </w:hyperlink>
        </w:p>
        <w:p>
          <w:pPr>
            <w:pStyle w:val="12"/>
            <w:ind w:left="720"/>
            <w:tabs>
              <w:tab w:val="right" w:leader="dot" w:pos="9026"/>
            </w:tabs>
            <w:spacing w:before="120" w:after="60"/>
          </w:pPr>
          <w:hyperlink w:anchor="_Toc100036" w:history="1">
            <w:r>
              <w:rPr>
                <w:rStyle w:val="Hyperlink"/>
              </w:rPr>
              <w:t>Trade</w:t>
            </w:r>
            <w:r>
              <w:tab/>
            </w:r>
            <w:r>
              <w:fldChar w:fldCharType="begin"/>
            </w:r>
            <w:r>
              <w:instrText xml:space="preserve"> PAGEREF _Toc100036 \h </w:instrText>
            </w:r>
            <w:r>
              <w:fldChar w:fldCharType="separate"/>
            </w:r>
            <w:r>
              <w:t>10</w:t>
            </w:r>
            <w:r>
              <w:fldChar w:fldCharType="end"/>
            </w:r>
          </w:hyperlink>
        </w:p>
        <w:p>
          <w:pPr>
            <w:pStyle w:val="11"/>
            <w:ind w:left="360"/>
            <w:tabs>
              <w:tab w:val="right" w:leader="dot" w:pos="9026"/>
            </w:tabs>
            <w:spacing w:before="120" w:after="60"/>
          </w:pPr>
          <w:hyperlink w:anchor="_Toc100037" w:history="1">
            <w:r>
              <w:rPr>
                <w:rStyle w:val="Hyperlink"/>
              </w:rPr>
              <w:t>10.3 Intelligence Layer Models</w:t>
            </w:r>
            <w:r>
              <w:tab/>
            </w:r>
            <w:r>
              <w:fldChar w:fldCharType="begin"/>
            </w:r>
            <w:r>
              <w:instrText xml:space="preserve"> PAGEREF _Toc100037 \h </w:instrText>
            </w:r>
            <w:r>
              <w:fldChar w:fldCharType="separate"/>
            </w:r>
            <w:r>
              <w:t>10</w:t>
            </w:r>
            <w:r>
              <w:fldChar w:fldCharType="end"/>
            </w:r>
          </w:hyperlink>
        </w:p>
        <w:p>
          <w:pPr>
            <w:pStyle w:val="12"/>
            <w:ind w:left="720"/>
            <w:tabs>
              <w:tab w:val="right" w:leader="dot" w:pos="9026"/>
            </w:tabs>
            <w:spacing w:before="120" w:after="60"/>
          </w:pPr>
          <w:hyperlink w:anchor="_Toc100038" w:history="1">
            <w:r>
              <w:rPr>
                <w:rStyle w:val="Hyperlink"/>
              </w:rPr>
              <w:t>Analysis</w:t>
            </w:r>
            <w:r>
              <w:tab/>
            </w:r>
            <w:r>
              <w:fldChar w:fldCharType="begin"/>
            </w:r>
            <w:r>
              <w:instrText xml:space="preserve"> PAGEREF _Toc100038 \h </w:instrText>
            </w:r>
            <w:r>
              <w:fldChar w:fldCharType="separate"/>
            </w:r>
            <w:r>
              <w:t>10</w:t>
            </w:r>
            <w:r>
              <w:fldChar w:fldCharType="end"/>
            </w:r>
          </w:hyperlink>
        </w:p>
        <w:p>
          <w:pPr>
            <w:pStyle w:val="12"/>
            <w:ind w:left="720"/>
            <w:tabs>
              <w:tab w:val="right" w:leader="dot" w:pos="9026"/>
            </w:tabs>
            <w:spacing w:before="120" w:after="60"/>
          </w:pPr>
          <w:hyperlink w:anchor="_Toc100039" w:history="1">
            <w:r>
              <w:rPr>
                <w:rStyle w:val="Hyperlink"/>
              </w:rPr>
              <w:t>Opportunity</w:t>
            </w:r>
            <w:r>
              <w:tab/>
            </w:r>
            <w:r>
              <w:fldChar w:fldCharType="begin"/>
            </w:r>
            <w:r>
              <w:instrText xml:space="preserve"> PAGEREF _Toc100039 \h </w:instrText>
            </w:r>
            <w:r>
              <w:fldChar w:fldCharType="separate"/>
            </w:r>
            <w:r>
              <w:t>11</w:t>
            </w:r>
            <w:r>
              <w:fldChar w:fldCharType="end"/>
            </w:r>
          </w:hyperlink>
        </w:p>
        <w:p>
          <w:pPr>
            <w:pStyle w:val="12"/>
            <w:ind w:left="720"/>
            <w:tabs>
              <w:tab w:val="right" w:leader="dot" w:pos="9026"/>
            </w:tabs>
            <w:spacing w:before="120" w:after="60"/>
          </w:pPr>
          <w:hyperlink w:anchor="_Toc100040" w:history="1">
            <w:r>
              <w:rPr>
                <w:rStyle w:val="Hyperlink"/>
              </w:rPr>
              <w:t>MOXIContext</w:t>
            </w:r>
            <w:r>
              <w:tab/>
            </w:r>
            <w:r>
              <w:fldChar w:fldCharType="begin"/>
            </w:r>
            <w:r>
              <w:instrText xml:space="preserve"> PAGEREF _Toc100040 \h </w:instrText>
            </w:r>
            <w:r>
              <w:fldChar w:fldCharType="separate"/>
            </w:r>
            <w:r>
              <w:t>11</w:t>
            </w:r>
            <w:r>
              <w:fldChar w:fldCharType="end"/>
            </w:r>
          </w:hyperlink>
        </w:p>
        <w:p>
          <w:pPr>
            <w:pStyle w:val="11"/>
            <w:ind w:left="360"/>
            <w:tabs>
              <w:tab w:val="right" w:leader="dot" w:pos="9026"/>
            </w:tabs>
            <w:spacing w:before="120" w:after="60"/>
          </w:pPr>
          <w:hyperlink w:anchor="_Toc100041" w:history="1">
            <w:r>
              <w:rPr>
                <w:rStyle w:val="Hyperlink"/>
              </w:rPr>
              <w:t>10.4 User and Platform Models</w:t>
            </w:r>
            <w:r>
              <w:tab/>
            </w:r>
            <w:r>
              <w:fldChar w:fldCharType="begin"/>
            </w:r>
            <w:r>
              <w:instrText xml:space="preserve"> PAGEREF _Toc100041 \h </w:instrText>
            </w:r>
            <w:r>
              <w:fldChar w:fldCharType="separate"/>
            </w:r>
            <w:r>
              <w:t>11</w:t>
            </w:r>
            <w:r>
              <w:fldChar w:fldCharType="end"/>
            </w:r>
          </w:hyperlink>
        </w:p>
        <w:p>
          <w:pPr>
            <w:pStyle w:val="12"/>
            <w:ind w:left="720"/>
            <w:tabs>
              <w:tab w:val="right" w:leader="dot" w:pos="9026"/>
            </w:tabs>
            <w:spacing w:before="120" w:after="60"/>
          </w:pPr>
          <w:hyperlink w:anchor="_Toc100042" w:history="1">
            <w:r>
              <w:rPr>
                <w:rStyle w:val="Hyperlink"/>
              </w:rPr>
              <w:t>Portfolio</w:t>
            </w:r>
            <w:r>
              <w:tab/>
            </w:r>
            <w:r>
              <w:fldChar w:fldCharType="begin"/>
            </w:r>
            <w:r>
              <w:instrText xml:space="preserve"> PAGEREF _Toc100042 \h </w:instrText>
            </w:r>
            <w:r>
              <w:fldChar w:fldCharType="separate"/>
            </w:r>
            <w:r>
              <w:t>11</w:t>
            </w:r>
            <w:r>
              <w:fldChar w:fldCharType="end"/>
            </w:r>
          </w:hyperlink>
        </w:p>
        <w:p>
          <w:pPr>
            <w:pStyle w:val="12"/>
            <w:ind w:left="720"/>
            <w:tabs>
              <w:tab w:val="right" w:leader="dot" w:pos="9026"/>
            </w:tabs>
            <w:spacing w:before="120" w:after="60"/>
          </w:pPr>
          <w:hyperlink w:anchor="_Toc100043" w:history="1">
            <w:r>
              <w:rPr>
                <w:rStyle w:val="Hyperlink"/>
              </w:rPr>
              <w:t>JournalEntry</w:t>
            </w:r>
            <w:r>
              <w:tab/>
            </w:r>
            <w:r>
              <w:fldChar w:fldCharType="begin"/>
            </w:r>
            <w:r>
              <w:instrText xml:space="preserve"> PAGEREF _Toc100043 \h </w:instrText>
            </w:r>
            <w:r>
              <w:fldChar w:fldCharType="separate"/>
            </w:r>
            <w:r>
              <w:t>12</w:t>
            </w:r>
            <w:r>
              <w:fldChar w:fldCharType="end"/>
            </w:r>
          </w:hyperlink>
        </w:p>
        <w:p>
          <w:pPr>
            <w:pStyle w:val="12"/>
            <w:ind w:left="720"/>
            <w:tabs>
              <w:tab w:val="right" w:leader="dot" w:pos="9026"/>
            </w:tabs>
            <w:spacing w:before="120" w:after="60"/>
          </w:pPr>
          <w:hyperlink w:anchor="_Toc100044" w:history="1">
            <w:r>
              <w:rPr>
                <w:rStyle w:val="Hyperlink"/>
              </w:rPr>
              <w:t>DomainEvent</w:t>
            </w:r>
            <w:r>
              <w:tab/>
            </w:r>
            <w:r>
              <w:fldChar w:fldCharType="begin"/>
            </w:r>
            <w:r>
              <w:instrText xml:space="preserve"> PAGEREF _Toc100044 \h </w:instrText>
            </w:r>
            <w:r>
              <w:fldChar w:fldCharType="separate"/>
            </w:r>
            <w:r>
              <w:t>12</w:t>
            </w:r>
            <w:r>
              <w:fldChar w:fldCharType="end"/>
            </w:r>
          </w:hyperlink>
        </w:p>
        <w:p>
          <w:pPr>
            <w:pStyle w:val="12"/>
            <w:ind w:left="720"/>
            <w:tabs>
              <w:tab w:val="right" w:leader="dot" w:pos="9026"/>
            </w:tabs>
            <w:spacing w:before="120" w:after="60"/>
          </w:pPr>
          <w:hyperlink w:anchor="_Toc100045" w:history="1">
            <w:r>
              <w:rPr>
                <w:rStyle w:val="Hyperlink"/>
              </w:rPr>
              <w:t>Notification</w:t>
            </w:r>
            <w:r>
              <w:tab/>
            </w:r>
            <w:r>
              <w:fldChar w:fldCharType="begin"/>
            </w:r>
            <w:r>
              <w:instrText xml:space="preserve"> PAGEREF _Toc100045 \h </w:instrText>
            </w:r>
            <w:r>
              <w:fldChar w:fldCharType="separate"/>
            </w:r>
            <w:r>
              <w:t>12</w:t>
            </w:r>
            <w:r>
              <w:fldChar w:fldCharType="end"/>
            </w:r>
          </w:hyperlink>
        </w:p>
        <w:p>
          <w:pPr>
            <w:pStyle w:val="9"/>
            <w:tabs>
              <w:tab w:val="right" w:leader="dot" w:pos="9026"/>
            </w:tabs>
            <w:spacing w:before="120" w:after="60"/>
          </w:pPr>
          <w:hyperlink w:anchor="_Toc100046" w:history="1">
            <w:r>
              <w:rPr>
                <w:rStyle w:val="Hyperlink"/>
              </w:rPr>
              <w:t>11. Provider Architecture</w:t>
            </w:r>
            <w:r>
              <w:tab/>
            </w:r>
            <w:r>
              <w:fldChar w:fldCharType="begin"/>
            </w:r>
            <w:r>
              <w:instrText xml:space="preserve"> PAGEREF _Toc100046 \h </w:instrText>
            </w:r>
            <w:r>
              <w:fldChar w:fldCharType="separate"/>
            </w:r>
            <w:r>
              <w:t>12</w:t>
            </w:r>
            <w:r>
              <w:fldChar w:fldCharType="end"/>
            </w:r>
          </w:hyperlink>
        </w:p>
        <w:p>
          <w:pPr>
            <w:pStyle w:val="11"/>
            <w:ind w:left="360"/>
            <w:tabs>
              <w:tab w:val="right" w:leader="dot" w:pos="9026"/>
            </w:tabs>
            <w:spacing w:before="120" w:after="60"/>
          </w:pPr>
          <w:hyperlink w:anchor="_Toc100047" w:history="1">
            <w:r>
              <w:rPr>
                <w:rStyle w:val="Hyperlink"/>
              </w:rPr>
              <w:t>11.1 Current Provider Inventory</w:t>
            </w:r>
            <w:r>
              <w:tab/>
            </w:r>
            <w:r>
              <w:fldChar w:fldCharType="begin"/>
            </w:r>
            <w:r>
              <w:instrText xml:space="preserve"> PAGEREF _Toc100047 \h </w:instrText>
            </w:r>
            <w:r>
              <w:fldChar w:fldCharType="separate"/>
            </w:r>
            <w:r>
              <w:t>13</w:t>
            </w:r>
            <w:r>
              <w:fldChar w:fldCharType="end"/>
            </w:r>
          </w:hyperlink>
        </w:p>
        <w:p>
          <w:pPr>
            <w:pStyle w:val="11"/>
            <w:ind w:left="360"/>
            <w:tabs>
              <w:tab w:val="right" w:leader="dot" w:pos="9026"/>
            </w:tabs>
            <w:spacing w:before="120" w:after="60"/>
          </w:pPr>
          <w:hyperlink w:anchor="_Toc100048" w:history="1">
            <w:r>
              <w:rPr>
                <w:rStyle w:val="Hyperlink"/>
              </w:rPr>
              <w:t>11.2 Normalization Contract</w:t>
            </w:r>
            <w:r>
              <w:tab/>
            </w:r>
            <w:r>
              <w:fldChar w:fldCharType="begin"/>
            </w:r>
            <w:r>
              <w:instrText xml:space="preserve"> PAGEREF _Toc100048 \h </w:instrText>
            </w:r>
            <w:r>
              <w:fldChar w:fldCharType="separate"/>
            </w:r>
            <w:r>
              <w:t>13</w:t>
            </w:r>
            <w:r>
              <w:fldChar w:fldCharType="end"/>
            </w:r>
          </w:hyperlink>
        </w:p>
        <w:p>
          <w:pPr>
            <w:pStyle w:val="11"/>
            <w:ind w:left="360"/>
            <w:tabs>
              <w:tab w:val="right" w:leader="dot" w:pos="9026"/>
            </w:tabs>
            <w:spacing w:before="120" w:after="60"/>
          </w:pPr>
          <w:hyperlink w:anchor="_Toc100049" w:history="1">
            <w:r>
              <w:rPr>
                <w:rStyle w:val="Hyperlink"/>
              </w:rPr>
              <w:t>11.3 Provider Failure Strategy</w:t>
            </w:r>
            <w:r>
              <w:tab/>
            </w:r>
            <w:r>
              <w:fldChar w:fldCharType="begin"/>
            </w:r>
            <w:r>
              <w:instrText xml:space="preserve"> PAGEREF _Toc100049 \h </w:instrText>
            </w:r>
            <w:r>
              <w:fldChar w:fldCharType="separate"/>
            </w:r>
            <w:r>
              <w:t>13</w:t>
            </w:r>
            <w:r>
              <w:fldChar w:fldCharType="end"/>
            </w:r>
          </w:hyperlink>
        </w:p>
        <w:p>
          <w:pPr>
            <w:pStyle w:val="9"/>
            <w:tabs>
              <w:tab w:val="right" w:leader="dot" w:pos="9026"/>
            </w:tabs>
            <w:spacing w:before="120" w:after="60"/>
          </w:pPr>
          <w:hyperlink w:anchor="_Toc100050" w:history="1">
            <w:r>
              <w:rPr>
                <w:rStyle w:val="Hyperlink"/>
              </w:rPr>
              <w:t>12. Intelligence Architecture</w:t>
            </w:r>
            <w:r>
              <w:tab/>
            </w:r>
            <w:r>
              <w:fldChar w:fldCharType="begin"/>
            </w:r>
            <w:r>
              <w:instrText xml:space="preserve"> PAGEREF _Toc100050 \h </w:instrText>
            </w:r>
            <w:r>
              <w:fldChar w:fldCharType="separate"/>
            </w:r>
            <w:r>
              <w:t>13</w:t>
            </w:r>
            <w:r>
              <w:fldChar w:fldCharType="end"/>
            </w:r>
          </w:hyperlink>
        </w:p>
        <w:p>
          <w:pPr>
            <w:pStyle w:val="11"/>
            <w:ind w:left="360"/>
            <w:tabs>
              <w:tab w:val="right" w:leader="dot" w:pos="9026"/>
            </w:tabs>
            <w:spacing w:before="120" w:after="60"/>
          </w:pPr>
          <w:hyperlink w:anchor="_Toc100051" w:history="1">
            <w:r>
              <w:rPr>
                <w:rStyle w:val="Hyperlink"/>
              </w:rPr>
              <w:t>12.1 Engine Inventory</w:t>
            </w:r>
            <w:r>
              <w:tab/>
            </w:r>
            <w:r>
              <w:fldChar w:fldCharType="begin"/>
            </w:r>
            <w:r>
              <w:instrText xml:space="preserve"> PAGEREF _Toc100051 \h </w:instrText>
            </w:r>
            <w:r>
              <w:fldChar w:fldCharType="separate"/>
            </w:r>
            <w:r>
              <w:t>13</w:t>
            </w:r>
            <w:r>
              <w:fldChar w:fldCharType="end"/>
            </w:r>
          </w:hyperlink>
        </w:p>
        <w:p>
          <w:pPr>
            <w:pStyle w:val="11"/>
            <w:ind w:left="360"/>
            <w:tabs>
              <w:tab w:val="right" w:leader="dot" w:pos="9026"/>
            </w:tabs>
            <w:spacing w:before="120" w:after="60"/>
          </w:pPr>
          <w:hyperlink w:anchor="_Toc100052" w:history="1">
            <w:r>
              <w:rPr>
                <w:rStyle w:val="Hyperlink"/>
              </w:rPr>
              <w:t>12.2 Opportunity Ranking Engine (NEW)</w:t>
            </w:r>
            <w:r>
              <w:tab/>
            </w:r>
            <w:r>
              <w:fldChar w:fldCharType="begin"/>
            </w:r>
            <w:r>
              <w:instrText xml:space="preserve"> PAGEREF _Toc100052 \h </w:instrText>
            </w:r>
            <w:r>
              <w:fldChar w:fldCharType="separate"/>
            </w:r>
            <w:r>
              <w:t>14</w:t>
            </w:r>
            <w:r>
              <w:fldChar w:fldCharType="end"/>
            </w:r>
          </w:hyperlink>
        </w:p>
        <w:p>
          <w:pPr>
            <w:pStyle w:val="9"/>
            <w:tabs>
              <w:tab w:val="right" w:leader="dot" w:pos="9026"/>
            </w:tabs>
            <w:spacing w:before="120" w:after="60"/>
          </w:pPr>
          <w:hyperlink w:anchor="_Toc100053" w:history="1">
            <w:r>
              <w:rPr>
                <w:rStyle w:val="Hyperlink"/>
              </w:rPr>
              <w:t>13. Signal Architecture</w:t>
            </w:r>
            <w:r>
              <w:tab/>
            </w:r>
            <w:r>
              <w:fldChar w:fldCharType="begin"/>
            </w:r>
            <w:r>
              <w:instrText xml:space="preserve"> PAGEREF _Toc100053 \h </w:instrText>
            </w:r>
            <w:r>
              <w:fldChar w:fldCharType="separate"/>
            </w:r>
            <w:r>
              <w:t>14</w:t>
            </w:r>
            <w:r>
              <w:fldChar w:fldCharType="end"/>
            </w:r>
          </w:hyperlink>
        </w:p>
        <w:p>
          <w:pPr>
            <w:pStyle w:val="11"/>
            <w:ind w:left="360"/>
            <w:tabs>
              <w:tab w:val="right" w:leader="dot" w:pos="9026"/>
            </w:tabs>
            <w:spacing w:before="120" w:after="60"/>
          </w:pPr>
          <w:hyperlink w:anchor="_Toc100054" w:history="1">
            <w:r>
              <w:rPr>
                <w:rStyle w:val="Hyperlink"/>
              </w:rPr>
              <w:t>13.1 Current State vs Target State</w:t>
            </w:r>
            <w:r>
              <w:tab/>
            </w:r>
            <w:r>
              <w:fldChar w:fldCharType="begin"/>
            </w:r>
            <w:r>
              <w:instrText xml:space="preserve"> PAGEREF _Toc100054 \h </w:instrText>
            </w:r>
            <w:r>
              <w:fldChar w:fldCharType="separate"/>
            </w:r>
            <w:r>
              <w:t>14</w:t>
            </w:r>
            <w:r>
              <w:fldChar w:fldCharType="end"/>
            </w:r>
          </w:hyperlink>
        </w:p>
        <w:p>
          <w:pPr>
            <w:pStyle w:val="11"/>
            <w:ind w:left="360"/>
            <w:tabs>
              <w:tab w:val="right" w:leader="dot" w:pos="9026"/>
            </w:tabs>
            <w:spacing w:before="120" w:after="60"/>
          </w:pPr>
          <w:hyperlink w:anchor="_Toc100055" w:history="1">
            <w:r>
              <w:rPr>
                <w:rStyle w:val="Hyperlink"/>
              </w:rPr>
              <w:t>13.2 Signal Lifecycle State Machine</w:t>
            </w:r>
            <w:r>
              <w:tab/>
            </w:r>
            <w:r>
              <w:fldChar w:fldCharType="begin"/>
            </w:r>
            <w:r>
              <w:instrText xml:space="preserve"> PAGEREF _Toc100055 \h </w:instrText>
            </w:r>
            <w:r>
              <w:fldChar w:fldCharType="separate"/>
            </w:r>
            <w:r>
              <w:t>14</w:t>
            </w:r>
            <w:r>
              <w:fldChar w:fldCharType="end"/>
            </w:r>
          </w:hyperlink>
        </w:p>
        <w:p>
          <w:pPr>
            <w:pStyle w:val="11"/>
            <w:ind w:left="360"/>
            <w:tabs>
              <w:tab w:val="right" w:leader="dot" w:pos="9026"/>
            </w:tabs>
            <w:spacing w:before="120" w:after="60"/>
          </w:pPr>
          <w:hyperlink w:anchor="_Toc100056" w:history="1">
            <w:r>
              <w:rPr>
                <w:rStyle w:val="Hyperlink"/>
              </w:rPr>
              <w:t>13.3 Server Authority Protocol</w:t>
            </w:r>
            <w:r>
              <w:tab/>
            </w:r>
            <w:r>
              <w:fldChar w:fldCharType="begin"/>
            </w:r>
            <w:r>
              <w:instrText xml:space="preserve"> PAGEREF _Toc100056 \h </w:instrText>
            </w:r>
            <w:r>
              <w:fldChar w:fldCharType="separate"/>
            </w:r>
            <w:r>
              <w:t>15</w:t>
            </w:r>
            <w:r>
              <w:fldChar w:fldCharType="end"/>
            </w:r>
          </w:hyperlink>
        </w:p>
        <w:p>
          <w:pPr>
            <w:pStyle w:val="11"/>
            <w:ind w:left="360"/>
            <w:tabs>
              <w:tab w:val="right" w:leader="dot" w:pos="9026"/>
            </w:tabs>
            <w:spacing w:before="120" w:after="60"/>
          </w:pPr>
          <w:hyperlink w:anchor="_Toc100057" w:history="1">
            <w:r>
              <w:rPr>
                <w:rStyle w:val="Hyperlink"/>
              </w:rPr>
              <w:t>13.4 Concurrency and Idempotency</w:t>
            </w:r>
            <w:r>
              <w:tab/>
            </w:r>
            <w:r>
              <w:fldChar w:fldCharType="begin"/>
            </w:r>
            <w:r>
              <w:instrText xml:space="preserve"> PAGEREF _Toc100057 \h </w:instrText>
            </w:r>
            <w:r>
              <w:fldChar w:fldCharType="separate"/>
            </w:r>
            <w:r>
              <w:t>15</w:t>
            </w:r>
            <w:r>
              <w:fldChar w:fldCharType="end"/>
            </w:r>
          </w:hyperlink>
        </w:p>
        <w:p>
          <w:pPr>
            <w:pStyle w:val="11"/>
            <w:ind w:left="360"/>
            <w:tabs>
              <w:tab w:val="right" w:leader="dot" w:pos="9026"/>
            </w:tabs>
            <w:spacing w:before="120" w:after="60"/>
          </w:pPr>
          <w:hyperlink w:anchor="_Toc100058" w:history="1">
            <w:r>
              <w:rPr>
                <w:rStyle w:val="Hyperlink"/>
              </w:rPr>
              <w:t>13.5 Eight Locked Business Decisions</w:t>
            </w:r>
            <w:r>
              <w:tab/>
            </w:r>
            <w:r>
              <w:fldChar w:fldCharType="begin"/>
            </w:r>
            <w:r>
              <w:instrText xml:space="preserve"> PAGEREF _Toc100058 \h </w:instrText>
            </w:r>
            <w:r>
              <w:fldChar w:fldCharType="separate"/>
            </w:r>
            <w:r>
              <w:t>15</w:t>
            </w:r>
            <w:r>
              <w:fldChar w:fldCharType="end"/>
            </w:r>
          </w:hyperlink>
        </w:p>
        <w:p>
          <w:pPr>
            <w:pStyle w:val="9"/>
            <w:tabs>
              <w:tab w:val="right" w:leader="dot" w:pos="9026"/>
            </w:tabs>
            <w:spacing w:before="120" w:after="60"/>
          </w:pPr>
          <w:hyperlink w:anchor="_Toc100059" w:history="1">
            <w:r>
              <w:rPr>
                <w:rStyle w:val="Hyperlink"/>
              </w:rPr>
              <w:t>14. MOXI V2 Architecture</w:t>
            </w:r>
            <w:r>
              <w:tab/>
            </w:r>
            <w:r>
              <w:fldChar w:fldCharType="begin"/>
            </w:r>
            <w:r>
              <w:instrText xml:space="preserve"> PAGEREF _Toc100059 \h </w:instrText>
            </w:r>
            <w:r>
              <w:fldChar w:fldCharType="separate"/>
            </w:r>
            <w:r>
              <w:t>15</w:t>
            </w:r>
            <w:r>
              <w:fldChar w:fldCharType="end"/>
            </w:r>
          </w:hyperlink>
        </w:p>
        <w:p>
          <w:pPr>
            <w:pStyle w:val="11"/>
            <w:ind w:left="360"/>
            <w:tabs>
              <w:tab w:val="right" w:leader="dot" w:pos="9026"/>
            </w:tabs>
            <w:spacing w:before="120" w:after="60"/>
          </w:pPr>
          <w:hyperlink w:anchor="_Toc100060" w:history="1">
            <w:r>
              <w:rPr>
                <w:rStyle w:val="Hyperlink"/>
              </w:rPr>
              <w:t>14.1 Current MOXI State (Preserved)</w:t>
            </w:r>
            <w:r>
              <w:tab/>
            </w:r>
            <w:r>
              <w:fldChar w:fldCharType="begin"/>
            </w:r>
            <w:r>
              <w:instrText xml:space="preserve"> PAGEREF _Toc100060 \h </w:instrText>
            </w:r>
            <w:r>
              <w:fldChar w:fldCharType="separate"/>
            </w:r>
            <w:r>
              <w:t>16</w:t>
            </w:r>
            <w:r>
              <w:fldChar w:fldCharType="end"/>
            </w:r>
          </w:hyperlink>
        </w:p>
        <w:p>
          <w:pPr>
            <w:pStyle w:val="11"/>
            <w:ind w:left="360"/>
            <w:tabs>
              <w:tab w:val="right" w:leader="dot" w:pos="9026"/>
            </w:tabs>
            <w:spacing w:before="120" w:after="60"/>
          </w:pPr>
          <w:hyperlink w:anchor="_Toc100061" w:history="1">
            <w:r>
              <w:rPr>
                <w:rStyle w:val="Hyperlink"/>
              </w:rPr>
              <w:t>14.2 V2 Context Architecture</w:t>
            </w:r>
            <w:r>
              <w:tab/>
            </w:r>
            <w:r>
              <w:fldChar w:fldCharType="begin"/>
            </w:r>
            <w:r>
              <w:instrText xml:space="preserve"> PAGEREF _Toc100061 \h </w:instrText>
            </w:r>
            <w:r>
              <w:fldChar w:fldCharType="separate"/>
            </w:r>
            <w:r>
              <w:t>16</w:t>
            </w:r>
            <w:r>
              <w:fldChar w:fldCharType="end"/>
            </w:r>
          </w:hyperlink>
        </w:p>
        <w:p>
          <w:pPr>
            <w:pStyle w:val="11"/>
            <w:ind w:left="360"/>
            <w:tabs>
              <w:tab w:val="right" w:leader="dot" w:pos="9026"/>
            </w:tabs>
            <w:spacing w:before="120" w:after="60"/>
          </w:pPr>
          <w:hyperlink w:anchor="_Toc100062" w:history="1">
            <w:r>
              <w:rPr>
                <w:rStyle w:val="Hyperlink"/>
              </w:rPr>
              <w:t>14.3 MOXI Intelligence Pipeline</w:t>
            </w:r>
            <w:r>
              <w:tab/>
            </w:r>
            <w:r>
              <w:fldChar w:fldCharType="begin"/>
            </w:r>
            <w:r>
              <w:instrText xml:space="preserve"> PAGEREF _Toc100062 \h </w:instrText>
            </w:r>
            <w:r>
              <w:fldChar w:fldCharType="separate"/>
            </w:r>
            <w:r>
              <w:t>16</w:t>
            </w:r>
            <w:r>
              <w:fldChar w:fldCharType="end"/>
            </w:r>
          </w:hyperlink>
        </w:p>
        <w:p>
          <w:pPr>
            <w:pStyle w:val="11"/>
            <w:ind w:left="360"/>
            <w:tabs>
              <w:tab w:val="right" w:leader="dot" w:pos="9026"/>
            </w:tabs>
            <w:spacing w:before="120" w:after="60"/>
          </w:pPr>
          <w:hyperlink w:anchor="_Toc100063" w:history="1">
            <w:r>
              <w:rPr>
                <w:rStyle w:val="Hyperlink"/>
              </w:rPr>
              <w:t>14.4 Mastra Evaluation</w:t>
            </w:r>
            <w:r>
              <w:tab/>
            </w:r>
            <w:r>
              <w:fldChar w:fldCharType="begin"/>
            </w:r>
            <w:r>
              <w:instrText xml:space="preserve"> PAGEREF _Toc100063 \h </w:instrText>
            </w:r>
            <w:r>
              <w:fldChar w:fldCharType="separate"/>
            </w:r>
            <w:r>
              <w:t>16</w:t>
            </w:r>
            <w:r>
              <w:fldChar w:fldCharType="end"/>
            </w:r>
          </w:hyperlink>
        </w:p>
        <w:p>
          <w:pPr>
            <w:pStyle w:val="9"/>
            <w:tabs>
              <w:tab w:val="right" w:leader="dot" w:pos="9026"/>
            </w:tabs>
            <w:spacing w:before="120" w:after="60"/>
          </w:pPr>
          <w:hyperlink w:anchor="_Toc100064" w:history="1">
            <w:r>
              <w:rPr>
                <w:rStyle w:val="Hyperlink"/>
              </w:rPr>
              <w:t>15. Event Architecture</w:t>
            </w:r>
            <w:r>
              <w:tab/>
            </w:r>
            <w:r>
              <w:fldChar w:fldCharType="begin"/>
            </w:r>
            <w:r>
              <w:instrText xml:space="preserve"> PAGEREF _Toc100064 \h </w:instrText>
            </w:r>
            <w:r>
              <w:fldChar w:fldCharType="separate"/>
            </w:r>
            <w:r>
              <w:t>16</w:t>
            </w:r>
            <w:r>
              <w:fldChar w:fldCharType="end"/>
            </w:r>
          </w:hyperlink>
        </w:p>
        <w:p>
          <w:pPr>
            <w:pStyle w:val="11"/>
            <w:ind w:left="360"/>
            <w:tabs>
              <w:tab w:val="right" w:leader="dot" w:pos="9026"/>
            </w:tabs>
            <w:spacing w:before="120" w:after="60"/>
          </w:pPr>
          <w:hyperlink w:anchor="_Toc100065" w:history="1">
            <w:r>
              <w:rPr>
                <w:rStyle w:val="Hyperlink"/>
              </w:rPr>
              <w:t>15.1 Domain Event Bus (In-Process)</w:t>
            </w:r>
            <w:r>
              <w:tab/>
            </w:r>
            <w:r>
              <w:fldChar w:fldCharType="begin"/>
            </w:r>
            <w:r>
              <w:instrText xml:space="preserve"> PAGEREF _Toc100065 \h </w:instrText>
            </w:r>
            <w:r>
              <w:fldChar w:fldCharType="separate"/>
            </w:r>
            <w:r>
              <w:t>17</w:t>
            </w:r>
            <w:r>
              <w:fldChar w:fldCharType="end"/>
            </w:r>
          </w:hyperlink>
        </w:p>
        <w:p>
          <w:pPr>
            <w:pStyle w:val="11"/>
            <w:ind w:left="360"/>
            <w:tabs>
              <w:tab w:val="right" w:leader="dot" w:pos="9026"/>
            </w:tabs>
            <w:spacing w:before="120" w:after="60"/>
          </w:pPr>
          <w:hyperlink w:anchor="_Toc100066" w:history="1">
            <w:r>
              <w:rPr>
                <w:rStyle w:val="Hyperlink"/>
              </w:rPr>
              <w:t>15.2 Durable Jobs (Deferred)</w:t>
            </w:r>
            <w:r>
              <w:tab/>
            </w:r>
            <w:r>
              <w:fldChar w:fldCharType="begin"/>
            </w:r>
            <w:r>
              <w:instrText xml:space="preserve"> PAGEREF _Toc100066 \h </w:instrText>
            </w:r>
            <w:r>
              <w:fldChar w:fldCharType="separate"/>
            </w:r>
            <w:r>
              <w:t>17</w:t>
            </w:r>
            <w:r>
              <w:fldChar w:fldCharType="end"/>
            </w:r>
          </w:hyperlink>
        </w:p>
        <w:p>
          <w:pPr>
            <w:pStyle w:val="9"/>
            <w:tabs>
              <w:tab w:val="right" w:leader="dot" w:pos="9026"/>
            </w:tabs>
            <w:spacing w:before="120" w:after="60"/>
          </w:pPr>
          <w:hyperlink w:anchor="_Toc100067" w:history="1">
            <w:r>
              <w:rPr>
                <w:rStyle w:val="Hyperlink"/>
              </w:rPr>
              <w:t>16. Background Jobs Architecture</w:t>
            </w:r>
            <w:r>
              <w:tab/>
            </w:r>
            <w:r>
              <w:fldChar w:fldCharType="begin"/>
            </w:r>
            <w:r>
              <w:instrText xml:space="preserve"> PAGEREF _Toc100067 \h </w:instrText>
            </w:r>
            <w:r>
              <w:fldChar w:fldCharType="separate"/>
            </w:r>
            <w:r>
              <w:t>17</w:t>
            </w:r>
            <w:r>
              <w:fldChar w:fldCharType="end"/>
            </w:r>
          </w:hyperlink>
        </w:p>
        <w:p>
          <w:pPr>
            <w:pStyle w:val="11"/>
            <w:ind w:left="360"/>
            <w:tabs>
              <w:tab w:val="right" w:leader="dot" w:pos="9026"/>
            </w:tabs>
            <w:spacing w:before="120" w:after="60"/>
          </w:pPr>
          <w:hyperlink w:anchor="_Toc100068" w:history="1">
            <w:r>
              <w:rPr>
                <w:rStyle w:val="Hyperlink"/>
              </w:rPr>
              <w:t>16.1 Scheduled Jobs (Cron)</w:t>
            </w:r>
            <w:r>
              <w:tab/>
            </w:r>
            <w:r>
              <w:fldChar w:fldCharType="begin"/>
            </w:r>
            <w:r>
              <w:instrText xml:space="preserve"> PAGEREF _Toc100068 \h </w:instrText>
            </w:r>
            <w:r>
              <w:fldChar w:fldCharType="separate"/>
            </w:r>
            <w:r>
              <w:t>17</w:t>
            </w:r>
            <w:r>
              <w:fldChar w:fldCharType="end"/>
            </w:r>
          </w:hyperlink>
        </w:p>
        <w:p>
          <w:pPr>
            <w:pStyle w:val="11"/>
            <w:ind w:left="360"/>
            <w:tabs>
              <w:tab w:val="right" w:leader="dot" w:pos="9026"/>
            </w:tabs>
            <w:spacing w:before="120" w:after="60"/>
          </w:pPr>
          <w:hyperlink w:anchor="_Toc100069" w:history="1">
            <w:r>
              <w:rPr>
                <w:rStyle w:val="Hyperlink"/>
              </w:rPr>
              <w:t>16.2 Event-Driven Jobs (NEW in Phase 7)</w:t>
            </w:r>
            <w:r>
              <w:tab/>
            </w:r>
            <w:r>
              <w:fldChar w:fldCharType="begin"/>
            </w:r>
            <w:r>
              <w:instrText xml:space="preserve"> PAGEREF _Toc100069 \h </w:instrText>
            </w:r>
            <w:r>
              <w:fldChar w:fldCharType="separate"/>
            </w:r>
            <w:r>
              <w:t>18</w:t>
            </w:r>
            <w:r>
              <w:fldChar w:fldCharType="end"/>
            </w:r>
          </w:hyperlink>
        </w:p>
        <w:p>
          <w:pPr>
            <w:pStyle w:val="9"/>
            <w:tabs>
              <w:tab w:val="right" w:leader="dot" w:pos="9026"/>
            </w:tabs>
            <w:spacing w:before="120" w:after="60"/>
          </w:pPr>
          <w:hyperlink w:anchor="_Toc100070" w:history="1">
            <w:r>
              <w:rPr>
                <w:rStyle w:val="Hyperlink"/>
              </w:rPr>
              <w:t>17. Route Consolidation</w:t>
            </w:r>
            <w:r>
              <w:tab/>
            </w:r>
            <w:r>
              <w:fldChar w:fldCharType="begin"/>
            </w:r>
            <w:r>
              <w:instrText xml:space="preserve"> PAGEREF _Toc100070 \h </w:instrText>
            </w:r>
            <w:r>
              <w:fldChar w:fldCharType="separate"/>
            </w:r>
            <w:r>
              <w:t>18</w:t>
            </w:r>
            <w:r>
              <w:fldChar w:fldCharType="end"/>
            </w:r>
          </w:hyperlink>
        </w:p>
        <w:p>
          <w:pPr>
            <w:pStyle w:val="11"/>
            <w:ind w:left="360"/>
            <w:tabs>
              <w:tab w:val="right" w:leader="dot" w:pos="9026"/>
            </w:tabs>
            <w:spacing w:before="120" w:after="60"/>
          </w:pPr>
          <w:hyperlink w:anchor="_Toc100071" w:history="1">
            <w:r>
              <w:rPr>
                <w:rStyle w:val="Hyperlink"/>
              </w:rPr>
              <w:t>17.1 Consolidation Map</w:t>
            </w:r>
            <w:r>
              <w:tab/>
            </w:r>
            <w:r>
              <w:fldChar w:fldCharType="begin"/>
            </w:r>
            <w:r>
              <w:instrText xml:space="preserve"> PAGEREF _Toc100071 \h </w:instrText>
            </w:r>
            <w:r>
              <w:fldChar w:fldCharType="separate"/>
            </w:r>
            <w:r>
              <w:t>18</w:t>
            </w:r>
            <w:r>
              <w:fldChar w:fldCharType="end"/>
            </w:r>
          </w:hyperlink>
        </w:p>
        <w:p>
          <w:pPr>
            <w:pStyle w:val="11"/>
            <w:ind w:left="360"/>
            <w:tabs>
              <w:tab w:val="right" w:leader="dot" w:pos="9026"/>
            </w:tabs>
            <w:spacing w:before="120" w:after="60"/>
          </w:pPr>
          <w:hyperlink w:anchor="_Toc100072" w:history="1">
            <w:r>
              <w:rPr>
                <w:rStyle w:val="Hyperlink"/>
              </w:rPr>
              <w:t>17.2 Navigation Architecture</w:t>
            </w:r>
            <w:r>
              <w:tab/>
            </w:r>
            <w:r>
              <w:fldChar w:fldCharType="begin"/>
            </w:r>
            <w:r>
              <w:instrText xml:space="preserve"> PAGEREF _Toc100072 \h </w:instrText>
            </w:r>
            <w:r>
              <w:fldChar w:fldCharType="separate"/>
            </w:r>
            <w:r>
              <w:t>18</w:t>
            </w:r>
            <w:r>
              <w:fldChar w:fldCharType="end"/>
            </w:r>
          </w:hyperlink>
        </w:p>
        <w:p>
          <w:pPr>
            <w:pStyle w:val="9"/>
            <w:tabs>
              <w:tab w:val="right" w:leader="dot" w:pos="9026"/>
            </w:tabs>
            <w:spacing w:before="120" w:after="60"/>
          </w:pPr>
          <w:hyperlink w:anchor="_Toc100073" w:history="1">
            <w:r>
              <w:rPr>
                <w:rStyle w:val="Hyperlink"/>
              </w:rPr>
              <w:t>18. UX / Product Flow</w:t>
            </w:r>
            <w:r>
              <w:tab/>
            </w:r>
            <w:r>
              <w:fldChar w:fldCharType="begin"/>
            </w:r>
            <w:r>
              <w:instrText xml:space="preserve"> PAGEREF _Toc100073 \h </w:instrText>
            </w:r>
            <w:r>
              <w:fldChar w:fldCharType="separate"/>
            </w:r>
            <w:r>
              <w:t>18</w:t>
            </w:r>
            <w:r>
              <w:fldChar w:fldCharType="end"/>
            </w:r>
          </w:hyperlink>
        </w:p>
        <w:p>
          <w:pPr>
            <w:pStyle w:val="11"/>
            <w:ind w:left="360"/>
            <w:tabs>
              <w:tab w:val="right" w:leader="dot" w:pos="9026"/>
            </w:tabs>
            <w:spacing w:before="120" w:after="60"/>
          </w:pPr>
          <w:hyperlink w:anchor="_Toc100074" w:history="1">
            <w:r>
              <w:rPr>
                <w:rStyle w:val="Hyperlink"/>
              </w:rPr>
              <w:t>18.1 Product Loop Implementation</w:t>
            </w:r>
            <w:r>
              <w:tab/>
            </w:r>
            <w:r>
              <w:fldChar w:fldCharType="begin"/>
            </w:r>
            <w:r>
              <w:instrText xml:space="preserve"> PAGEREF _Toc100074 \h </w:instrText>
            </w:r>
            <w:r>
              <w:fldChar w:fldCharType="separate"/>
            </w:r>
            <w:r>
              <w:t>19</w:t>
            </w:r>
            <w:r>
              <w:fldChar w:fldCharType="end"/>
            </w:r>
          </w:hyperlink>
        </w:p>
        <w:p>
          <w:pPr>
            <w:pStyle w:val="11"/>
            <w:ind w:left="360"/>
            <w:tabs>
              <w:tab w:val="right" w:leader="dot" w:pos="9026"/>
            </w:tabs>
            <w:spacing w:before="120" w:after="60"/>
          </w:pPr>
          <w:hyperlink w:anchor="_Toc100075" w:history="1">
            <w:r>
              <w:rPr>
                <w:rStyle w:val="Hyperlink"/>
              </w:rPr>
              <w:t>18.2 MOXI Interaction Patterns</w:t>
            </w:r>
            <w:r>
              <w:tab/>
            </w:r>
            <w:r>
              <w:fldChar w:fldCharType="begin"/>
            </w:r>
            <w:r>
              <w:instrText xml:space="preserve"> PAGEREF _Toc100075 \h </w:instrText>
            </w:r>
            <w:r>
              <w:fldChar w:fldCharType="separate"/>
            </w:r>
            <w:r>
              <w:t>19</w:t>
            </w:r>
            <w:r>
              <w:fldChar w:fldCharType="end"/>
            </w:r>
          </w:hyperlink>
        </w:p>
        <w:p>
          <w:pPr>
            <w:pStyle w:val="9"/>
            <w:tabs>
              <w:tab w:val="right" w:leader="dot" w:pos="9026"/>
            </w:tabs>
            <w:spacing w:before="120" w:after="60"/>
          </w:pPr>
          <w:hyperlink w:anchor="_Toc100076" w:history="1">
            <w:r>
              <w:rPr>
                <w:rStyle w:val="Hyperlink"/>
              </w:rPr>
              <w:t>19. Current to V2 Migration Map</w:t>
            </w:r>
            <w:r>
              <w:tab/>
            </w:r>
            <w:r>
              <w:fldChar w:fldCharType="begin"/>
            </w:r>
            <w:r>
              <w:instrText xml:space="preserve"> PAGEREF _Toc100076 \h </w:instrText>
            </w:r>
            <w:r>
              <w:fldChar w:fldCharType="separate"/>
            </w:r>
            <w:r>
              <w:t>19</w:t>
            </w:r>
            <w:r>
              <w:fldChar w:fldCharType="end"/>
            </w:r>
          </w:hyperlink>
        </w:p>
        <w:p>
          <w:pPr>
            <w:pStyle w:val="9"/>
            <w:tabs>
              <w:tab w:val="right" w:leader="dot" w:pos="9026"/>
            </w:tabs>
            <w:spacing w:before="120" w:after="60"/>
          </w:pPr>
          <w:hyperlink w:anchor="_Toc100077" w:history="1">
            <w:r>
              <w:rPr>
                <w:rStyle w:val="Hyperlink"/>
              </w:rPr>
              <w:t>20. Tasks 2-7 Replanning</w:t>
            </w:r>
            <w:r>
              <w:tab/>
            </w:r>
            <w:r>
              <w:fldChar w:fldCharType="begin"/>
            </w:r>
            <w:r>
              <w:instrText xml:space="preserve"> PAGEREF _Toc100077 \h </w:instrText>
            </w:r>
            <w:r>
              <w:fldChar w:fldCharType="separate"/>
            </w:r>
            <w:r>
              <w:t>19</w:t>
            </w:r>
            <w:r>
              <w:fldChar w:fldCharType="end"/>
            </w:r>
          </w:hyperlink>
        </w:p>
        <w:p>
          <w:pPr>
            <w:pStyle w:val="11"/>
            <w:ind w:left="360"/>
            <w:tabs>
              <w:tab w:val="right" w:leader="dot" w:pos="9026"/>
            </w:tabs>
            <w:spacing w:before="120" w:after="60"/>
          </w:pPr>
          <w:hyperlink w:anchor="_Toc100078" w:history="1">
            <w:r>
              <w:rPr>
                <w:rStyle w:val="Hyperlink"/>
              </w:rPr>
              <w:t>20.1 Old Task Mapping</w:t>
            </w:r>
            <w:r>
              <w:tab/>
            </w:r>
            <w:r>
              <w:fldChar w:fldCharType="begin"/>
            </w:r>
            <w:r>
              <w:instrText xml:space="preserve"> PAGEREF _Toc100078 \h </w:instrText>
            </w:r>
            <w:r>
              <w:fldChar w:fldCharType="separate"/>
            </w:r>
            <w:r>
              <w:t>20</w:t>
            </w:r>
            <w:r>
              <w:fldChar w:fldCharType="end"/>
            </w:r>
          </w:hyperlink>
        </w:p>
        <w:p>
          <w:pPr>
            <w:pStyle w:val="11"/>
            <w:ind w:left="360"/>
            <w:tabs>
              <w:tab w:val="right" w:leader="dot" w:pos="9026"/>
            </w:tabs>
            <w:spacing w:before="120" w:after="60"/>
          </w:pPr>
          <w:hyperlink w:anchor="_Toc100079" w:history="1">
            <w:r>
              <w:rPr>
                <w:rStyle w:val="Hyperlink"/>
              </w:rPr>
              <w:t>20.2 Preserved Work</w:t>
            </w:r>
            <w:r>
              <w:tab/>
            </w:r>
            <w:r>
              <w:fldChar w:fldCharType="begin"/>
            </w:r>
            <w:r>
              <w:instrText xml:space="preserve"> PAGEREF _Toc100079 \h </w:instrText>
            </w:r>
            <w:r>
              <w:fldChar w:fldCharType="separate"/>
            </w:r>
            <w:r>
              <w:t>20</w:t>
            </w:r>
            <w:r>
              <w:fldChar w:fldCharType="end"/>
            </w:r>
          </w:hyperlink>
        </w:p>
        <w:p>
          <w:pPr>
            <w:pStyle w:val="9"/>
            <w:tabs>
              <w:tab w:val="right" w:leader="dot" w:pos="9026"/>
            </w:tabs>
            <w:spacing w:before="120" w:after="60"/>
          </w:pPr>
          <w:hyperlink w:anchor="_Toc100080" w:history="1">
            <w:r>
              <w:rPr>
                <w:rStyle w:val="Hyperlink"/>
              </w:rPr>
              <w:t>21. Complete V2 Phase Map</w:t>
            </w:r>
            <w:r>
              <w:tab/>
            </w:r>
            <w:r>
              <w:fldChar w:fldCharType="begin"/>
            </w:r>
            <w:r>
              <w:instrText xml:space="preserve"> PAGEREF _Toc100080 \h </w:instrText>
            </w:r>
            <w:r>
              <w:fldChar w:fldCharType="separate"/>
            </w:r>
            <w:r>
              <w:t>20</w:t>
            </w:r>
            <w:r>
              <w:fldChar w:fldCharType="end"/>
            </w:r>
          </w:hyperlink>
        </w:p>
        <w:p>
          <w:pPr>
            <w:pStyle w:val="9"/>
            <w:tabs>
              <w:tab w:val="right" w:leader="dot" w:pos="9026"/>
            </w:tabs>
            <w:spacing w:before="120" w:after="60"/>
          </w:pPr>
          <w:hyperlink w:anchor="_Toc100081" w:history="1">
            <w:r>
              <w:rPr>
                <w:rStyle w:val="Hyperlink"/>
              </w:rPr>
              <w:t>22. Dependency Graph</w:t>
            </w:r>
            <w:r>
              <w:tab/>
            </w:r>
            <w:r>
              <w:fldChar w:fldCharType="begin"/>
            </w:r>
            <w:r>
              <w:instrText xml:space="preserve"> PAGEREF _Toc100081 \h </w:instrText>
            </w:r>
            <w:r>
              <w:fldChar w:fldCharType="separate"/>
            </w:r>
            <w:r>
              <w:t>20</w:t>
            </w:r>
            <w:r>
              <w:fldChar w:fldCharType="end"/>
            </w:r>
          </w:hyperlink>
        </w:p>
        <w:p>
          <w:pPr>
            <w:pStyle w:val="11"/>
            <w:ind w:left="360"/>
            <w:tabs>
              <w:tab w:val="right" w:leader="dot" w:pos="9026"/>
            </w:tabs>
            <w:spacing w:before="120" w:after="60"/>
          </w:pPr>
          <w:hyperlink w:anchor="_Toc100082" w:history="1">
            <w:r>
              <w:rPr>
                <w:rStyle w:val="Hyperlink"/>
              </w:rPr>
              <w:t>22.1 Parallelization Opportunities</w:t>
            </w:r>
            <w:r>
              <w:tab/>
            </w:r>
            <w:r>
              <w:fldChar w:fldCharType="begin"/>
            </w:r>
            <w:r>
              <w:instrText xml:space="preserve"> PAGEREF _Toc100082 \h </w:instrText>
            </w:r>
            <w:r>
              <w:fldChar w:fldCharType="separate"/>
            </w:r>
            <w:r>
              <w:t>20</w:t>
            </w:r>
            <w:r>
              <w:fldChar w:fldCharType="end"/>
            </w:r>
          </w:hyperlink>
        </w:p>
        <w:p>
          <w:pPr>
            <w:pStyle w:val="9"/>
            <w:tabs>
              <w:tab w:val="right" w:leader="dot" w:pos="9026"/>
            </w:tabs>
            <w:spacing w:before="120" w:after="60"/>
          </w:pPr>
          <w:hyperlink w:anchor="_Toc100083" w:history="1">
            <w:r>
              <w:rPr>
                <w:rStyle w:val="Hyperlink"/>
              </w:rPr>
              <w:t>23. Risk Register</w:t>
            </w:r>
            <w:r>
              <w:tab/>
            </w:r>
            <w:r>
              <w:fldChar w:fldCharType="begin"/>
            </w:r>
            <w:r>
              <w:instrText xml:space="preserve"> PAGEREF _Toc100083 \h </w:instrText>
            </w:r>
            <w:r>
              <w:fldChar w:fldCharType="separate"/>
            </w:r>
            <w:r>
              <w:t>21</w:t>
            </w:r>
            <w:r>
              <w:fldChar w:fldCharType="end"/>
            </w:r>
          </w:hyperlink>
        </w:p>
        <w:p>
          <w:pPr>
            <w:pStyle w:val="9"/>
            <w:tabs>
              <w:tab w:val="right" w:leader="dot" w:pos="9026"/>
            </w:tabs>
            <w:spacing w:before="120" w:after="60"/>
          </w:pPr>
          <w:hyperlink w:anchor="_Toc100084" w:history="1">
            <w:r>
              <w:rPr>
                <w:rStyle w:val="Hyperlink"/>
              </w:rPr>
              <w:t>24. Verification Strategy</w:t>
            </w:r>
            <w:r>
              <w:tab/>
            </w:r>
            <w:r>
              <w:fldChar w:fldCharType="begin"/>
            </w:r>
            <w:r>
              <w:instrText xml:space="preserve"> PAGEREF _Toc100084 \h </w:instrText>
            </w:r>
            <w:r>
              <w:fldChar w:fldCharType="separate"/>
            </w:r>
            <w:r>
              <w:t>21</w:t>
            </w:r>
            <w:r>
              <w:fldChar w:fldCharType="end"/>
            </w:r>
          </w:hyperlink>
        </w:p>
        <w:p>
          <w:pPr>
            <w:pStyle w:val="9"/>
            <w:tabs>
              <w:tab w:val="right" w:leader="dot" w:pos="9026"/>
            </w:tabs>
            <w:spacing w:before="120" w:after="60"/>
          </w:pPr>
          <w:hyperlink w:anchor="_Toc100085" w:history="1">
            <w:r>
              <w:rPr>
                <w:rStyle w:val="Hyperlink"/>
              </w:rPr>
              <w:t>25. Final Architecture Gates</w:t>
            </w:r>
            <w:r>
              <w:tab/>
            </w:r>
            <w:r>
              <w:fldChar w:fldCharType="begin"/>
            </w:r>
            <w:r>
              <w:instrText xml:space="preserve"> PAGEREF _Toc100085 \h </w:instrText>
            </w:r>
            <w:r>
              <w:fldChar w:fldCharType="separate"/>
            </w:r>
            <w:r>
              <w:t>21</w:t>
            </w:r>
            <w:r>
              <w:fldChar w:fldCharType="end"/>
            </w:r>
          </w:hyperlink>
        </w:p>
        <w:p>
          <w:pPr>
            <w:pStyle w:val="9"/>
            <w:tabs>
              <w:tab w:val="right" w:leader="dot" w:pos="9026"/>
            </w:tabs>
            <w:spacing w:before="120" w:after="60"/>
          </w:pPr>
          <w:hyperlink w:anchor="_Toc100086" w:history="1">
            <w:r>
              <w:rPr>
                <w:rStyle w:val="Hyperlink"/>
              </w:rPr>
              <w:t>26. Master Implementation Task Register</w:t>
            </w:r>
            <w:r>
              <w:tab/>
            </w:r>
            <w:r>
              <w:fldChar w:fldCharType="begin"/>
            </w:r>
            <w:r>
              <w:instrText xml:space="preserve"> PAGEREF _Toc100086 \h </w:instrText>
            </w:r>
            <w:r>
              <w:fldChar w:fldCharType="separate"/>
            </w:r>
            <w:r>
              <w:t>21</w:t>
            </w:r>
            <w:r>
              <w:fldChar w:fldCharType="end"/>
            </w:r>
          </w:hyperlink>
        </w:p>
        <w:p>
          <w:pPr>
            <w:pStyle w:val="11"/>
            <w:ind w:left="360"/>
            <w:tabs>
              <w:tab w:val="right" w:leader="dot" w:pos="9026"/>
            </w:tabs>
            <w:spacing w:before="120" w:after="60"/>
          </w:pPr>
          <w:hyperlink w:anchor="_Toc100087" w:history="1">
            <w:r>
              <w:rPr>
                <w:rStyle w:val="Hyperlink"/>
              </w:rPr>
              <w:t>26.1 Phase 2: Data Foundation</w:t>
            </w:r>
            <w:r>
              <w:tab/>
            </w:r>
            <w:r>
              <w:fldChar w:fldCharType="begin"/>
            </w:r>
            <w:r>
              <w:instrText xml:space="preserve"> PAGEREF _Toc100087 \h </w:instrText>
            </w:r>
            <w:r>
              <w:fldChar w:fldCharType="separate"/>
            </w:r>
            <w:r>
              <w:t>21</w:t>
            </w:r>
            <w:r>
              <w:fldChar w:fldCharType="end"/>
            </w:r>
          </w:hyperlink>
        </w:p>
        <w:p>
          <w:pPr>
            <w:pStyle w:val="11"/>
            <w:ind w:left="360"/>
            <w:tabs>
              <w:tab w:val="right" w:leader="dot" w:pos="9026"/>
            </w:tabs>
            <w:spacing w:before="120" w:after="60"/>
          </w:pPr>
          <w:hyperlink w:anchor="_Toc100088" w:history="1">
            <w:r>
              <w:rPr>
                <w:rStyle w:val="Hyperlink"/>
              </w:rPr>
              <w:t>26.2 Phase 3: Analytics &amp; Research</w:t>
            </w:r>
            <w:r>
              <w:tab/>
            </w:r>
            <w:r>
              <w:fldChar w:fldCharType="begin"/>
            </w:r>
            <w:r>
              <w:instrText xml:space="preserve"> PAGEREF _Toc100088 \h </w:instrText>
            </w:r>
            <w:r>
              <w:fldChar w:fldCharType="separate"/>
            </w:r>
            <w:r>
              <w:t>22</w:t>
            </w:r>
            <w:r>
              <w:fldChar w:fldCharType="end"/>
            </w:r>
          </w:hyperlink>
        </w:p>
        <w:p>
          <w:pPr>
            <w:pStyle w:val="11"/>
            <w:ind w:left="360"/>
            <w:tabs>
              <w:tab w:val="right" w:leader="dot" w:pos="9026"/>
            </w:tabs>
            <w:spacing w:before="120" w:after="60"/>
          </w:pPr>
          <w:hyperlink w:anchor="_Toc100089" w:history="1">
            <w:r>
              <w:rPr>
                <w:rStyle w:val="Hyperlink"/>
              </w:rPr>
              <w:t>26.3 Phase 4: Signal Authority &amp; Execution State</w:t>
            </w:r>
            <w:r>
              <w:tab/>
            </w:r>
            <w:r>
              <w:fldChar w:fldCharType="begin"/>
            </w:r>
            <w:r>
              <w:instrText xml:space="preserve"> PAGEREF _Toc100089 \h </w:instrText>
            </w:r>
            <w:r>
              <w:fldChar w:fldCharType="separate"/>
            </w:r>
            <w:r>
              <w:t>22</w:t>
            </w:r>
            <w:r>
              <w:fldChar w:fldCharType="end"/>
            </w:r>
          </w:hyperlink>
        </w:p>
        <w:p>
          <w:pPr>
            <w:pStyle w:val="11"/>
            <w:ind w:left="360"/>
            <w:tabs>
              <w:tab w:val="right" w:leader="dot" w:pos="9026"/>
            </w:tabs>
            <w:spacing w:before="120" w:after="60"/>
          </w:pPr>
          <w:hyperlink w:anchor="_Toc100090" w:history="1">
            <w:r>
              <w:rPr>
                <w:rStyle w:val="Hyperlink"/>
              </w:rPr>
              <w:t>26.4 Phase 5: Intelligence &amp; Opportunity Engine</w:t>
            </w:r>
            <w:r>
              <w:tab/>
            </w:r>
            <w:r>
              <w:fldChar w:fldCharType="begin"/>
            </w:r>
            <w:r>
              <w:instrText xml:space="preserve"> PAGEREF _Toc100090 \h </w:instrText>
            </w:r>
            <w:r>
              <w:fldChar w:fldCharType="separate"/>
            </w:r>
            <w:r>
              <w:t>22</w:t>
            </w:r>
            <w:r>
              <w:fldChar w:fldCharType="end"/>
            </w:r>
          </w:hyperlink>
        </w:p>
        <w:p>
          <w:pPr>
            <w:pStyle w:val="11"/>
            <w:ind w:left="360"/>
            <w:tabs>
              <w:tab w:val="right" w:leader="dot" w:pos="9026"/>
            </w:tabs>
            <w:spacing w:before="120" w:after="60"/>
          </w:pPr>
          <w:hyperlink w:anchor="_Toc100091" w:history="1">
            <w:r>
              <w:rPr>
                <w:rStyle w:val="Hyperlink"/>
              </w:rPr>
              <w:t>26.5 Phase 6: MOXI V2</w:t>
            </w:r>
            <w:r>
              <w:tab/>
            </w:r>
            <w:r>
              <w:fldChar w:fldCharType="begin"/>
            </w:r>
            <w:r>
              <w:instrText xml:space="preserve"> PAGEREF _Toc100091 \h </w:instrText>
            </w:r>
            <w:r>
              <w:fldChar w:fldCharType="separate"/>
            </w:r>
            <w:r>
              <w:t>22</w:t>
            </w:r>
            <w:r>
              <w:fldChar w:fldCharType="end"/>
            </w:r>
          </w:hyperlink>
        </w:p>
        <w:p>
          <w:pPr>
            <w:pStyle w:val="11"/>
            <w:ind w:left="360"/>
            <w:tabs>
              <w:tab w:val="right" w:leader="dot" w:pos="9026"/>
            </w:tabs>
            <w:spacing w:before="120" w:after="60"/>
          </w:pPr>
          <w:hyperlink w:anchor="_Toc100092" w:history="1">
            <w:r>
              <w:rPr>
                <w:rStyle w:val="Hyperlink"/>
              </w:rPr>
              <w:t>26.6 Phase 7: Background Jobs &amp; Events</w:t>
            </w:r>
            <w:r>
              <w:tab/>
            </w:r>
            <w:r>
              <w:fldChar w:fldCharType="begin"/>
            </w:r>
            <w:r>
              <w:instrText xml:space="preserve"> PAGEREF _Toc100092 \h </w:instrText>
            </w:r>
            <w:r>
              <w:fldChar w:fldCharType="separate"/>
            </w:r>
            <w:r>
              <w:t>22</w:t>
            </w:r>
            <w:r>
              <w:fldChar w:fldCharType="end"/>
            </w:r>
          </w:hyperlink>
        </w:p>
        <w:p>
          <w:pPr>
            <w:pStyle w:val="11"/>
            <w:ind w:left="360"/>
            <w:tabs>
              <w:tab w:val="right" w:leader="dot" w:pos="9026"/>
            </w:tabs>
            <w:spacing w:before="120" w:after="60"/>
          </w:pPr>
          <w:hyperlink w:anchor="_Toc100093" w:history="1">
            <w:r>
              <w:rPr>
                <w:rStyle w:val="Hyperlink"/>
              </w:rPr>
              <w:t>26.7 Phases 8-14 (Summary)</w:t>
            </w:r>
            <w:r>
              <w:tab/>
            </w:r>
            <w:r>
              <w:fldChar w:fldCharType="begin"/>
            </w:r>
            <w:r>
              <w:instrText xml:space="preserve"> PAGEREF _Toc100093 \h </w:instrText>
            </w:r>
            <w:r>
              <w:fldChar w:fldCharType="separate"/>
            </w:r>
            <w:r>
              <w:t>22</w:t>
            </w:r>
            <w:r>
              <w:fldChar w:fldCharType="end"/>
            </w:r>
          </w:hyperlink>
        </w:p>
        <w:p>
          <w:pPr>
            <w:pStyle w:val="9"/>
            <w:tabs>
              <w:tab w:val="right" w:leader="dot" w:pos="9026"/>
            </w:tabs>
            <w:spacing w:before="120" w:after="60"/>
          </w:pPr>
          <w:hyperlink w:anchor="_Toc100094" w:history="1">
            <w:r>
              <w:rPr>
                <w:rStyle w:val="Hyperlink"/>
              </w:rPr>
              <w:t>27. Decisions Requiring Human Approval</w:t>
            </w:r>
            <w:r>
              <w:tab/>
            </w:r>
            <w:r>
              <w:fldChar w:fldCharType="begin"/>
            </w:r>
            <w:r>
              <w:instrText xml:space="preserve"> PAGEREF _Toc100094 \h </w:instrText>
            </w:r>
            <w:r>
              <w:fldChar w:fldCharType="separate"/>
            </w:r>
            <w:r>
              <w:t>22</w:t>
            </w:r>
            <w:r>
              <w:fldChar w:fldCharType="end"/>
            </w:r>
          </w:hyperlink>
        </w:p>
        <w:p>
          <w:r>
            <w:fldChar w:fldCharType="end"/>
          </w:r>
        </w:p>
      </w:sdtContent>
    </w:sdt>
    <w:p>
      <w:pPr>
        <w:spacing w:before="200"/>
      </w:pPr>
      <w:r>
        <w:rPr>
          <w:rFonts w:ascii="Calibri"/>
          <w:i/>
          <w:iCs/>
          <w:color w:val="4A6575"/>
          <w:sz w:val="18"/>
          <w:szCs w:val="18"/>
        </w:rPr>
        <w:t xml:space="preserve">Right-click the TOC and select “Update Field” to refresh page numbers.</w:t>
      </w:r>
    </w:p>
    <w:p>
      <w:r>
        <w:br w:type="page"/>
      </w:r>
    </w:p>
    <w:p>
      <w:pPr>
        <w:sectPr>
          <w:headerReference w:type="default" r:id="rId7"/>
          <w:footerReference w:type="default" r:id="rId8"/>
          <w:pgSz w:w="11906" w:h="16838" w:orient="portrait"/>
          <w:pgMar w:top="1440" w:right="1417" w:bottom="1440" w:left="1701" w:header="708" w:footer="708" w:gutter="0"/>
          <w:pgNumType/>
          <w:titlePg/>
          <w:docGrid w:linePitch="360"/>
        </w:sectPr>
      </w:pPr>
    </w:p>
    <w:p>
      <w:pPr>
        <w:pStyle w:val="Heading1"/>
        <w:spacing w:after="200" w:before="600"/>
      </w:pPr>
      <w:bookmarkStart w:id="100000" w:name="_Toc100000"/>
      <w:r>
        <w:rPr>
          <w:rFonts w:ascii="Calibri" w:eastAsia="SimHei"/>
          <w:b/>
          <w:bCs/>
          <w:color w:val="0F2027"/>
          <w:sz w:val="32"/>
          <w:szCs w:val="32"/>
        </w:rPr>
        <w:t xml:space="preserve">1. Executive Decision</w:t>
      </w:r>
      <w:bookmarkEnd w:id="100000"/>
    </w:p>
    <w:p>
      <w:pPr>
        <w:spacing w:after="80" w:line="312"/>
        <w:jc w:val="both"/>
      </w:pPr>
      <w:r>
        <w:rPr>
          <w:rFonts w:ascii="Times New Roman" w:eastAsia="Microsoft YaHei"/>
          <w:color w:val="1A1A1A"/>
          <w:sz w:val="22"/>
          <w:szCs w:val="22"/>
        </w:rPr>
        <w:t xml:space="preserve">This document constitutes the Phase 1 Architecture Decision Freeze for the VIXOR V2 Transformation. It is the single authoritative source for all architectural decisions, OSS project classifications, capability mappings, data model definitions, route consolidation plans, and implementation task structures. Every subsequent implementation phase (Phases 2 through 15) must derive its authority from this document. Any architectural change not recorded here requires a new Phase 1 amendment before implementation.</w:t>
      </w:r>
    </w:p>
    <w:p>
      <w:pPr>
        <w:spacing w:after="80" w:line="312"/>
        <w:jc w:val="both"/>
      </w:pPr>
      <w:r>
        <w:rPr>
          <w:rFonts w:ascii="Times New Roman" w:eastAsia="Microsoft YaHei"/>
          <w:color w:val="1A1A1A"/>
          <w:sz w:val="22"/>
          <w:szCs w:val="22"/>
        </w:rPr>
        <w:t xml:space="preserve">The executive decision is that VIXOR transforms from a partially-connected collection of trading pages into a coherent Trading Intelligence and Decision Operating System. This transformation is achieved not by adding more libraries, but by completing three critical pipelines that are currently broken: the Data Normalization pipeline (raw provider data to canonical models), the Intelligence-to-Decision pipeline (engine outputs to ranked, actionable opportunities), and the Review-to-Learning feedback loop (trade outcomes improving future system behavior). The existing codebase provides substantial foundations: 23 domain engines, 47 database tables, 12 real market data connections, 4 AI agents, and a formal signal transition engine with 75 passing tests. The problem is not a lack of code but a lack of connectivity and authority.</w:t>
      </w:r>
    </w:p>
    <w:p>
      <w:pPr>
        <w:spacing w:after="80" w:line="312"/>
        <w:jc w:val="both"/>
      </w:pPr>
      <w:r>
        <w:rPr>
          <w:rFonts w:ascii="Times New Roman" w:eastAsia="Microsoft YaHei"/>
          <w:color w:val="1A1A1A"/>
          <w:sz w:val="22"/>
          <w:szCs w:val="22"/>
        </w:rPr>
        <w:t xml:space="preserve">The most critical architectural decision is the relocation of authority from the client to the server for all signal state transitions. Currently, price evaluation happens client-side, meaning the hit_tp field and timestamps are client-controlled. The existing pure-function Transition Engine (locked at commit 4ffad75, preserved in commit 32bbf14) must be invoked server-side with serverReceivedAt timestamps, producing atomic commits, domain events, and audit records. This single decision fixes the foundation upon which all signal integrity, notification reliability, and MOXI intelligence depends.</w:t>
      </w:r>
    </w:p>
    <w:p>
      <w:pPr>
        <w:pStyle w:val="Heading2"/>
        <w:spacing w:after="160" w:before="400"/>
      </w:pPr>
      <w:bookmarkStart w:id="100001" w:name="_Toc100001"/>
      <w:r>
        <w:rPr>
          <w:rFonts w:ascii="Calibri" w:eastAsia="SimHei"/>
          <w:b/>
          <w:bCs/>
          <w:color w:val="0F2027"/>
          <w:sz w:val="28"/>
          <w:szCs w:val="28"/>
        </w:rPr>
        <w:t xml:space="preserve">1.1 What This Document Decides</w:t>
      </w:r>
      <w:bookmarkEnd w:id="100001"/>
    </w:p>
    <w:p>
      <w:pPr>
        <w:spacing w:after="80" w:line="312"/>
        <w:jc w:val="both"/>
      </w:pPr>
      <w:r>
        <w:rPr>
          <w:rFonts w:ascii="Times New Roman" w:eastAsia="Microsoft YaHei"/>
          <w:color w:val="1A1A1A"/>
          <w:sz w:val="22"/>
          <w:szCs w:val="22"/>
        </w:rPr>
        <w:t xml:space="preserve">This document makes the following binding decisions: (a) VIXOR product identity and what it is not, (b) the two-vertical boundary between On-Chain and Markets, (c) the complete OSS Master Decision Matrix with license gates, (d) the canonical data model for 23 core entities, (e) the provider architecture and normalization contracts, (f) the Signal Architecture with server-authoritative transitions, (g) the MOXI V2 architecture with context aggregation, (h) the Event Architecture separating domain events from durable jobs, (i) the route consolidation from 39 routes to 12 core experiences, (j) the replanning of old Tasks 2 through 7 into the new V2 phase structure, (k) the complete phase map with dependency graphs and exit criteria, (l) a risk register with mitigation strategies, and (m) a list of decisions that require explicit human approval before coding begins.</w:t>
      </w:r>
    </w:p>
    <w:p>
      <w:pPr>
        <w:pStyle w:val="Heading1"/>
        <w:spacing w:after="200" w:before="600"/>
      </w:pPr>
      <w:bookmarkStart w:id="100002" w:name="_Toc100002"/>
      <w:r>
        <w:rPr>
          <w:rFonts w:ascii="Calibri" w:eastAsia="SimHei"/>
          <w:b/>
          <w:bCs/>
          <w:color w:val="0F2027"/>
          <w:sz w:val="32"/>
          <w:szCs w:val="32"/>
        </w:rPr>
        <w:t xml:space="preserve">2. Current Reality Summary</w:t>
      </w:r>
      <w:bookmarkEnd w:id="100002"/>
    </w:p>
    <w:p>
      <w:pPr>
        <w:spacing w:after="80" w:line="312"/>
        <w:jc w:val="both"/>
      </w:pPr>
      <w:r>
        <w:rPr>
          <w:rFonts w:ascii="Times New Roman" w:eastAsia="Microsoft YaHei"/>
          <w:color w:val="1A1A1A"/>
          <w:sz w:val="22"/>
          <w:szCs w:val="22"/>
        </w:rPr>
        <w:t xml:space="preserve">This section synthesizes the evidence from the Phase 0 Reality Baseline document (VIXOR_REALITY_BASELINE.docx) into an architectural context. Every statement below is backed by the evidence standard defined in Phase 0: REAL means fully functional in production, PARTIAL means functional but limited, MOCK means intentional test infrastructure, BROKEN means code produces incorrect results, DEAD means code is unreachable from any production path, and MISSING means required but not implemented. The maturity model is: EXISTS then WIRED then RUNTIME-USED then PROVEN. Only PROVEN capabilities may be treated as fully operational dependencies.</w:t>
      </w:r>
    </w:p>
    <w:p>
      <w:pPr>
        <w:pStyle w:val="Heading2"/>
        <w:spacing w:after="160" w:before="400"/>
      </w:pPr>
      <w:bookmarkStart w:id="100003" w:name="_Toc100003"/>
      <w:r>
        <w:rPr>
          <w:rFonts w:ascii="Calibri" w:eastAsia="SimHei"/>
          <w:b/>
          <w:bCs/>
          <w:color w:val="0F2027"/>
          <w:sz w:val="28"/>
          <w:szCs w:val="28"/>
        </w:rPr>
        <w:t xml:space="preserve">2.1 Repository State</w:t>
      </w:r>
      <w:bookmarkEnd w:id="100003"/>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tblGrid>
      <w:tr>
        <w:trPr>
          <w:tblHeader/>
        </w:trPr>
        <w:tc>
          <w:tcPr>
            <w:tcW w:type="pct" w:w="35%"/>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Dimension</w:t>
            </w:r>
          </w:p>
        </w:tc>
        <w:tc>
          <w:tcPr>
            <w:tcW w:type="pct" w:w="45%"/>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Value</w:t>
            </w:r>
          </w:p>
        </w:tc>
        <w:tc>
          <w:tcPr>
            <w:tcW w:type="pct" w:w="2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Status</w:t>
            </w:r>
          </w:p>
        </w:tc>
      </w:tr>
      <w:tr>
        <w:trPr>
          <w:cantSplit/>
        </w:trPr>
        <w:tc>
          <w:tcPr>
            <w:tcW w:type="pct" w:w="3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Commit</w:t>
            </w:r>
          </w:p>
        </w:tc>
        <w:tc>
          <w:tcPr>
            <w:tcW w:type="pct" w:w="4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32bbf147a30e2448a5c89d504fd7ef5ec3143bac</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Verified</w:t>
            </w:r>
          </w:p>
        </w:tc>
      </w:tr>
      <w:tr>
        <w:trPr>
          <w:cantSplit/>
        </w:trPr>
        <w:tc>
          <w:tcPr>
            <w:tcW w:type="pct" w:w="3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Branch</w:t>
            </w:r>
          </w:p>
        </w:tc>
        <w:tc>
          <w:tcPr>
            <w:tcW w:type="pct" w:w="4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main</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Verified</w:t>
            </w:r>
          </w:p>
        </w:tc>
      </w:tr>
      <w:tr>
        <w:trPr>
          <w:cantSplit/>
        </w:trPr>
        <w:tc>
          <w:tcPr>
            <w:tcW w:type="pct" w:w="3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Package Manager</w:t>
            </w:r>
          </w:p>
        </w:tc>
        <w:tc>
          <w:tcPr>
            <w:tcW w:type="pct" w:w="4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pnpm 9.15.0 (declared)</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Verified</w:t>
            </w:r>
          </w:p>
        </w:tc>
      </w:tr>
      <w:tr>
        <w:trPr>
          <w:cantSplit/>
        </w:trPr>
        <w:tc>
          <w:tcPr>
            <w:tcW w:type="pct" w:w="3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Framework</w:t>
            </w:r>
          </w:p>
        </w:tc>
        <w:tc>
          <w:tcPr>
            <w:tcW w:type="pct" w:w="4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TanStack Start 1.168.25 + React 19.2.0 + Vite 7.3.1</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Verified</w:t>
            </w:r>
          </w:p>
        </w:tc>
      </w:tr>
      <w:tr>
        <w:trPr>
          <w:cantSplit/>
        </w:trPr>
        <w:tc>
          <w:tcPr>
            <w:tcW w:type="pct" w:w="3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Database</w:t>
            </w:r>
          </w:p>
        </w:tc>
        <w:tc>
          <w:tcPr>
            <w:tcW w:type="pct" w:w="4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Supabase (47 tables, 26 migrations, all RLS)</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Verified</w:t>
            </w:r>
          </w:p>
        </w:tc>
      </w:tr>
      <w:tr>
        <w:trPr>
          <w:cantSplit/>
        </w:trPr>
        <w:tc>
          <w:tcPr>
            <w:tcW w:type="pct" w:w="3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Domain Engines</w:t>
            </w:r>
          </w:p>
        </w:tc>
        <w:tc>
          <w:tcPr>
            <w:tcW w:type="pct" w:w="4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23 (18 REAL, 2 PARTIAL, 1 MOCK, 1 BROKEN, 1 PARTIAL)</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Verified</w:t>
            </w:r>
          </w:p>
        </w:tc>
      </w:tr>
      <w:tr>
        <w:trPr>
          <w:cantSplit/>
        </w:trPr>
        <w:tc>
          <w:tcPr>
            <w:tcW w:type="pct" w:w="3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Route Pages</w:t>
            </w:r>
          </w:p>
        </w:tc>
        <w:tc>
          <w:tcPr>
            <w:tcW w:type="pct" w:w="4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39 (27 REAL, 10 PARTIAL, 2 DEAD)</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Verified</w:t>
            </w:r>
          </w:p>
        </w:tc>
      </w:tr>
      <w:tr>
        <w:trPr>
          <w:cantSplit/>
        </w:trPr>
        <w:tc>
          <w:tcPr>
            <w:tcW w:type="pct" w:w="3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API Routes</w:t>
            </w:r>
          </w:p>
        </w:tc>
        <w:tc>
          <w:tcPr>
            <w:tcW w:type="pct" w:w="4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14 (13 REAL, 1 DUPLICATE)</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Verified</w:t>
            </w:r>
          </w:p>
        </w:tc>
      </w:tr>
      <w:tr>
        <w:trPr>
          <w:cantSplit/>
        </w:trPr>
        <w:tc>
          <w:tcPr>
            <w:tcW w:type="pct" w:w="3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Market Data Clients</w:t>
            </w:r>
          </w:p>
        </w:tc>
        <w:tc>
          <w:tcPr>
            <w:tcW w:type="pct" w:w="4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16 (12 REAL, 4 DEAD, 6 PARTIAL need keys)</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Verified</w:t>
            </w:r>
          </w:p>
        </w:tc>
      </w:tr>
      <w:tr>
        <w:trPr>
          <w:cantSplit/>
        </w:trPr>
        <w:tc>
          <w:tcPr>
            <w:tcW w:type="pct" w:w="3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WebSocket Connections</w:t>
            </w:r>
          </w:p>
        </w:tc>
        <w:tc>
          <w:tcPr>
            <w:tcW w:type="pct" w:w="4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3 (Binance WS, DexScreener WS, WalletConnect)</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Verified</w:t>
            </w:r>
          </w:p>
        </w:tc>
      </w:tr>
      <w:tr>
        <w:trPr>
          <w:cantSplit/>
        </w:trPr>
        <w:tc>
          <w:tcPr>
            <w:tcW w:type="pct" w:w="3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Tests</w:t>
            </w:r>
          </w:p>
        </w:tc>
        <w:tc>
          <w:tcPr>
            <w:tcW w:type="pct" w:w="4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307 passing across 18 files, zero skips</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Verified</w:t>
            </w:r>
          </w:p>
        </w:tc>
      </w:tr>
      <w:tr>
        <w:trPr>
          <w:cantSplit/>
        </w:trPr>
        <w:tc>
          <w:tcPr>
            <w:tcW w:type="pct" w:w="3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TypeScript TypeCheck</w:t>
            </w:r>
          </w:p>
        </w:tc>
        <w:tc>
          <w:tcPr>
            <w:tcW w:type="pct" w:w="4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Zero errors (tsc --noEmit)</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Verified</w:t>
            </w:r>
          </w:p>
        </w:tc>
      </w:tr>
      <w:tr>
        <w:trPr>
          <w:cantSplit/>
        </w:trPr>
        <w:tc>
          <w:tcPr>
            <w:tcW w:type="pct" w:w="3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Build</w:t>
            </w:r>
          </w:p>
        </w:tc>
        <w:tc>
          <w:tcPr>
            <w:tcW w:type="pct" w:w="4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Not verified (pnpm not in environment)</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Partial</w:t>
            </w:r>
          </w:p>
        </w:tc>
      </w:tr>
      <w:tr>
        <w:trPr>
          <w:cantSplit/>
        </w:trPr>
        <w:tc>
          <w:tcPr>
            <w:tcW w:type="pct" w:w="3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CI Pipeline</w:t>
            </w:r>
          </w:p>
        </w:tc>
        <w:tc>
          <w:tcPr>
            <w:tcW w:type="pct" w:w="4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None (no GitHub Actions, no test script)</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MISSING</w:t>
            </w:r>
          </w:p>
        </w:tc>
      </w:tr>
      <w:tr>
        <w:trPr>
          <w:cantSplit/>
        </w:trPr>
        <w:tc>
          <w:tcPr>
            <w:tcW w:type="pct" w:w="3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Production Dependencies</w:t>
            </w:r>
          </w:p>
        </w:tc>
        <w:tc>
          <w:tcPr>
            <w:tcW w:type="pct" w:w="4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96 (86 used, 10 truly UNUSED)</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Verified</w:t>
            </w:r>
          </w:p>
        </w:tc>
      </w:tr>
    </w:tbl>
    <w:p>
      <w:pPr>
        <w:pStyle w:val="Heading2"/>
        <w:spacing w:after="160" w:before="400"/>
      </w:pPr>
      <w:bookmarkStart w:id="100004" w:name="_Toc100004"/>
      <w:r>
        <w:rPr>
          <w:rFonts w:ascii="Calibri" w:eastAsia="SimHei"/>
          <w:b/>
          <w:bCs/>
          <w:color w:val="0F2027"/>
          <w:sz w:val="28"/>
          <w:szCs w:val="28"/>
        </w:rPr>
        <w:t xml:space="preserve">2.2 Critical Findings from Phase 0</w:t>
      </w:r>
      <w:bookmarkEnd w:id="100004"/>
    </w:p>
    <w:p>
      <w:pPr>
        <w:spacing w:after="80" w:line="312"/>
        <w:jc w:val="both"/>
      </w:pPr>
      <w:r>
        <w:rPr>
          <w:rFonts w:ascii="Times New Roman" w:eastAsia="Microsoft YaHei"/>
          <w:color w:val="1A1A1A"/>
          <w:sz w:val="22"/>
          <w:szCs w:val="22"/>
        </w:rPr>
        <w:t xml:space="preserve">The Phase 0 audit identified 18 findings (F1 through F18) that must be carried forward into the V2 architecture. Each finding is mapped below to its architectural impact, affected capability, affected user journey, priority, target phase, and the tasks required to resolve it. These mappings ensure no finding is silently resolved or forgotten during implementation.</w:t>
      </w:r>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tblGrid>
      <w:tr>
        <w:trPr>
          <w:tblHeader/>
        </w:trPr>
        <w:tc>
          <w:tcPr>
            <w:tcW w:type="pct" w:w="6%"/>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ID</w:t>
            </w:r>
          </w:p>
        </w:tc>
        <w:tc>
          <w:tcPr>
            <w:tcW w:type="pct" w:w="4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Finding</w:t>
            </w:r>
          </w:p>
        </w:tc>
        <w:tc>
          <w:tcPr>
            <w:tcW w:type="pct" w:w="3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Impact</w:t>
            </w:r>
          </w:p>
        </w:tc>
        <w:tc>
          <w:tcPr>
            <w:tcW w:type="pct" w:w="2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Target Phase</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F1</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createTrade drops validated fields (pair, direction, entry_price)</w:t>
            </w:r>
          </w:p>
        </w:tc>
        <w:tc>
          <w:tcPr>
            <w:tcW w:type="pct" w:w="3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Trade data integrity; blocks PnL, portfolio, journal</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w:t>
            </w:r>
          </w:p>
        </w:tc>
      </w:tr>
      <w:tr>
        <w:trPr>
          <w:cantSplit/>
        </w:trPr>
        <w:tc>
          <w:tcPr>
            <w:tcW w:type="pct" w:w="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F2</w:t>
            </w:r>
          </w:p>
        </w:tc>
        <w:tc>
          <w:tcPr>
            <w:tcW w:type="pct" w:w="4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Signal Transition Engine exists but not invoked server-side</w:t>
            </w:r>
          </w:p>
        </w:tc>
        <w:tc>
          <w:tcPr>
            <w:tcW w:type="pct" w:w="3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Client-authoritative state; signal integrity compromised</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4</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F3</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18 DB tables missing from TypeScript types</w:t>
            </w:r>
          </w:p>
        </w:tc>
        <w:tc>
          <w:tcPr>
            <w:tcW w:type="pct" w:w="3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 type safety for 18 tables; developer experience</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w:t>
            </w:r>
          </w:p>
        </w:tc>
      </w:tr>
      <w:tr>
        <w:trPr>
          <w:cantSplit/>
        </w:trPr>
        <w:tc>
          <w:tcPr>
            <w:tcW w:type="pct" w:w="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F4</w:t>
            </w:r>
          </w:p>
        </w:tc>
        <w:tc>
          <w:tcPr>
            <w:tcW w:type="pct" w:w="4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Event bus: 20 events defined, ZERO handlers registered</w:t>
            </w:r>
          </w:p>
        </w:tc>
        <w:tc>
          <w:tcPr>
            <w:tcW w:type="pct" w:w="3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Events are dead in production; no observability</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7</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F5</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4 DEAD market data client files in shared/</w:t>
            </w:r>
          </w:p>
        </w:tc>
        <w:tc>
          <w:tcPr>
            <w:tcW w:type="pct" w:w="3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Code clutter; confusion about which clients are active</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w:t>
            </w:r>
          </w:p>
        </w:tc>
      </w:tr>
      <w:tr>
        <w:trPr>
          <w:cantSplit/>
        </w:trPr>
        <w:tc>
          <w:tcPr>
            <w:tcW w:type="pct" w:w="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F6</w:t>
            </w:r>
          </w:p>
        </w:tc>
        <w:tc>
          <w:tcPr>
            <w:tcW w:type="pct" w:w="4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10 truly unused npm dependencies</w:t>
            </w:r>
          </w:p>
        </w:tc>
        <w:tc>
          <w:tcPr>
            <w:tcW w:type="pct" w:w="3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Bundle size; maintenance burden</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2</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F7</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Client-authoritative signal price evaluation</w:t>
            </w:r>
          </w:p>
        </w:tc>
        <w:tc>
          <w:tcPr>
            <w:tcW w:type="pct" w:w="3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hit_tp and timestamps are client-controlled</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4</w:t>
            </w:r>
          </w:p>
        </w:tc>
      </w:tr>
      <w:tr>
        <w:trPr>
          <w:cantSplit/>
        </w:trPr>
        <w:tc>
          <w:tcPr>
            <w:tcW w:type="pct" w:w="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F8</w:t>
            </w:r>
          </w:p>
        </w:tc>
        <w:tc>
          <w:tcPr>
            <w:tcW w:type="pct" w:w="4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4 AI agent panels with 80% duplicated code</w:t>
            </w:r>
          </w:p>
        </w:tc>
        <w:tc>
          <w:tcPr>
            <w:tcW w:type="pct" w:w="3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Maintenance burden; inconsistent behavior</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9</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F9</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2 chart components with 80% duplicated code</w:t>
            </w:r>
          </w:p>
        </w:tc>
        <w:tc>
          <w:tcPr>
            <w:tcW w:type="pct" w:w="3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Maintenance burden; inconsistent chart UX</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w:t>
            </w:r>
          </w:p>
        </w:tc>
      </w:tr>
      <w:tr>
        <w:trPr>
          <w:cantSplit/>
        </w:trPr>
        <w:tc>
          <w:tcPr>
            <w:tcW w:type="pct" w:w="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F10</w:t>
            </w:r>
          </w:p>
        </w:tc>
        <w:tc>
          <w:tcPr>
            <w:tcW w:type="pct" w:w="4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Duplicate Telegram webhooks</w:t>
            </w:r>
          </w:p>
        </w:tc>
        <w:tc>
          <w:tcPr>
            <w:tcW w:type="pct" w:w="3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Confusion; potential double-processing</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2</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F11</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5 components hardcode strings (bypass i18n)</w:t>
            </w:r>
          </w:p>
        </w:tc>
        <w:tc>
          <w:tcPr>
            <w:tcW w:type="pct" w:w="3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i18n coverage gap</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9</w:t>
            </w:r>
          </w:p>
        </w:tc>
      </w:tr>
      <w:tr>
        <w:trPr>
          <w:cantSplit/>
        </w:trPr>
        <w:tc>
          <w:tcPr>
            <w:tcW w:type="pct" w:w="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F12</w:t>
            </w:r>
          </w:p>
        </w:tc>
        <w:tc>
          <w:tcPr>
            <w:tcW w:type="pct" w:w="4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signal_status enum mismatch (invalidated)</w:t>
            </w:r>
          </w:p>
        </w:tc>
        <w:tc>
          <w:tcPr>
            <w:tcW w:type="pct" w:w="3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TypeScript type errors reading invalidated rows</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2</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F13</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.env.example incomplete (13 of 25+ vars)</w:t>
            </w:r>
          </w:p>
        </w:tc>
        <w:tc>
          <w:tcPr>
            <w:tcW w:type="pct" w:w="3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Onboarding difficulty; misconfiguration risk</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w:t>
            </w:r>
          </w:p>
        </w:tc>
      </w:tr>
      <w:tr>
        <w:trPr>
          <w:cantSplit/>
        </w:trPr>
        <w:tc>
          <w:tcPr>
            <w:tcW w:type="pct" w:w="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F14</w:t>
            </w:r>
          </w:p>
        </w:tc>
        <w:tc>
          <w:tcPr>
            <w:tcW w:type="pct" w:w="4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8 orphaned Storybook stories</w:t>
            </w:r>
          </w:p>
        </w:tc>
        <w:tc>
          <w:tcPr>
            <w:tcW w:type="pct" w:w="3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Dead code; no Storybook infrastructure</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2</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F15</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debate/index.ts dead code</w:t>
            </w:r>
          </w:p>
        </w:tc>
        <w:tc>
          <w:tcPr>
            <w:tcW w:type="pct" w:w="3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Confusion between dead and real engine</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w:t>
            </w:r>
          </w:p>
        </w:tc>
      </w:tr>
      <w:tr>
        <w:trPr>
          <w:cantSplit/>
        </w:trPr>
        <w:tc>
          <w:tcPr>
            <w:tcW w:type="pct" w:w="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F16</w:t>
            </w:r>
          </w:p>
        </w:tc>
        <w:tc>
          <w:tcPr>
            <w:tcW w:type="pct" w:w="4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2 orphaned routes (activity-web3, communities)</w:t>
            </w:r>
          </w:p>
        </w:tc>
        <w:tc>
          <w:tcPr>
            <w:tcW w:type="pct" w:w="3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Dead navigation targets</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9</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F17</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3 lock files (pnpm, npm, bun)</w:t>
            </w:r>
          </w:p>
        </w:tc>
        <w:tc>
          <w:tcPr>
            <w:tcW w:type="pct" w:w="3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Dependency resolution inconsistency</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w:t>
            </w:r>
          </w:p>
        </w:tc>
      </w:tr>
      <w:tr>
        <w:trPr>
          <w:cantSplit/>
        </w:trPr>
        <w:tc>
          <w:tcPr>
            <w:tcW w:type="pct" w:w="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F18</w:t>
            </w:r>
          </w:p>
        </w:tc>
        <w:tc>
          <w:tcPr>
            <w:tcW w:type="pct" w:w="4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 CI pipeline</w:t>
            </w:r>
          </w:p>
        </w:tc>
        <w:tc>
          <w:tcPr>
            <w:tcW w:type="pct" w:w="3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 automated quality gate</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2</w:t>
            </w:r>
          </w:p>
        </w:tc>
      </w:tr>
    </w:tbl>
    <w:p>
      <w:pPr>
        <w:pStyle w:val="Heading1"/>
        <w:spacing w:after="200" w:before="600"/>
      </w:pPr>
      <w:bookmarkStart w:id="100005" w:name="_Toc100005"/>
      <w:r>
        <w:rPr>
          <w:rFonts w:ascii="Calibri" w:eastAsia="SimHei"/>
          <w:b/>
          <w:bCs/>
          <w:color w:val="0F2027"/>
          <w:sz w:val="32"/>
          <w:szCs w:val="32"/>
        </w:rPr>
        <w:t xml:space="preserve">3. Architecture Principles</w:t>
      </w:r>
      <w:bookmarkEnd w:id="100005"/>
    </w:p>
    <w:p>
      <w:pPr>
        <w:spacing w:after="80" w:line="312"/>
        <w:jc w:val="both"/>
      </w:pPr>
      <w:r>
        <w:rPr>
          <w:rFonts w:ascii="Times New Roman" w:eastAsia="Microsoft YaHei"/>
          <w:color w:val="1A1A1A"/>
          <w:sz w:val="22"/>
          <w:szCs w:val="22"/>
        </w:rPr>
        <w:t xml:space="preserve">The following principles are non-negotiable constraints on every architectural decision and implementation task. They are derived from the VIXOR V2 Master Transformation Contract and validated against the Phase 0 Reality Baseline. Any violation of these principles requires an explicit exception documented in this Architecture Decision Freeze.</w:t>
      </w:r>
    </w:p>
    <w:p>
      <w:pPr>
        <w:pStyle w:val="Heading2"/>
        <w:spacing w:after="160" w:before="400"/>
      </w:pPr>
      <w:bookmarkStart w:id="100006" w:name="_Toc100006"/>
      <w:r>
        <w:rPr>
          <w:rFonts w:ascii="Calibri" w:eastAsia="SimHei"/>
          <w:b/>
          <w:bCs/>
          <w:color w:val="0F2027"/>
          <w:sz w:val="28"/>
          <w:szCs w:val="28"/>
        </w:rPr>
        <w:t xml:space="preserve">3.1 Capability-First Principle</w:t>
      </w:r>
      <w:bookmarkEnd w:id="100006"/>
    </w:p>
    <w:p>
      <w:pPr>
        <w:spacing w:after="80" w:line="312"/>
        <w:jc w:val="both"/>
      </w:pPr>
      <w:r>
        <w:rPr>
          <w:rFonts w:ascii="Times New Roman" w:eastAsia="Microsoft YaHei"/>
          <w:color w:val="1A1A1A"/>
          <w:sz w:val="22"/>
          <w:szCs w:val="22"/>
        </w:rPr>
        <w:t xml:space="preserve">Every technology, OSS project, code module, and architectural component must map to a verified user capability through a clear chain: Technology enables a Capability which enables a User Action which serves a User Journey phase which produces a Measurable Outcome. If any link in this chain cannot be established with evidence from the Reality Baseline, the technology must not be added. This principle eliminates the Frankenstein Architecture anti-pattern where impressive libraries are integrated without product purpose. The current codebase already contains evidence of this anti-pattern: 4 DEAD market data clients, 10 unused npm dependencies, and 8 orphaned Storybook stories represent technology added without verified capability linkage.</w:t>
      </w:r>
    </w:p>
    <w:p>
      <w:pPr>
        <w:pStyle w:val="Heading2"/>
        <w:spacing w:after="160" w:before="400"/>
      </w:pPr>
      <w:bookmarkStart w:id="100007" w:name="_Toc100007"/>
      <w:r>
        <w:rPr>
          <w:rFonts w:ascii="Calibri" w:eastAsia="SimHei"/>
          <w:b/>
          <w:bCs/>
          <w:color w:val="0F2027"/>
          <w:sz w:val="28"/>
          <w:szCs w:val="28"/>
        </w:rPr>
        <w:t xml:space="preserve">3.2 Server Authority Principle</w:t>
      </w:r>
      <w:bookmarkEnd w:id="100007"/>
    </w:p>
    <w:p>
      <w:pPr>
        <w:spacing w:after="80" w:line="312"/>
        <w:jc w:val="both"/>
      </w:pPr>
      <w:r>
        <w:rPr>
          <w:rFonts w:ascii="Times New Roman" w:eastAsia="Microsoft YaHei"/>
          <w:color w:val="1A1A1A"/>
          <w:sz w:val="22"/>
          <w:szCs w:val="22"/>
        </w:rPr>
        <w:t xml:space="preserve">All state transitions that affect trade integrity, signal lifecycle, or financial calculations must be server-authoritative. The client may DISPLAY state but must never AUTHORITATIVELY DECIDE state. This principle is currently violated in signal tracking, where price evaluation happens client-side via the useSignalMonitor hook. The existing Transition Engine (75 tests, pure function, locked at commit 4ffad75) is the correct domain model; the problem is that it is invoked on the client instead of the server. The fix is not to redesign the engine but to relocate its invocation and add server-side timestamps, atomic commits, and event emission.</w:t>
      </w:r>
    </w:p>
    <w:p>
      <w:pPr>
        <w:pStyle w:val="Heading2"/>
        <w:spacing w:after="160" w:before="400"/>
      </w:pPr>
      <w:bookmarkStart w:id="100008" w:name="_Toc100008"/>
      <w:r>
        <w:rPr>
          <w:rFonts w:ascii="Calibri" w:eastAsia="SimHei"/>
          <w:b/>
          <w:bCs/>
          <w:color w:val="0F2027"/>
          <w:sz w:val="28"/>
          <w:szCs w:val="28"/>
        </w:rPr>
        <w:t xml:space="preserve">3.3 Reality Baseline Wins Principle</w:t>
      </w:r>
      <w:bookmarkEnd w:id="100008"/>
    </w:p>
    <w:p>
      <w:pPr>
        <w:spacing w:after="80" w:line="312"/>
        <w:jc w:val="both"/>
      </w:pPr>
      <w:r>
        <w:rPr>
          <w:rFonts w:ascii="Times New Roman" w:eastAsia="Microsoft YaHei"/>
          <w:color w:val="1A1A1A"/>
          <w:sz w:val="22"/>
          <w:szCs w:val="22"/>
        </w:rPr>
        <w:t xml:space="preserve">If any previous architecture document (VIXOR_Architecture_V2_Product_Intelligence.docx, VIXOR_Architecture_V2_OSS_Research.docx, VIXOR_Architecture_V2_Revised.docx) claims that something is implemented or operational, but the Phase 0 Reality Baseline proves otherwise with file-level evidence, the Reality Baseline wins. The maturity model is strict: EXISTS then WIRED then RUNTIME-USED then PROVEN. Only PROVEN may be treated as complete. For example, the previous architecture document classified Whale Monitoring as REAL, but the Reality Baseline proves it only shows the user's own trades sorted by value. Therefore, Whale Monitoring is reclassified as MISSING in this document.</w:t>
      </w:r>
    </w:p>
    <w:p>
      <w:pPr>
        <w:pStyle w:val="Heading2"/>
        <w:spacing w:after="160" w:before="400"/>
      </w:pPr>
      <w:bookmarkStart w:id="100009" w:name="_Toc100009"/>
      <w:r>
        <w:rPr>
          <w:rFonts w:ascii="Calibri" w:eastAsia="SimHei"/>
          <w:b/>
          <w:bCs/>
          <w:color w:val="0F2027"/>
          <w:sz w:val="28"/>
          <w:szCs w:val="28"/>
        </w:rPr>
        <w:t xml:space="preserve">3.4 Minimum Powerful Stack Principle</w:t>
      </w:r>
      <w:bookmarkEnd w:id="100009"/>
    </w:p>
    <w:p>
      <w:pPr>
        <w:spacing w:after="80" w:line="312"/>
        <w:jc w:val="both"/>
      </w:pPr>
      <w:r>
        <w:rPr>
          <w:rFonts w:ascii="Times New Roman" w:eastAsia="Microsoft YaHei"/>
          <w:color w:val="1A1A1A"/>
          <w:sz w:val="22"/>
          <w:szCs w:val="22"/>
        </w:rPr>
        <w:t xml:space="preserve">VIXOR uses a Minimum Powerful Stack: no redundant libraries, no Frankenstein architecture, no technology added for future potential. Every dependency must earn its place through current, verified user value. The stack is TypeScript end-to-end for the product layer. Python is only acceptable as an isolated microservice for heavy quantitative computation that cannot be performed efficiently in TypeScript. This principle means that projects like Mastra (overlaps Vercel AI SDK), tulip-node (C library with unofficial TS wrapper, overlaps existing analysis engine), and NATS (overkill for current scale) must pass explicit POC gates before entering the stack.</w:t>
      </w:r>
    </w:p>
    <w:p>
      <w:pPr>
        <w:pStyle w:val="Heading2"/>
        <w:spacing w:after="160" w:before="400"/>
      </w:pPr>
      <w:bookmarkStart w:id="100010" w:name="_Toc100010"/>
      <w:r>
        <w:rPr>
          <w:rFonts w:ascii="Calibri" w:eastAsia="SimHei"/>
          <w:b/>
          <w:bCs/>
          <w:color w:val="0F2027"/>
          <w:sz w:val="28"/>
          <w:szCs w:val="28"/>
        </w:rPr>
        <w:t xml:space="preserve">3.5 Two-Vertical Separation Principle</w:t>
      </w:r>
      <w:bookmarkEnd w:id="100010"/>
    </w:p>
    <w:p>
      <w:pPr>
        <w:spacing w:after="80" w:line="312"/>
        <w:jc w:val="both"/>
      </w:pPr>
      <w:r>
        <w:rPr>
          <w:rFonts w:ascii="Times New Roman" w:eastAsia="Microsoft YaHei"/>
          <w:color w:val="1A1A1A"/>
          <w:sz w:val="22"/>
          <w:szCs w:val="22"/>
        </w:rPr>
        <w:t xml:space="preserve">VIXOR operates two distinct product verticals: ON-CHAIN (tokens, meme coins, wallets, whales, liquidity, DEX activity, on-chain discovery) and MARKETS (Gold, Forex, crypto markets, charts, SMC/ICT, indicators, setups, signals, tracking). These verticals have different data sources, different analysis paradigms, different user mental models, and different risk profiles. They share a platform layer (Signal, Creator, Share, Follow, Notifications, MOXI, Tracking, Reputation, Automation) but must not merge their domain semantics. On-Chain discovery scoring is fundamentally different from Markets SMC/ICT analysis; combining them would create a confused user experience and unmaintainable code.</w:t>
      </w:r>
    </w:p>
    <w:p>
      <w:pPr>
        <w:pStyle w:val="Heading2"/>
        <w:spacing w:after="160" w:before="400"/>
      </w:pPr>
      <w:bookmarkStart w:id="100011" w:name="_Toc100011"/>
      <w:r>
        <w:rPr>
          <w:rFonts w:ascii="Calibri" w:eastAsia="SimHei"/>
          <w:b/>
          <w:bCs/>
          <w:color w:val="0F2027"/>
          <w:sz w:val="28"/>
          <w:szCs w:val="28"/>
        </w:rPr>
        <w:t xml:space="preserve">3.6 No Regressions Principle</w:t>
      </w:r>
      <w:bookmarkEnd w:id="100011"/>
    </w:p>
    <w:p>
      <w:pPr>
        <w:spacing w:after="80" w:line="312"/>
        <w:jc w:val="both"/>
      </w:pPr>
      <w:r>
        <w:rPr>
          <w:rFonts w:ascii="Times New Roman" w:eastAsia="Microsoft YaHei"/>
          <w:color w:val="1A1A1A"/>
          <w:sz w:val="22"/>
          <w:szCs w:val="22"/>
        </w:rPr>
        <w:t xml:space="preserve">Every implementation task must include regression verification. The 307 existing tests must continue to pass after every change. The signal tracking contract (75 tests, locked at commit 4ffad75) must not be broken. Any task that modifies shared infrastructure (Supabase types, event system, notification system, market data hooks) must verify that all existing consumers continue to function correctly. New code must not break old functionality. This principle is enforced through the Definition of Done, which requires typecheck, lint, build, all tests passing, and runtime verification.</w:t>
      </w:r>
    </w:p>
    <w:p>
      <w:pPr>
        <w:pStyle w:val="Heading1"/>
        <w:spacing w:after="200" w:before="600"/>
      </w:pPr>
      <w:bookmarkStart w:id="100012" w:name="_Toc100012"/>
      <w:r>
        <w:rPr>
          <w:rFonts w:ascii="Calibri" w:eastAsia="SimHei"/>
          <w:b/>
          <w:bCs/>
          <w:color w:val="0F2027"/>
          <w:sz w:val="32"/>
          <w:szCs w:val="32"/>
        </w:rPr>
        <w:t xml:space="preserve">4. Product Definition</w:t>
      </w:r>
      <w:bookmarkEnd w:id="100012"/>
    </w:p>
    <w:p>
      <w:pPr>
        <w:spacing w:after="80" w:line="312"/>
        <w:jc w:val="both"/>
      </w:pPr>
      <w:r>
        <w:rPr>
          <w:rFonts w:ascii="Times New Roman" w:eastAsia="Microsoft YaHei"/>
          <w:color w:val="1A1A1A"/>
          <w:sz w:val="22"/>
          <w:szCs w:val="22"/>
        </w:rPr>
        <w:t xml:space="preserve">VIXOR is an AI-powered Trading Intelligence and Decision Platform. This identity is frozen by this Architecture Decision Freeze and must not change without a new Phase 1 amendment.</w:t>
      </w:r>
    </w:p>
    <w:p>
      <w:pPr>
        <w:pStyle w:val="Heading2"/>
        <w:spacing w:after="160" w:before="400"/>
      </w:pPr>
      <w:bookmarkStart w:id="100013" w:name="_Toc100013"/>
      <w:r>
        <w:rPr>
          <w:rFonts w:ascii="Calibri" w:eastAsia="SimHei"/>
          <w:b/>
          <w:bCs/>
          <w:color w:val="0F2027"/>
          <w:sz w:val="28"/>
          <w:szCs w:val="28"/>
        </w:rPr>
        <w:t xml:space="preserve">4.1 What VIXOR IS</w:t>
      </w:r>
      <w:bookmarkEnd w:id="100013"/>
    </w:p>
    <w:p>
      <w:pPr>
        <w:spacing w:after="80" w:line="312"/>
        <w:jc w:val="both"/>
      </w:pPr>
      <w:r>
        <w:rPr>
          <w:rFonts w:ascii="Times New Roman" w:eastAsia="Microsoft YaHei"/>
          <w:color w:val="1A1A1A"/>
          <w:sz w:val="22"/>
          <w:szCs w:val="22"/>
        </w:rPr>
        <w:t xml:space="preserve">VIXOR is an AI-powered Trading Intelligence and Decision Platform with five core product pillars: (1) MOXI as the intelligent copilot that assists every trading decision with reasoning, risk assessment, and contextual awareness; (2) Intelligence and Opportunity Ranking that transforms raw data into ranked, actionable opportunities using multi-source analysis and debate; (3) the Signal-to-Setup-to-Track-to-Review pipeline that converts market intelligence into executable, monitorable, and reviewable trading actions; (4) Real Market and Token Intelligence that provides live, normalized, cross-validated data from multiple providers; and (5) Decision Workflow that guides the user through Discover, Understand, Analyze, Decide, Setup, Track, Review, and Learn with MOXI assistance at every step.</w:t>
      </w:r>
    </w:p>
    <w:p>
      <w:pPr>
        <w:pStyle w:val="Heading2"/>
        <w:spacing w:after="160" w:before="400"/>
      </w:pPr>
      <w:bookmarkStart w:id="100014" w:name="_Toc100014"/>
      <w:r>
        <w:rPr>
          <w:rFonts w:ascii="Calibri" w:eastAsia="SimHei"/>
          <w:b/>
          <w:bCs/>
          <w:color w:val="0F2027"/>
          <w:sz w:val="28"/>
          <w:szCs w:val="28"/>
        </w:rPr>
        <w:t xml:space="preserve">4.2 What VIXOR is NOT</w:t>
      </w:r>
      <w:bookmarkEnd w:id="100014"/>
    </w:p>
    <w:p>
      <w:pPr>
        <w:spacing w:after="80" w:line="312"/>
        <w:jc w:val="both"/>
      </w:pPr>
      <w:r>
        <w:rPr>
          <w:rFonts w:ascii="Times New Roman" w:eastAsia="Microsoft YaHei"/>
          <w:color w:val="1A1A1A"/>
          <w:sz w:val="22"/>
          <w:szCs w:val="22"/>
        </w:rPr>
        <w:t xml:space="preserve">VIXOR is not a charting dashboard. While professional charts are a component, the product identity is intelligence and decision-making, not visualization. VIXOR is not a generic data aggregator. Data serves intelligence, not the reverse. VIXOR is not a chatbot. MOXI is a multi-agent system with tool execution, not a conversational interface. VIXOR is not a collection of signals. Signals are one stage in the product loop, not the product itself. VIXOR is not a bot framework. While trade execution is supported, VIXOR does not run autonomous trading strategies. VIXOR is not a collection of disconnected trading pages. The 39 current routes must consolidate into 12 core experiences, each serving a distinct User Journey phase.</w:t>
      </w:r>
    </w:p>
    <w:p>
      <w:pPr>
        <w:pStyle w:val="Heading2"/>
        <w:spacing w:after="160" w:before="400"/>
      </w:pPr>
      <w:bookmarkStart w:id="100015" w:name="_Toc100015"/>
      <w:r>
        <w:rPr>
          <w:rFonts w:ascii="Calibri" w:eastAsia="SimHei"/>
          <w:b/>
          <w:bCs/>
          <w:color w:val="0F2027"/>
          <w:sz w:val="28"/>
          <w:szCs w:val="28"/>
        </w:rPr>
        <w:t xml:space="preserve">4.3 Product Loop</w:t>
      </w:r>
      <w:bookmarkEnd w:id="100015"/>
    </w:p>
    <w:p>
      <w:pPr>
        <w:spacing w:after="80" w:line="312"/>
        <w:jc w:val="both"/>
      </w:pPr>
      <w:r>
        <w:rPr>
          <w:rFonts w:ascii="Times New Roman" w:eastAsia="Microsoft YaHei"/>
          <w:color w:val="1A1A1A"/>
          <w:sz w:val="22"/>
          <w:szCs w:val="22"/>
        </w:rPr>
        <w:t xml:space="preserve">The VIXOR Product Loop defines the canonical user journey through the platform. Every page, component, and feature must serve one or more phases of this loop. The phases are: DISCOVER (scan markets, find opportunities), UNDERSTAND (learn about assets, read MOXI analysis), ANALYZE (apply technical and fundamental analysis, verify data truth), DECIDE (evaluate risk/reward, commit to trade thesis with MOXI assistance), SETUP (create signal with validated Entry/SL/TP/R:R/Invalidation), TRACK (monitor active signals, receive alerts, manage positions), REVIEW (analyze completed trades, compute performance metrics, extract lessons), and LEARN (feed insights back to improve MOXI behavior, signal sensitivity, and strategy parameters). This loop is the ultimate test for every architectural decision: if a technology does not strengthen one or more phases of this loop, it must not enter VIXOR.</w:t>
      </w:r>
    </w:p>
    <w:p>
      <w:pPr>
        <w:pStyle w:val="Heading1"/>
        <w:spacing w:after="200" w:before="600"/>
      </w:pPr>
      <w:bookmarkStart w:id="100016" w:name="_Toc100016"/>
      <w:r>
        <w:rPr>
          <w:rFonts w:ascii="Calibri" w:eastAsia="SimHei"/>
          <w:b/>
          <w:bCs/>
          <w:color w:val="0F2027"/>
          <w:sz w:val="32"/>
          <w:szCs w:val="32"/>
        </w:rPr>
        <w:t xml:space="preserve">5. Two-Vertical Boundary</w:t>
      </w:r>
      <w:bookmarkEnd w:id="100016"/>
    </w:p>
    <w:p>
      <w:pPr>
        <w:spacing w:after="80" w:line="312"/>
        <w:jc w:val="both"/>
      </w:pPr>
      <w:r>
        <w:rPr>
          <w:rFonts w:ascii="Times New Roman" w:eastAsia="Microsoft YaHei"/>
          <w:color w:val="1A1A1A"/>
          <w:sz w:val="22"/>
          <w:szCs w:val="22"/>
        </w:rPr>
        <w:t xml:space="preserve">VIXOR operates two distinct product verticals that share a common platform layer. This section defines the boundary between the verticals and the shared platform. The boundary is not arbitrary; it reflects fundamentally different data paradigms, analysis methods, user mental models, and risk profiles. Mixing these verticals at the domain engine level would create confused code and confused users.</w:t>
      </w:r>
    </w:p>
    <w:p>
      <w:pPr>
        <w:pStyle w:val="Heading2"/>
        <w:spacing w:after="160" w:before="400"/>
      </w:pPr>
      <w:bookmarkStart w:id="100017" w:name="_Toc100017"/>
      <w:r>
        <w:rPr>
          <w:rFonts w:ascii="Calibri" w:eastAsia="SimHei"/>
          <w:b/>
          <w:bCs/>
          <w:color w:val="0F2027"/>
          <w:sz w:val="28"/>
          <w:szCs w:val="28"/>
        </w:rPr>
        <w:t xml:space="preserve">5.1 ON-CHAIN Vertical</w:t>
      </w:r>
      <w:bookmarkEnd w:id="100017"/>
    </w:p>
    <w:p>
      <w:pPr>
        <w:spacing w:after="80" w:line="312"/>
        <w:jc w:val="both"/>
      </w:pPr>
      <w:r>
        <w:rPr>
          <w:rFonts w:ascii="Times New Roman" w:eastAsia="Microsoft YaHei"/>
          <w:color w:val="1A1A1A"/>
          <w:sz w:val="22"/>
          <w:szCs w:val="22"/>
        </w:rPr>
        <w:t xml:space="preserve">The On-Chain vertical deals with blockchain-native assets and activities. Its primary objects are: tokens (metadata, price, liquidity), meme coins (launch detection, rug analysis), wallets (user-owned and monitored), whales (smart money tracking, large transaction monitoring), liquidity (pool analysis, LP tracking), holders (distribution analysis), DEX activity (swap tracking, volume analysis), on-chain activity (transaction feeds, contract interactions), discovery (new token scoring, launch detection), token risk (contract audit signals, honeypot detection), and execution (DEX swap execution via Jupiter/Axiom). The primary data sources are DexScreener, Birdeye, Helius RPC, Mobula, and on-chain RPC endpoints. The primary analysis methods are on-chain metrics (velocity, holder concentration, smart money flows) and social signals (Twitter, LunarCrush). The user mental model is exploratory: scanning, filtering, and scoring large numbers of tokens to find opportunities.</w:t>
      </w:r>
    </w:p>
    <w:p>
      <w:pPr>
        <w:pStyle w:val="Heading2"/>
        <w:spacing w:after="160" w:before="400"/>
      </w:pPr>
      <w:bookmarkStart w:id="100018" w:name="_Toc100018"/>
      <w:r>
        <w:rPr>
          <w:rFonts w:ascii="Calibri" w:eastAsia="SimHei"/>
          <w:b/>
          <w:bCs/>
          <w:color w:val="0F2027"/>
          <w:sz w:val="28"/>
          <w:szCs w:val="28"/>
        </w:rPr>
        <w:t xml:space="preserve">5.2 MARKETS Vertical</w:t>
      </w:r>
      <w:bookmarkEnd w:id="100018"/>
    </w:p>
    <w:p>
      <w:pPr>
        <w:spacing w:after="80" w:line="312"/>
        <w:jc w:val="both"/>
      </w:pPr>
      <w:r>
        <w:rPr>
          <w:rFonts w:ascii="Times New Roman" w:eastAsia="Microsoft YaHei"/>
          <w:color w:val="1A1A1A"/>
          <w:sz w:val="22"/>
          <w:szCs w:val="22"/>
        </w:rPr>
        <w:t xml:space="preserve">The Markets vertical deals with traditional and crypto market analysis and execution. Its primary objects are: Gold, Forex pairs, crypto markets (where applicable), charts (candlestick, technical), SMC/ICT analysis (Smart Money Concepts, Institutional concepts), indicators (RSI, MACD, Bollinger, ATR, and 50+ others), setups (trade configurations with Entry/SL/TP), signals (lifecycle-managed trade ideas), and tracking (position monitoring with server-authoritative state). The primary data sources are Binance (REST and WebSocket), TwelveData, Finnhub, TradingView, and CCXT-connected exchanges. The primary analysis methods are technical analysis (SMC/ICT engine, 1116-line analysis engine), chart pattern recognition (VLM-based chart vision), and fundamental analysis (via MOXI agents). The user mental model is focused: deep analysis of a specific asset to decide whether to trade.</w:t>
      </w:r>
    </w:p>
    <w:p>
      <w:pPr>
        <w:pStyle w:val="Heading2"/>
        <w:spacing w:after="160" w:before="400"/>
      </w:pPr>
      <w:bookmarkStart w:id="100019" w:name="_Toc100019"/>
      <w:r>
        <w:rPr>
          <w:rFonts w:ascii="Calibri" w:eastAsia="SimHei"/>
          <w:b/>
          <w:bCs/>
          <w:color w:val="0F2027"/>
          <w:sz w:val="28"/>
          <w:szCs w:val="28"/>
        </w:rPr>
        <w:t xml:space="preserve">5.3 Shared Platform Layer</w:t>
      </w:r>
      <w:bookmarkEnd w:id="100019"/>
    </w:p>
    <w:p>
      <w:pPr>
        <w:spacing w:after="80" w:line="312"/>
        <w:jc w:val="both"/>
      </w:pPr>
      <w:r>
        <w:rPr>
          <w:rFonts w:ascii="Times New Roman" w:eastAsia="Microsoft YaHei"/>
          <w:color w:val="1A1A1A"/>
          <w:sz w:val="22"/>
          <w:szCs w:val="22"/>
        </w:rPr>
        <w:t xml:space="preserve">Both verticals share the following platform capabilities: Signal (lifecycle management, transition engine, server authority), Creator (user-generated content and signals), Share (deep linking, Telegram/X sharing), Follow (signal creator subscription), Notifications (4 channels: in-app, Telegram, Email, Webhook), MOXI (AI copilot serving both verticals), Tracking (real-time position monitoring), Reputation (signal creator performance tracking), and Automation (alerts, cron jobs, event-driven actions). The platform layer provides these as services to both verticals, ensuring consistency and avoiding code duplication.</w:t>
      </w:r>
    </w:p>
    <w:p>
      <w:pPr>
        <w:pStyle w:val="Heading1"/>
        <w:spacing w:after="200" w:before="600"/>
      </w:pPr>
      <w:bookmarkStart w:id="100020" w:name="_Toc100020"/>
      <w:r>
        <w:rPr>
          <w:rFonts w:ascii="Calibri" w:eastAsia="SimHei"/>
          <w:b/>
          <w:bCs/>
          <w:color w:val="0F2027"/>
          <w:sz w:val="32"/>
          <w:szCs w:val="32"/>
        </w:rPr>
        <w:t xml:space="preserve">6. Capability Map</w:t>
      </w:r>
      <w:bookmarkEnd w:id="100020"/>
    </w:p>
    <w:p>
      <w:pPr>
        <w:spacing w:after="80" w:line="312"/>
        <w:jc w:val="both"/>
      </w:pPr>
      <w:r>
        <w:rPr>
          <w:rFonts w:ascii="Times New Roman" w:eastAsia="Microsoft YaHei"/>
          <w:color w:val="1A1A1A"/>
          <w:sz w:val="22"/>
          <w:szCs w:val="22"/>
        </w:rPr>
        <w:t xml:space="preserve">The Capability Map is the master reference that links every user-facing capability to its current status, evidence, ownership, user journey phase, target V2 owner, required action, OSS dependencies, priority, and target phase. This map is derived from the Phase 0 Reality Baseline (evidence) and the Product Intelligence Architecture V2 (target state). Every row represents a verified connection between a capability and the user journey. Capabilities without a verified user journey connection are marked for removal or demotion.</w:t>
      </w:r>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gridCol w:w="100"/>
      </w:tblGrid>
      <w:tr>
        <w:trPr>
          <w:tblHeader/>
        </w:trPr>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Capability</w:t>
            </w:r>
          </w:p>
        </w:tc>
        <w:tc>
          <w:tcPr>
            <w:tcW w:type="pct" w:w="1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Current</w:t>
            </w:r>
          </w:p>
        </w:tc>
        <w:tc>
          <w:tcPr>
            <w:tcW w:type="pct" w:w="3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Evidence</w:t>
            </w:r>
          </w:p>
        </w:tc>
        <w:tc>
          <w:tcPr>
            <w:tcW w:type="pct" w:w="1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Journey</w:t>
            </w:r>
          </w:p>
        </w:tc>
        <w:tc>
          <w:tcPr>
            <w:tcW w:type="pct" w:w="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Priority</w:t>
            </w:r>
          </w:p>
        </w:tc>
        <w:tc>
          <w:tcPr>
            <w:tcW w:type="pct" w:w="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Phase</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Token Discovery Pipeline</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5-stage scoring, DexScreener/Birdeye/Helius/LunarCrush/Twitter</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Discover</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5</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Live Crypto Prices (WS)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Binance WS + DexScreener WS; 2 active WebSocket connections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All</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P0</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2</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Forex/Commodity Prices</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PARTIAL</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TwelveData + fallback; degrades to null without API key</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Analyze</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3</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Chart Analysis (AI)</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1116-line SMC/ICT engine + VLM vision + grounded data</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Analyze</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P1</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3</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Backtesting Engine</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Candle-by-candle simulator, Sharpe/Sortino/drawdown</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Review</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3</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Signal Generation (Cron)</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Daily cron, Binance/TwelveData to local analysis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Decide</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P0</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4</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Signal Transition Authority</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PARTIAL</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Engine exists (75 tests) but NOT invoked server-side</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Track</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P0</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4</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Trade Execution (Exchange)</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Binance/Bybit/OKX/CCXT/Exness adapters with HMAC</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Execute</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P0</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4</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Trade Creation (DB)</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BROKEN</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createTrade drops validated fields via as any</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Execute</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P0</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2</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Portfolio Tracking</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PARTIAL</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Derived from user trades, not wallet balances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Track</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P1</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8</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Wallet Connection (SIWE)</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Solana ed25519 + EVM viem signature verification</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Execute</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8</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Arbitrage Scanning</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MOCK</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Defaults to mock mode; real Jupiter/Axiom clients exist</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Execute</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P2</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4</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MOXI AI Copilot</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4 agents + LLMRouter (ZAI/Anthropic/Groq/OpenAI)</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All</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6</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Price Alerts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Cron (00:30), real price comparison</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Track</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P1</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7</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Journal / Notes</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Full CRUD on trading_notes table</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Review</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9</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Daily Loop</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Morning prep + session tracking + EOD review + streaks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All</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P1</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9</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Watchlist Management</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8 server fns, full CRUD with ownership verification</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Discover</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8</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Notification System</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4 channels: in-app, Telegram, Email, Webhook</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All</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P1</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7</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Event Bus</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DEAD</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20 events defined, 6 emitted, ZERO handlers</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All</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7</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Whale Monitoring</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MISSING</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Shows user's own trades, no blockchain tracking</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Discover</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P2</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5</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Bonding Curve Tracking</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MISSING</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Groups user's trades by pair, no on-chain data</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Discover</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P2</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5</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Perpetuals / Futures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MISSING</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Shows trade positions, no exchange futures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Execute</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P2</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4</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DeFi Yield Tracking</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MISSING</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Computes from closed trades, no DeFi protocol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Discover</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P2</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3</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Community / Social</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MISSING</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Shows user's strategies/notes, no social features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Discover</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P2</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9</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On-Chain Activity Feed</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MISSING</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Reuses wallet data, no chain transaction history</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Discover</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P2</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5</w:t>
            </w:r>
          </w:p>
        </w:tc>
      </w:tr>
    </w:tbl>
    <w:p>
      <w:pPr>
        <w:pStyle w:val="Heading1"/>
        <w:spacing w:after="200" w:before="600"/>
      </w:pPr>
      <w:bookmarkStart w:id="100021" w:name="_Toc100021"/>
      <w:r>
        <w:rPr>
          <w:rFonts w:ascii="Calibri" w:eastAsia="SimHei"/>
          <w:b/>
          <w:bCs/>
          <w:color w:val="0F2027"/>
          <w:sz w:val="32"/>
          <w:szCs w:val="32"/>
        </w:rPr>
        <w:t xml:space="preserve">7. OSS Master Decision Matrix</w:t>
      </w:r>
      <w:bookmarkEnd w:id="100021"/>
    </w:p>
    <w:p>
      <w:pPr>
        <w:spacing w:after="80" w:line="312"/>
        <w:jc w:val="both"/>
      </w:pPr>
      <w:r>
        <w:rPr>
          <w:rFonts w:ascii="Times New Roman" w:eastAsia="Microsoft YaHei"/>
          <w:color w:val="1A1A1A"/>
          <w:sz w:val="22"/>
          <w:szCs w:val="22"/>
        </w:rPr>
        <w:t xml:space="preserve">This section evaluates every OSS project referenced in the VIXOR V2 Master Transformation Contract and the two architecture documents against the Capability-First Principle and the Reality Baseline. Each project is classified using a six-tier system: A (INTEGRATE) means already in the codebase and verified as runtime-used; B (ADAPTER) means approved for integration with an adapter layer; C (POC) means requires proof-of-concept before commitment; D (REFERENCE) means study for patterns only, no code integration; E (OPTIONAL) means may be added if a specific capability gap is confirmed during implementation; F (REJECT) means excluded due to license, language mismatch, or redundancy. Every classification is backed by evidence from the Reality Baseline.</w:t>
      </w:r>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tblGrid>
      <w:tr>
        <w:trPr>
          <w:tblHeader/>
        </w:trPr>
        <w:tc>
          <w:tcPr>
            <w:tcW w:type="pct" w:w="1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Project</w:t>
            </w:r>
          </w:p>
        </w:tc>
        <w:tc>
          <w:tcPr>
            <w:tcW w:type="pct" w:w="7%"/>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Class</w:t>
            </w:r>
          </w:p>
        </w:tc>
        <w:tc>
          <w:tcPr>
            <w:tcW w:type="pct" w:w="3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Evidence / Justification</w:t>
            </w:r>
          </w:p>
        </w:tc>
        <w:tc>
          <w:tcPr>
            <w:tcW w:type="pct" w:w="1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License</w:t>
            </w:r>
          </w:p>
        </w:tc>
        <w:tc>
          <w:tcPr>
            <w:tcW w:type="pct" w:w="33%"/>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Integration Method</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CCXT v4.5</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Integrated; 4 exchange adapters (Binance, Bybit, OKX, Exness) with HMAC signing; trading/gateway/</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Direct (already integrated)</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TradingView LW Charts v5.2</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Integrated; CandlestickChart + DexChart use it; lightweight-charts-indicators v0.4.2</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Apache-2.0</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Direct (already integrated)</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lightweight-charts-indicators</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Integrated; overlay indicators in DexChart</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Apache-2.0</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Direct (already integrated)</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Vercel AI SDK v6</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Integrated; MOXI, Debate, Chart Intelligence, Experiment all use ai@6.0.224</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Direct (already integrated)</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shadcn/ui + Radix UI</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Integrated; 38 shadcn + 22 Radix primitives; 45 UI component files</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Direct (already integrated)</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TanStack Query + Router + Start</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Integrated; data fetching, routing, SSR framework</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Direct (already integrated)</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Zustand v5</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Integrated; client state management</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Direct (already integrated)</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Recharts v2</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Integrated; MiniSparkline + EquityChart</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Direct (already integrated)</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Framer Motion v12</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Integrated; animations, DynamicDock, MoxiAvatar</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Direct (already integrated)</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EventEmitter3</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Integrated; domain event bus (currently DEAD in production but code is real)</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Direct (already integrated)</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DexScreener</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Integrated; 3 files (REST, WS, Discovery client); active WS connection</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N/A (API)</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Direct (already integrated)</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Birdeye</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Integrated; discovery/clients/birdeye.client.ts; PARTIAL (needs API key)</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N/A (API)</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Direct (already integrated)</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LunarCrush</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Integrated; discovery/clients/lunarcrush.client.ts; PARTIAL (needs API key)</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N/A (API)</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Direct (already integrated)</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Helius RPC</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Integrated; 2 files (shared dead + discovery active); PARTIAL (needs API key)</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N/A (API)</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Direct (already integrated)</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DeFiLlama SDK</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NOT integrated; free API, no rate limit; enables Yield + DeFi pages. ADAPTER needed</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Adapter: shared/market-data/defillama.client.ts</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technicalindicators (npm)</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NOT integrated; 50+ TA indicators; enhances Analyze phase. ADAPTER wraps existing engine interface</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Adapter: analysis/engine/indicators/ta-lib-adapter.ts</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Birdeye (enhanced)</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Already integrated for basic use; enhanced adapter needed for Solana token intelligence</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N/A (API)</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Adapter enhancement: discovery/clients/birdeye.client.ts</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LunarCrush (enhanced)</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Already integrated for basic scoring; enhanced adapter needed for social sentiment in MOXI</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N/A (API)</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Adapter enhancement: discovery/clients/lunarcrush.client.ts</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Mastra</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Full-stack agent framework; overlaps Vercel AI SDK. POC required to compare workflow orchestration, memory, RAG</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POC: compare vs Vercel AI SDK + custom tooling; 2-week timebox</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tulip-node</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 library with unofficial TS wrapper; 100+ indicators. POC required vs technicalindicators adapter</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LGPL-3.0</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POC: compare performance and indicator coverage vs technicalindicators</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backtest-kit</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TypeScript-native backtesting; could replace custom simulator. POC required</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POC: evaluate strategy DSL, candle integration, metrics output</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KLineChart</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Alternative to LW Charts with built-in indicators; POC for chart UX</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Apache-2.0</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POC: compare indicator overlay UX vs LW Charts + indicators adapter</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Meta Astryx</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Agent UI components; POC for MOXI visual identity</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POC: evaluate visual quality and React integration</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XState</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Signal lifecycle pattern reference; existing Transition Engine is pure-function and sufficient</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Reference only: study state machine patterns</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AI-Trader</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Agent-signal pipeline reference; MOXI has its own architecture</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Reference only: study agent-signal coordination</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VectorBT</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Python backtesting architecture reference; too heavy for TS codebase</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AGPL-3.0</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Reference only: study metrics and analyzer patterns</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QuantStats</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Portfolio analytics reference; Python-only. Potential future microservice if TS metrics insufficient</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AGPL-3.0</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Reference only; potential isolated Python microservice</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NautilusTrader</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Order lifecycle reference; enterprise-grade, Python, overkill for VIXOR scope</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Apache-2.0</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Reference only: study order management patterns</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Reactive Trader</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Real-time UI reference; study for inspiration, not integration</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Apache-2.0</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Reference only: study real-time UI patterns</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Freqtrade</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Strategy lifecycle reference; Python-only</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Reference only: study strategy patterns</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Jesse</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Backtesting reference; Python-only</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Reference only</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Hummingbot</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Python market-making platform; VIXOR is not a bot framework. OPTIONALLY useful for arbitrage strategy patterns</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Apache-2.0</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Optional: study Connector pattern for trading/gateway/adapters/</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ECharts</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Heavy (1MB+); Recharts + LW Charts cover all current needs. OPTIONALLY useful for advanced visualizations (heatmap, network graph, sankey)</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Apache-2.0</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Optional: add only if specific viz type is confirmed needed</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Trigger.dev</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Job queue; Vercel cron + in-process events sufficient for current scale. OPTIONALLY useful if durable jobs are needed</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AGPL-3.0</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Optional: requires license review before any integration</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NATS</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Message queue; massive overkill for single-deployment VIXOR. EventEmitter3 + Supabase Realtime sufficient</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Apache-2.0</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REJECT: scale does not justify complexity</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LangChain.js</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Over-abstracted; Vercel AI SDK is already integrated and sufficient</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REJECT: redundant with Vercel AI SDK</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CrewAI</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Python-only; VIXOR is TypeScript end-to-end for product layer</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REJECT: language mismatch</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OpenBB</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AGPL license; cannot embed in VIXOR. Reference for financial data normalization patterns only</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AGPL-3.0</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REJECT: AGPL license incompatible</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Backtrader</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Unmaintained; last release 2020. Reference only for backtesting architecture</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GPL-3.0</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REJECT: unmaintained + GPL license</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QuantConnect LEAN</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 / Python; enterprise algorithmic trading platform, not a library. Fundamentally different scope</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Apache-2.0</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REJECT: wrong paradigm (platform vs library)</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rotki</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Python portfolio tracker; VIXOR has its own portfolio architecture. GPL license</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AGPL-3.0</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REJECT: AGPL license + wrong language</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yfinance</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Python-only; unstable API (Yahoo changes frequently). TwelveData + Finnhub cover this need</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Apache-2.0</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REJECT: language mismatch + instability</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Mem0</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Memory service for AI agents; potential MOXI enhancement. Requires POC for latency and complexity</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Optional POC: evaluate for MOXI memory persistence</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Tremor</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React dashboard components; shadcn/ui + Recharts cover all needs</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REJECT: redundant with shadcn/ui + Recharts</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PostHog</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Product analytics; shared/analytics.ts exists but PostHog is not integrated (mixpanel-browser is unused). Option for future</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Optional: replace mixpanel if analytics is activated</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Unleash</w:t>
            </w:r>
          </w:p>
        </w:tc>
        <w:tc>
          <w:tcPr>
            <w:tcW w:type="pct" w:w="7%"/>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w:t>
            </w:r>
          </w:p>
        </w:tc>
        <w:tc>
          <w:tcPr>
            <w:tcW w:type="pct" w:w="3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Feature flags; not currently needed. Option for future A/B testing</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Apache-2.0</w:t>
            </w:r>
          </w:p>
        </w:tc>
        <w:tc>
          <w:tcPr>
            <w:tcW w:type="pct" w:w="33%"/>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Optional: defer to post-MVP</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oakscriptjs</w:t>
            </w:r>
          </w:p>
        </w:tc>
        <w:tc>
          <w:tcPr>
            <w:tcW w:type="pct" w:w="7%"/>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w:t>
            </w:r>
          </w:p>
        </w:tc>
        <w:tc>
          <w:tcPr>
            <w:tcW w:type="pct" w:w="3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In package.json; unclear usage. Needs investigation</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33%"/>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Optional: investigate and remove if unused</w:t>
            </w:r>
          </w:p>
        </w:tc>
      </w:tr>
    </w:tbl>
    <w:p>
      <w:pPr>
        <w:pStyle w:val="Heading1"/>
        <w:spacing w:after="200" w:before="600"/>
      </w:pPr>
      <w:bookmarkStart w:id="100022" w:name="_Toc100022"/>
      <w:r>
        <w:rPr>
          <w:rFonts w:ascii="Calibri" w:eastAsia="SimHei"/>
          <w:b/>
          <w:bCs/>
          <w:color w:val="0F2027"/>
          <w:sz w:val="32"/>
          <w:szCs w:val="32"/>
        </w:rPr>
        <w:t xml:space="preserve">8. License Matrix</w:t>
      </w:r>
      <w:bookmarkEnd w:id="100022"/>
    </w:p>
    <w:p>
      <w:pPr>
        <w:spacing w:after="80" w:line="312"/>
        <w:jc w:val="both"/>
      </w:pPr>
      <w:r>
        <w:rPr>
          <w:rFonts w:ascii="Times New Roman" w:eastAsia="Microsoft YaHei"/>
          <w:color w:val="1A1A1A"/>
          <w:sz w:val="22"/>
          <w:szCs w:val="22"/>
        </w:rPr>
        <w:t xml:space="preserve">This section records the license status of every approved or POC dependency. Special attention is given to AGPL, GPL, and source-available projects, which may impose copyleft obligations. VIXOR is a proprietary product; therefore, code from copyleft-licensed projects must not be embedded into the VIXOR codebase. Adapter patterns (calling the project as an external service or process) are acceptable; source code copying is not. Legal review is flagged where required.</w:t>
      </w:r>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tblGrid>
      <w:tr>
        <w:trPr>
          <w:tblHeader/>
        </w:trPr>
        <w:tc>
          <w:tcPr>
            <w:tcW w:type="pct" w:w="2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Project</w:t>
            </w:r>
          </w:p>
        </w:tc>
        <w:tc>
          <w:tcPr>
            <w:tcW w:type="pct" w:w="15%"/>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License</w:t>
            </w:r>
          </w:p>
        </w:tc>
        <w:tc>
          <w:tcPr>
            <w:tcW w:type="pct" w:w="2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Integration Method</w:t>
            </w:r>
          </w:p>
        </w:tc>
        <w:tc>
          <w:tcPr>
            <w:tcW w:type="pct" w:w="16%"/>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Source Copied?</w:t>
            </w:r>
          </w:p>
        </w:tc>
        <w:tc>
          <w:tcPr>
            <w:tcW w:type="pct" w:w="21%"/>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Legal Review?</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CCXT</w:t>
            </w:r>
          </w:p>
        </w:tc>
        <w:tc>
          <w:tcPr>
            <w:tcW w:type="pct" w:w="1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npm dependency</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w:t>
            </w:r>
          </w:p>
        </w:tc>
        <w:tc>
          <w:tcPr>
            <w:tcW w:type="pct" w:w="21%"/>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TradingView LW Charts</w:t>
            </w:r>
          </w:p>
        </w:tc>
        <w:tc>
          <w:tcPr>
            <w:tcW w:type="pct" w:w="1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Apache-2.0</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npm dependency</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w:t>
            </w:r>
          </w:p>
        </w:tc>
        <w:tc>
          <w:tcPr>
            <w:tcW w:type="pct" w:w="21%"/>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Vercel AI SDK</w:t>
            </w:r>
          </w:p>
        </w:tc>
        <w:tc>
          <w:tcPr>
            <w:tcW w:type="pct" w:w="1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npm dependency</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w:t>
            </w:r>
          </w:p>
        </w:tc>
        <w:tc>
          <w:tcPr>
            <w:tcW w:type="pct" w:w="21%"/>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shadcn/ui + Radix</w:t>
            </w:r>
          </w:p>
        </w:tc>
        <w:tc>
          <w:tcPr>
            <w:tcW w:type="pct" w:w="1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MIT</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npm dependency (source copied for shadcn)</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Yes (shadcn pattern)</w:t>
            </w:r>
          </w:p>
        </w:tc>
        <w:tc>
          <w:tcPr>
            <w:tcW w:type="pct" w:w="21%"/>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 (MIT allows)</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DeFiLlama SDK</w:t>
            </w:r>
          </w:p>
        </w:tc>
        <w:tc>
          <w:tcPr>
            <w:tcW w:type="pct" w:w="1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npm dependency + adapter</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w:t>
            </w:r>
          </w:p>
        </w:tc>
        <w:tc>
          <w:tcPr>
            <w:tcW w:type="pct" w:w="21%"/>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technicalindicators</w:t>
            </w:r>
          </w:p>
        </w:tc>
        <w:tc>
          <w:tcPr>
            <w:tcW w:type="pct" w:w="1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MIT</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npm dependency + adapter</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w:t>
            </w:r>
          </w:p>
        </w:tc>
        <w:tc>
          <w:tcPr>
            <w:tcW w:type="pct" w:w="21%"/>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Mastra</w:t>
            </w:r>
          </w:p>
        </w:tc>
        <w:tc>
          <w:tcPr>
            <w:tcW w:type="pct" w:w="1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npm dependency (POC only)</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w:t>
            </w:r>
          </w:p>
        </w:tc>
        <w:tc>
          <w:tcPr>
            <w:tcW w:type="pct" w:w="21%"/>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 (if POC passes)</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tulip-node</w:t>
            </w:r>
          </w:p>
        </w:tc>
        <w:tc>
          <w:tcPr>
            <w:tcW w:type="pct" w:w="1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LGPL-3.0</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npm dependency + adapter</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w:t>
            </w:r>
          </w:p>
        </w:tc>
        <w:tc>
          <w:tcPr>
            <w:tcW w:type="pct" w:w="21%"/>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YES: LGPL dynamic linking requirements</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backtest-kit</w:t>
            </w:r>
          </w:p>
        </w:tc>
        <w:tc>
          <w:tcPr>
            <w:tcW w:type="pct" w:w="1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npm dependency (POC only)</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w:t>
            </w:r>
          </w:p>
        </w:tc>
        <w:tc>
          <w:tcPr>
            <w:tcW w:type="pct" w:w="21%"/>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Trigger.dev</w:t>
            </w:r>
          </w:p>
        </w:tc>
        <w:tc>
          <w:tcPr>
            <w:tcW w:type="pct" w:w="1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AGPL-3.0</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External service (if used)</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w:t>
            </w:r>
          </w:p>
        </w:tc>
        <w:tc>
          <w:tcPr>
            <w:tcW w:type="pct" w:w="21%"/>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YES: AGPL network copyleft</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VectorBT (ref)</w:t>
            </w:r>
          </w:p>
        </w:tc>
        <w:tc>
          <w:tcPr>
            <w:tcW w:type="pct" w:w="1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AGPL-3.0</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Reference only, no integration</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w:t>
            </w:r>
          </w:p>
        </w:tc>
        <w:tc>
          <w:tcPr>
            <w:tcW w:type="pct" w:w="21%"/>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 (reference only)</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QuantStats (ref)</w:t>
            </w:r>
          </w:p>
        </w:tc>
        <w:tc>
          <w:tcPr>
            <w:tcW w:type="pct" w:w="1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AGPL-3.0</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Reference only, no integration</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w:t>
            </w:r>
          </w:p>
        </w:tc>
        <w:tc>
          <w:tcPr>
            <w:tcW w:type="pct" w:w="21%"/>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 (reference only)</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OpenBB</w:t>
            </w:r>
          </w:p>
        </w:tc>
        <w:tc>
          <w:tcPr>
            <w:tcW w:type="pct" w:w="1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AGPL-3.0</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REJECTED</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w:t>
            </w:r>
          </w:p>
        </w:tc>
        <w:tc>
          <w:tcPr>
            <w:tcW w:type="pct" w:w="21%"/>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N/A (rejected)</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NATS</w:t>
            </w:r>
          </w:p>
        </w:tc>
        <w:tc>
          <w:tcPr>
            <w:tcW w:type="pct" w:w="1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Apache-2.0</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REJECTED</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w:t>
            </w:r>
          </w:p>
        </w:tc>
        <w:tc>
          <w:tcPr>
            <w:tcW w:type="pct" w:w="21%"/>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N/A (rejected)</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PostHog</w:t>
            </w:r>
          </w:p>
        </w:tc>
        <w:tc>
          <w:tcPr>
            <w:tcW w:type="pct" w:w="1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MIT</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npm dependency (optional)</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w:t>
            </w:r>
          </w:p>
        </w:tc>
        <w:tc>
          <w:tcPr>
            <w:tcW w:type="pct" w:w="21%"/>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w:t>
            </w:r>
          </w:p>
        </w:tc>
      </w:tr>
    </w:tbl>
    <w:p>
      <w:pPr>
        <w:pStyle w:val="Heading2"/>
        <w:spacing w:after="160" w:before="400"/>
      </w:pPr>
      <w:bookmarkStart w:id="100023" w:name="_Toc100023"/>
      <w:r>
        <w:rPr>
          <w:rFonts w:ascii="Calibri" w:eastAsia="SimHei"/>
          <w:b/>
          <w:bCs/>
          <w:color w:val="0F2027"/>
          <w:sz w:val="28"/>
          <w:szCs w:val="28"/>
        </w:rPr>
        <w:t xml:space="preserve">8.1 License Risk Assessment</w:t>
      </w:r>
      <w:bookmarkEnd w:id="100023"/>
    </w:p>
    <w:p>
      <w:pPr>
        <w:spacing w:after="80" w:line="312"/>
        <w:jc w:val="both"/>
      </w:pPr>
      <w:r>
        <w:rPr>
          <w:rFonts w:ascii="Times New Roman" w:eastAsia="Microsoft YaHei"/>
          <w:color w:val="1A1A1A"/>
          <w:sz w:val="22"/>
          <w:szCs w:val="22"/>
        </w:rPr>
        <w:t xml:space="preserve">Two dependencies require legal review before integration: (1) tulip-node is licensed under LGPL-3.0, which permits dynamic linking but requires that users can replace the LGPL library. If the POC passes and tulip-node is selected over technicalindicators, the integration must use a runtime adapter pattern (dynamic import, not static bundling) to comply with LGPL requirements. (2) Trigger.dev is licensed under AGPL-3.0, which imposes network copyleft obligations. If Trigger.dev is used as a hosted service (calling their API), the copyleft does not apply to VIXOR code. If Trigger.dev is self-hosted or embedded, AGPL requires VIXOR to release its source code. Therefore, Trigger.dev may only be used as a hosted SaaS, never self-hosted. The legal review should confirm this interpretation before any integration.</w:t>
      </w:r>
    </w:p>
    <w:p>
      <w:pPr>
        <w:pStyle w:val="Heading1"/>
        <w:spacing w:after="200" w:before="600"/>
      </w:pPr>
      <w:bookmarkStart w:id="100024" w:name="_Toc100024"/>
      <w:r>
        <w:rPr>
          <w:rFonts w:ascii="Calibri" w:eastAsia="SimHei"/>
          <w:b/>
          <w:bCs/>
          <w:color w:val="0F2027"/>
          <w:sz w:val="32"/>
          <w:szCs w:val="32"/>
        </w:rPr>
        <w:t xml:space="preserve">9. Data Architecture</w:t>
      </w:r>
      <w:bookmarkEnd w:id="100024"/>
    </w:p>
    <w:p>
      <w:pPr>
        <w:spacing w:after="80" w:line="312"/>
        <w:jc w:val="both"/>
      </w:pPr>
      <w:r>
        <w:rPr>
          <w:rFonts w:ascii="Times New Roman" w:eastAsia="Microsoft YaHei"/>
          <w:color w:val="1A1A1A"/>
          <w:sz w:val="22"/>
          <w:szCs w:val="22"/>
        </w:rPr>
        <w:t xml:space="preserve">The data architecture defines how raw market data flows from external providers through normalization layers into canonical models that power the intelligence engines, MOXI, and user experiences. The Phase 0 Reality Baseline identified three critical pipeline breaks: (1) Price Normalization is incomplete because each provider returns data in its own format, (2) Intelligence-to-Decision conversion is ad-hoc with no formal Opportunity Ranking system, and (3) the Review feedback loop is open, meaning trade outcomes do not flow back to improve system behavior. This section freezes the target data architecture that resolves these breaks.</w:t>
      </w:r>
    </w:p>
    <w:p>
      <w:pPr>
        <w:pStyle w:val="Heading2"/>
        <w:spacing w:after="160" w:before="400"/>
      </w:pPr>
      <w:bookmarkStart w:id="100025" w:name="_Toc100025"/>
      <w:r>
        <w:rPr>
          <w:rFonts w:ascii="Calibri" w:eastAsia="SimHei"/>
          <w:b/>
          <w:bCs/>
          <w:color w:val="0F2027"/>
          <w:sz w:val="28"/>
          <w:szCs w:val="28"/>
        </w:rPr>
        <w:t xml:space="preserve">9.1 Target Data Pipeline</w:t>
      </w:r>
      <w:bookmarkEnd w:id="100025"/>
    </w:p>
    <w:p>
      <w:pPr>
        <w:spacing w:after="80" w:line="312"/>
        <w:jc w:val="both"/>
      </w:pPr>
      <w:r>
        <w:rPr>
          <w:rFonts w:ascii="Times New Roman" w:eastAsia="Microsoft YaHei"/>
          <w:color w:val="1A1A1A"/>
          <w:sz w:val="22"/>
          <w:szCs w:val="22"/>
        </w:rPr>
        <w:t xml:space="preserve">The VIXOR data pipeline follows a strict layered architecture. Each layer has a clear responsibility and interface contract. Data flows downward only: providers feed normalizers, normalizers feed canonical stores, canonical stores feed engines, engines feed the decision layer, and the decision layer feeds the experience layer. No layer may reach into a lower layer directly; all access goes through the defined interface contracts. This prevents the current pattern where the analysis engine contains provider-specific logic.</w:t>
      </w:r>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tblGrid>
      <w:tr>
        <w:trPr>
          <w:tblHeader/>
        </w:trPr>
        <w:tc>
          <w:tcPr>
            <w:tcW w:type="pct" w:w="1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Layer</w:t>
            </w:r>
          </w:p>
        </w:tc>
        <w:tc>
          <w:tcPr>
            <w:tcW w:type="pct" w:w="25%"/>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Responsibility</w:t>
            </w:r>
          </w:p>
        </w:tc>
        <w:tc>
          <w:tcPr>
            <w:tcW w:type="pct" w:w="25%"/>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Key Components</w:t>
            </w:r>
          </w:p>
        </w:tc>
        <w:tc>
          <w:tcPr>
            <w:tcW w:type="pct" w:w="2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Data Format</w:t>
            </w:r>
          </w:p>
        </w:tc>
        <w:tc>
          <w:tcPr>
            <w:tcW w:type="pct" w:w="16%"/>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Current State</w:t>
            </w:r>
          </w:p>
        </w:tc>
      </w:tr>
      <w:tr>
        <w:trPr>
          <w:cantSplit/>
        </w:trPr>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Infrastructure</w:t>
            </w:r>
          </w:p>
        </w:tc>
        <w:tc>
          <w:tcPr>
            <w:tcW w:type="pct" w:w="2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Raw data acquisition and transport</w:t>
            </w:r>
          </w:p>
        </w:tc>
        <w:tc>
          <w:tcPr>
            <w:tcW w:type="pct" w:w="2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CCXT, DexScreener WS, Binance WS, Helius, Supabase, Redis</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Provider-native JSON/WS frames</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WORKING: 5+ sources active</w:t>
            </w:r>
          </w:p>
        </w:tc>
      </w:tr>
      <w:tr>
        <w:trPr>
          <w:cantSplit/>
        </w:trPr>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Normalization</w:t>
            </w:r>
          </w:p>
        </w:tc>
        <w:tc>
          <w:tcPr>
            <w:tcW w:type="pct" w:w="2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Transform raw data to unified VIXOR format</w:t>
            </w:r>
          </w:p>
        </w:tc>
        <w:tc>
          <w:tcPr>
            <w:tcW w:type="pct" w:w="2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future: data-normalizer service with provider adapters</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VIXOR Unified Price Model (OHLCV + metadata)</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BROKEN: no unified normalizer exists</w:t>
            </w:r>
          </w:p>
        </w:tc>
      </w:tr>
      <w:tr>
        <w:trPr>
          <w:cantSplit/>
        </w:trPr>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Canonical Data</w:t>
            </w:r>
          </w:p>
        </w:tc>
        <w:tc>
          <w:tcPr>
            <w:tcW w:type="pct" w:w="2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Store and serve normalized data</w:t>
            </w:r>
          </w:p>
        </w:tc>
        <w:tc>
          <w:tcPr>
            <w:tcW w:type="pct" w:w="2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Supabase tables, Redis cache, future: vector store</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VIXOR canonical models (Asset, Price, Signal, Position)</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PARTIAL: schemas exist, no unified model</w:t>
            </w:r>
          </w:p>
        </w:tc>
      </w:tr>
      <w:tr>
        <w:trPr>
          <w:cantSplit/>
        </w:trPr>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Analysis</w:t>
            </w:r>
          </w:p>
        </w:tc>
        <w:tc>
          <w:tcPr>
            <w:tcW w:type="pct" w:w="2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Compute derived data (signals, analysis, risk)</w:t>
            </w:r>
          </w:p>
        </w:tc>
        <w:tc>
          <w:tcPr>
            <w:tcW w:type="pct" w:w="2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analysis/engine/, signal-tracking/, debate/, risk-governor/</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Engine-specific internal types</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ACTIVE: 6 engines implemented</w:t>
            </w:r>
          </w:p>
        </w:tc>
      </w:tr>
      <w:tr>
        <w:trPr>
          <w:cantSplit/>
        </w:trPr>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Intelligence</w:t>
            </w:r>
          </w:p>
        </w:tc>
        <w:tc>
          <w:tcPr>
            <w:tcW w:type="pct" w:w="2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Convert engine outputs to ranked decisions</w:t>
            </w:r>
          </w:p>
        </w:tc>
        <w:tc>
          <w:tcPr>
            <w:tcW w:type="pct" w:w="25%"/>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MOXI agents, opportunity ranking, user context</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Decision objects (recommendation, confidence, reasoning)</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PARTIAL: MOXI exists, no formal ranking</w:t>
            </w:r>
          </w:p>
        </w:tc>
      </w:tr>
      <w:tr>
        <w:trPr>
          <w:cantSplit/>
        </w:trPr>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Experience</w:t>
            </w:r>
          </w:p>
        </w:tc>
        <w:tc>
          <w:tcPr>
            <w:tcW w:type="pct" w:w="2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Render decisions and data to user</w:t>
            </w:r>
          </w:p>
        </w:tc>
        <w:tc>
          <w:tcPr>
            <w:tcW w:type="pct" w:w="25%"/>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React components, routes, chart components</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UI state (React), server state (TanStack Query)</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ACTIVE: 48 vixor components, 39 routes</w:t>
            </w:r>
          </w:p>
        </w:tc>
      </w:tr>
    </w:tbl>
    <w:p>
      <w:pPr>
        <w:pStyle w:val="Heading2"/>
        <w:spacing w:after="160" w:before="400"/>
      </w:pPr>
      <w:bookmarkStart w:id="100026" w:name="_Toc100026"/>
      <w:r>
        <w:rPr>
          <w:rFonts w:ascii="Calibri" w:eastAsia="SimHei"/>
          <w:b/>
          <w:bCs/>
          <w:color w:val="0F2027"/>
          <w:sz w:val="28"/>
          <w:szCs w:val="28"/>
        </w:rPr>
        <w:t xml:space="preserve">9.2 Critical Pipeline Breaks</w:t>
      </w:r>
      <w:bookmarkEnd w:id="100026"/>
    </w:p>
    <w:p>
      <w:pPr>
        <w:spacing w:after="80" w:line="312"/>
        <w:jc w:val="both"/>
      </w:pPr>
      <w:r>
        <w:rPr>
          <w:rFonts w:ascii="Times New Roman" w:eastAsia="Microsoft YaHei"/>
          <w:color w:val="1A1A1A"/>
          <w:sz w:val="22"/>
          <w:szCs w:val="22"/>
        </w:rPr>
        <w:t xml:space="preserve">Break 1: Price Normalization is incomplete. Each client (Binance WS, DexScreener, TwelveData, Finnhub) returns data in its own format. The analysis engine must handle format differences itself. The fix is a dedicated Normalization service with provider adapters that output a canonical VIXOR AssetPrice type. Target Phase: 2 (Data Foundation). Break 2: Intelligence-to-Decision conversion is ad-hoc. The hunter.agent finds opportunities but scoring is embedded in agent logic rather than being a standalone, testable ranking system. The fix is an Opportunity Ranking Engine that takes signal outputs, debate results, and user context as inputs and produces a ranked list of actionable opportunities. Target Phase: 5 (Intelligence and Opportunity Engine). Break 3: Review feedback loop is open. Trade results, journal notes, and performance metrics do not flow back into the system to improve MOXI behavior, signal sensitivity, or strategy parameters. The fix is a Feedback Pipeline that feeds trade outcomes and journal insights into the experiment engine and MOXI memory. Target Phase: 6 (MOXI V2).</w:t>
      </w:r>
    </w:p>
    <w:p>
      <w:pPr>
        <w:pStyle w:val="Heading1"/>
        <w:spacing w:after="200" w:before="600"/>
      </w:pPr>
      <w:bookmarkStart w:id="100027" w:name="_Toc100027"/>
      <w:r>
        <w:rPr>
          <w:rFonts w:ascii="Calibri" w:eastAsia="SimHei"/>
          <w:b/>
          <w:bCs/>
          <w:color w:val="0F2027"/>
          <w:sz w:val="32"/>
          <w:szCs w:val="32"/>
        </w:rPr>
        <w:t xml:space="preserve">10. Canonical Data Models</w:t>
      </w:r>
      <w:bookmarkEnd w:id="100027"/>
    </w:p>
    <w:p>
      <w:pPr>
        <w:spacing w:after="80" w:line="312"/>
        <w:jc w:val="both"/>
      </w:pPr>
      <w:r>
        <w:rPr>
          <w:rFonts w:ascii="Times New Roman" w:eastAsia="Microsoft YaHei"/>
          <w:color w:val="1A1A1A"/>
          <w:sz w:val="22"/>
          <w:szCs w:val="22"/>
        </w:rPr>
        <w:t xml:space="preserve">This section defines the canonical data models for VIXOR V2. These models represent the target state; the current database tables may differ. Migration from current to target will be executed in Phase 2 (Data Foundation). Each model defines: ownership (which domain engine owns it), source of truth (where the authoritative data lives), identifier (primary key scheme), persistence (where and how it is stored), read/write authority (who can read and write), provider mapping (which external data sources feed it), and lifecycle (how it is created, updated, and deleted). Models are organized by layer.</w:t>
      </w:r>
    </w:p>
    <w:p>
      <w:pPr>
        <w:pStyle w:val="Heading2"/>
        <w:spacing w:after="160" w:before="400"/>
      </w:pPr>
      <w:bookmarkStart w:id="100028" w:name="_Toc100028"/>
      <w:r>
        <w:rPr>
          <w:rFonts w:ascii="Calibri" w:eastAsia="SimHei"/>
          <w:b/>
          <w:bCs/>
          <w:color w:val="0F2027"/>
          <w:sz w:val="28"/>
          <w:szCs w:val="28"/>
        </w:rPr>
        <w:t xml:space="preserve">10.1 Market Data Layer Models</w:t>
      </w:r>
      <w:bookmarkEnd w:id="100028"/>
    </w:p>
    <w:p>
      <w:pPr>
        <w:pStyle w:val="Heading3"/>
        <w:spacing w:after="120" w:before="300"/>
      </w:pPr>
      <w:bookmarkStart w:id="100029" w:name="_Toc100029"/>
      <w:r>
        <w:rPr>
          <w:rFonts w:ascii="Calibri" w:eastAsia="SimHei"/>
          <w:b/>
          <w:bCs/>
          <w:color w:val="4A6575"/>
          <w:sz w:val="24"/>
          <w:szCs w:val="24"/>
        </w:rPr>
        <w:t xml:space="preserve">Asset</w:t>
      </w:r>
      <w:bookmarkEnd w:id="100029"/>
    </w:p>
    <w:p>
      <w:pPr>
        <w:spacing w:after="80" w:line="312"/>
        <w:jc w:val="both"/>
      </w:pPr>
      <w:r>
        <w:rPr>
          <w:rFonts w:ascii="Times New Roman" w:eastAsia="Microsoft YaHei"/>
          <w:color w:val="1A1A1A"/>
          <w:sz w:val="22"/>
          <w:szCs w:val="22"/>
        </w:rPr>
        <w:t xml:space="preserve">Ownership: market domain. Source of truth: Supabase assets table. Identifier: canonical symbol (e.g., BTC, ETH, XAU, EUR). Persistence: Supabase with Redis cache (5-minute TTL). Read authority: all authenticated users. Write authority: server-only (cron + admin). Provider mapping: Binance (crypto), TwelveData (forex, commodities, ETFs), Finnhub (fallback). Lifecycle: upserted by cron jobs and price normalization service. Fields: symbol, name, type (crypto/forex/commodity/etf), base_currency, quote_currency, is_active, provider_metadata (JSONB), created_at, updated_at.</w:t>
      </w:r>
    </w:p>
    <w:p>
      <w:pPr>
        <w:pStyle w:val="Heading3"/>
        <w:spacing w:after="120" w:before="300"/>
      </w:pPr>
      <w:bookmarkStart w:id="100030" w:name="_Toc100030"/>
      <w:r>
        <w:rPr>
          <w:rFonts w:ascii="Calibri" w:eastAsia="SimHei"/>
          <w:b/>
          <w:bCs/>
          <w:color w:val="4A6575"/>
          <w:sz w:val="24"/>
          <w:szCs w:val="24"/>
        </w:rPr>
        <w:t xml:space="preserve">Pair</w:t>
      </w:r>
      <w:bookmarkEnd w:id="100030"/>
    </w:p>
    <w:p>
      <w:pPr>
        <w:spacing w:after="80" w:line="312"/>
        <w:jc w:val="both"/>
      </w:pPr>
      <w:r>
        <w:rPr>
          <w:rFonts w:ascii="Times New Roman" w:eastAsia="Microsoft YaHei"/>
          <w:color w:val="1A1A1A"/>
          <w:sz w:val="22"/>
          <w:szCs w:val="22"/>
        </w:rPr>
        <w:t xml:space="preserve">Ownership: market domain. Source of truth: computed from Asset references. Identifier: base_symbol/quote_symbol (e.g., BTC/USDT). Persistence: Supabase pairs table (currently exists but missing from types.ts per F3). Read authority: all authenticated users. Write authority: server-only. Provider mapping: derived from Asset providers. Lifecycle: created when both base and quote Assets exist and at least one price observation exists. Fields: id, base_symbol, quote_symbol, exchange, category (spot/perpetual), tick_size, lot_size, min_notional.</w:t>
      </w:r>
    </w:p>
    <w:p>
      <w:pPr>
        <w:pStyle w:val="Heading3"/>
        <w:spacing w:after="120" w:before="300"/>
      </w:pPr>
      <w:bookmarkStart w:id="100031" w:name="_Toc100031"/>
      <w:r>
        <w:rPr>
          <w:rFonts w:ascii="Calibri" w:eastAsia="SimHei"/>
          <w:b/>
          <w:bCs/>
          <w:color w:val="4A6575"/>
          <w:sz w:val="24"/>
          <w:szCs w:val="24"/>
        </w:rPr>
        <w:t xml:space="preserve">Candle</w:t>
      </w:r>
      <w:bookmarkEnd w:id="100031"/>
    </w:p>
    <w:p>
      <w:pPr>
        <w:spacing w:after="80" w:line="312"/>
        <w:jc w:val="both"/>
      </w:pPr>
      <w:r>
        <w:rPr>
          <w:rFonts w:ascii="Times New Roman" w:eastAsia="Microsoft YaHei"/>
          <w:color w:val="1A1A1A"/>
          <w:sz w:val="22"/>
          <w:szCs w:val="22"/>
        </w:rPr>
        <w:t xml:space="preserve">Ownership: market domain. Source of truth: Supabase price_history table (currently exists but missing from types.ts per F3). Identifier: composite (pair, interval, timestamp_open). Persistence: Supabase with Redis cache (1-minute TTL for latest, 1-hour for historical). Read authority: all authenticated users. Write authority: server-only. Provider mapping: Binance (crypto), TwelveData (forex, commodities), DexScreener (DEX pairs). Lifecycle: appended by normalization service; historical candles backfilled by cron. Fields: pair, interval, timestamp_open, open, high, low, close, volume, provider, source_timestamp, normalized_at.</w:t>
      </w:r>
    </w:p>
    <w:p>
      <w:pPr>
        <w:pStyle w:val="Heading3"/>
        <w:spacing w:after="120" w:before="300"/>
      </w:pPr>
      <w:bookmarkStart w:id="100032" w:name="_Toc100032"/>
      <w:r>
        <w:rPr>
          <w:rFonts w:ascii="Calibri" w:eastAsia="SimHei"/>
          <w:b/>
          <w:bCs/>
          <w:color w:val="4A6575"/>
          <w:sz w:val="24"/>
          <w:szCs w:val="24"/>
        </w:rPr>
        <w:t xml:space="preserve">Ticker</w:t>
      </w:r>
      <w:bookmarkEnd w:id="100032"/>
    </w:p>
    <w:p>
      <w:pPr>
        <w:spacing w:after="80" w:line="312"/>
        <w:jc w:val="both"/>
      </w:pPr>
      <w:r>
        <w:rPr>
          <w:rFonts w:ascii="Times New Roman" w:eastAsia="Microsoft YaHei"/>
          <w:color w:val="1A1A1A"/>
          <w:sz w:val="22"/>
          <w:szCs w:val="22"/>
        </w:rPr>
        <w:t xml:space="preserve">Ownership: market domain. Source of truth: in-memory (real-time) with Supabase persistence (snapshot every 5 minutes). Identifier: symbol. Persistence: Redis (real-time), Supabase (snapshot). Read authority: all authenticated users. Write authority: server-only (WebSocket handlers). Provider mapping: Binance WS (crypto), DexScreener WS (DEX). Lifecycle: updated on every WebSocket tick; expired after 60 seconds of no updates. Fields: symbol, price, price_24h_change, volume_24h, high_24h, low_24h, bid, ask, provider, last_tick_at.</w:t>
      </w:r>
    </w:p>
    <w:p>
      <w:pPr>
        <w:pStyle w:val="Heading2"/>
        <w:spacing w:after="160" w:before="400"/>
      </w:pPr>
      <w:bookmarkStart w:id="100033" w:name="_Toc100033"/>
      <w:r>
        <w:rPr>
          <w:rFonts w:ascii="Calibri" w:eastAsia="SimHei"/>
          <w:b/>
          <w:bCs/>
          <w:color w:val="0F2027"/>
          <w:sz w:val="28"/>
          <w:szCs w:val="28"/>
        </w:rPr>
        <w:t xml:space="preserve">10.2 Signal and Tracking Models</w:t>
      </w:r>
      <w:bookmarkEnd w:id="100033"/>
    </w:p>
    <w:p>
      <w:pPr>
        <w:pStyle w:val="Heading3"/>
        <w:spacing w:after="120" w:before="300"/>
      </w:pPr>
      <w:bookmarkStart w:id="100034" w:name="_Toc100034"/>
      <w:r>
        <w:rPr>
          <w:rFonts w:ascii="Calibri" w:eastAsia="SimHei"/>
          <w:b/>
          <w:bCs/>
          <w:color w:val="4A6575"/>
          <w:sz w:val="24"/>
          <w:szCs w:val="24"/>
        </w:rPr>
        <w:t xml:space="preserve">Signal</w:t>
      </w:r>
      <w:bookmarkEnd w:id="100034"/>
    </w:p>
    <w:p>
      <w:pPr>
        <w:spacing w:after="80" w:line="312"/>
        <w:jc w:val="both"/>
      </w:pPr>
      <w:r>
        <w:rPr>
          <w:rFonts w:ascii="Times New Roman" w:eastAsia="Microsoft YaHei"/>
          <w:color w:val="1A1A1A"/>
          <w:sz w:val="22"/>
          <w:szCs w:val="22"/>
        </w:rPr>
        <w:t xml:space="preserve">Ownership: signal-tracking domain. Source of truth: Supabase signals table. Identifier: UUID. Persistence: Supabase. Read authority: owner + followers (if shared). Write authority: server-only (creation via server function, transitions via Transition Engine). Provider mapping: generated by analysis engine or MOXI. Lifecycle: created as pending, transitions through the 9-state machine defined in the Transition Engine (locked at commit 4ffad75). Fields: id, user_id, pair, direction, entry, sl, tp1, tp2, tp3, rrr, status (9-value enum), source (moxi/manual/cron), thesis, analysis_snapshot (JSONB), created_at, server_received_at, activated_at, resolved_at, invalidation_reason.</w:t>
      </w:r>
    </w:p>
    <w:p>
      <w:pPr>
        <w:pStyle w:val="Heading3"/>
        <w:spacing w:after="120" w:before="300"/>
      </w:pPr>
      <w:bookmarkStart w:id="100035" w:name="_Toc100035"/>
      <w:r>
        <w:rPr>
          <w:rFonts w:ascii="Calibri" w:eastAsia="SimHei"/>
          <w:b/>
          <w:bCs/>
          <w:color w:val="4A6575"/>
          <w:sz w:val="24"/>
          <w:szCs w:val="24"/>
        </w:rPr>
        <w:t xml:space="preserve">SignalTransition</w:t>
      </w:r>
      <w:bookmarkEnd w:id="100035"/>
    </w:p>
    <w:p>
      <w:pPr>
        <w:spacing w:after="80" w:line="312"/>
        <w:jc w:val="both"/>
      </w:pPr>
      <w:r>
        <w:rPr>
          <w:rFonts w:ascii="Times New Roman" w:eastAsia="Microsoft YaHei"/>
          <w:color w:val="1A1A1A"/>
          <w:sz w:val="22"/>
          <w:szCs w:val="22"/>
        </w:rPr>
        <w:t xml:space="preserve">Ownership: signal-tracking domain. Source of truth: Supabase signal_transitions table. Identifier: UUID. Persistence: Supabase. Read authority: signal owner. Write authority: server-only (Transition Engine output). Provider mapping: internal. Lifecycle: created atomically with each state transition; immutable once written. Fields: id, signal_id, from_status, to_status, trigger (price/cancel/expire/invalidate), trigger_value, observed_at (serverReceivedAt), resolved_at, metadata (JSONB). This model is the audit trail for every state change and is the foundation for signal performance analytics.</w:t>
      </w:r>
    </w:p>
    <w:p>
      <w:pPr>
        <w:pStyle w:val="Heading3"/>
        <w:spacing w:after="120" w:before="300"/>
      </w:pPr>
      <w:bookmarkStart w:id="100036" w:name="_Toc100036"/>
      <w:r>
        <w:rPr>
          <w:rFonts w:ascii="Calibri" w:eastAsia="SimHei"/>
          <w:b/>
          <w:bCs/>
          <w:color w:val="4A6575"/>
          <w:sz w:val="24"/>
          <w:szCs w:val="24"/>
        </w:rPr>
        <w:t xml:space="preserve">Trade</w:t>
      </w:r>
      <w:bookmarkEnd w:id="100036"/>
    </w:p>
    <w:p>
      <w:pPr>
        <w:spacing w:after="80" w:line="312"/>
        <w:jc w:val="both"/>
      </w:pPr>
      <w:r>
        <w:rPr>
          <w:rFonts w:ascii="Times New Roman" w:eastAsia="Microsoft YaHei"/>
          <w:color w:val="1A1A1A"/>
          <w:sz w:val="22"/>
          <w:szCs w:val="22"/>
        </w:rPr>
        <w:t xml:space="preserve">Ownership: trades domain. Source of truth: Supabase trades table. Identifier: UUID. Persistence: Supabase. Read authority: owner. Write authority: server-only (FIX: createTrade currently drops validated fields per F1). Provider mapping: created from Signal execution or manual entry. Lifecycle: created when a trade is placed, updated with exit data when closed. Fields: id, user_id, signal_id (nullable), pair, direction, entry_price, exit_price, quantity, stop_loss, take_profit, status (open/closed), entry_date, exit_date, broker, notes, created_at. F1 FIX: all validated fields must be persisted, not just entry_date and quantity.</w:t>
      </w:r>
    </w:p>
    <w:p>
      <w:pPr>
        <w:pStyle w:val="Heading2"/>
        <w:spacing w:after="160" w:before="400"/>
      </w:pPr>
      <w:bookmarkStart w:id="100037" w:name="_Toc100037"/>
      <w:r>
        <w:rPr>
          <w:rFonts w:ascii="Calibri" w:eastAsia="SimHei"/>
          <w:b/>
          <w:bCs/>
          <w:color w:val="0F2027"/>
          <w:sz w:val="28"/>
          <w:szCs w:val="28"/>
        </w:rPr>
        <w:t xml:space="preserve">10.3 Intelligence Layer Models</w:t>
      </w:r>
      <w:bookmarkEnd w:id="100037"/>
    </w:p>
    <w:p>
      <w:pPr>
        <w:pStyle w:val="Heading3"/>
        <w:spacing w:after="120" w:before="300"/>
      </w:pPr>
      <w:bookmarkStart w:id="100038" w:name="_Toc100038"/>
      <w:r>
        <w:rPr>
          <w:rFonts w:ascii="Calibri" w:eastAsia="SimHei"/>
          <w:b/>
          <w:bCs/>
          <w:color w:val="4A6575"/>
          <w:sz w:val="24"/>
          <w:szCs w:val="24"/>
        </w:rPr>
        <w:t xml:space="preserve">Analysis</w:t>
      </w:r>
      <w:bookmarkEnd w:id="100038"/>
    </w:p>
    <w:p>
      <w:pPr>
        <w:spacing w:after="80" w:line="312"/>
        <w:jc w:val="both"/>
      </w:pPr>
      <w:r>
        <w:rPr>
          <w:rFonts w:ascii="Times New Roman" w:eastAsia="Microsoft YaHei"/>
          <w:color w:val="1A1A1A"/>
          <w:sz w:val="22"/>
          <w:szCs w:val="22"/>
        </w:rPr>
        <w:t xml:space="preserve">Ownership: analysis domain. Source of truth: Supabase analyses table. Identifier: UUID. Persistence: Supabase. Read authority: owner. Write authority: server-only (analysis engine output). Provider mapping: generated by SMC/ICT engine + VLM chart vision. Lifecycle: created on analysis request, immutable once created. Fields: id, user_id, pair, timeframe, analysis_type (smc/ict/vlm/regime), result (JSONB), confidence, regime, created_at, provider_data_snapshot (JSONB).</w:t>
      </w:r>
    </w:p>
    <w:p>
      <w:pPr>
        <w:pStyle w:val="Heading3"/>
        <w:spacing w:after="120" w:before="300"/>
      </w:pPr>
      <w:bookmarkStart w:id="100039" w:name="_Toc100039"/>
      <w:r>
        <w:rPr>
          <w:rFonts w:ascii="Calibri" w:eastAsia="SimHei"/>
          <w:b/>
          <w:bCs/>
          <w:color w:val="4A6575"/>
          <w:sz w:val="24"/>
          <w:szCs w:val="24"/>
        </w:rPr>
        <w:t xml:space="preserve">Opportunity</w:t>
      </w:r>
      <w:bookmarkEnd w:id="100039"/>
    </w:p>
    <w:p>
      <w:pPr>
        <w:spacing w:after="80" w:line="312"/>
        <w:jc w:val="both"/>
      </w:pPr>
      <w:r>
        <w:rPr>
          <w:rFonts w:ascii="Times New Roman" w:eastAsia="Microsoft YaHei"/>
          <w:color w:val="1A1A1A"/>
          <w:sz w:val="22"/>
          <w:szCs w:val="22"/>
        </w:rPr>
        <w:t xml:space="preserve">Ownership: NEW domain (to be created in Phase 5). Source of truth: Supabase opportunities table (to be created). Identifier: UUID. Persistence: Supabase with Redis cache. Read authority: owner. Write authority: server-only (Opportunity Ranking Engine output). Provider mapping: aggregated from Signal, Analysis, Debate, Discovery scores. Lifecycle: created when an opportunity is identified, ranked by the Opportunity Ranking Engine, consumed by MOXI, expired after 24 hours or when market conditions change. Fields: id, user_id, asset, type (signal/analysis/discovery), score, confidence, reasoning, risk_assessment (JSONB), source_signals (UUID[]), source_analyses (UUID[]), metadata (JSONB), created_at, expires_at, consumed_at.</w:t>
      </w:r>
    </w:p>
    <w:p>
      <w:pPr>
        <w:pStyle w:val="Heading3"/>
        <w:spacing w:after="120" w:before="300"/>
      </w:pPr>
      <w:bookmarkStart w:id="100040" w:name="_Toc100040"/>
      <w:r>
        <w:rPr>
          <w:rFonts w:ascii="Calibri" w:eastAsia="SimHei"/>
          <w:b/>
          <w:bCs/>
          <w:color w:val="4A6575"/>
          <w:sz w:val="24"/>
          <w:szCs w:val="24"/>
        </w:rPr>
        <w:t xml:space="preserve">MOXIContext</w:t>
      </w:r>
      <w:bookmarkEnd w:id="100040"/>
    </w:p>
    <w:p>
      <w:pPr>
        <w:spacing w:after="80" w:line="312"/>
        <w:jc w:val="both"/>
      </w:pPr>
      <w:r>
        <w:rPr>
          <w:rFonts w:ascii="Times New Roman" w:eastAsia="Microsoft YaHei"/>
          <w:color w:val="1A1A1A"/>
          <w:sz w:val="22"/>
          <w:szCs w:val="22"/>
        </w:rPr>
        <w:t xml:space="preserve">Ownership: moxi domain. Source of truth: in-memory (per-request) with Supabase persistence (moxi_conversations, moxi_messages tables, currently missing from types.ts per F3). Identifier: conversation_id + message_id. Persistence: Supabase for history, Redis for active session context. Read authority: conversation owner. Write authority: server-only. Provider mapping: aggregated from all domain engines. Lifecycle: created per conversation, context rebuilt on each message from parallel data aggregation. Fields: conversation_id, message_id, role (user/assistant/system), content, agent (coach/governor/hunter/analyst), tools_called (JSONB), context_sources (JSONB), created_at.</w:t>
      </w:r>
    </w:p>
    <w:p>
      <w:pPr>
        <w:pStyle w:val="Heading2"/>
        <w:spacing w:after="160" w:before="400"/>
      </w:pPr>
      <w:bookmarkStart w:id="100041" w:name="_Toc100041"/>
      <w:r>
        <w:rPr>
          <w:rFonts w:ascii="Calibri" w:eastAsia="SimHei"/>
          <w:b/>
          <w:bCs/>
          <w:color w:val="0F2027"/>
          <w:sz w:val="28"/>
          <w:szCs w:val="28"/>
        </w:rPr>
        <w:t xml:space="preserve">10.4 User and Platform Models</w:t>
      </w:r>
      <w:bookmarkEnd w:id="100041"/>
    </w:p>
    <w:p>
      <w:pPr>
        <w:pStyle w:val="Heading3"/>
        <w:spacing w:after="120" w:before="300"/>
      </w:pPr>
      <w:bookmarkStart w:id="100042" w:name="_Toc100042"/>
      <w:r>
        <w:rPr>
          <w:rFonts w:ascii="Calibri" w:eastAsia="SimHei"/>
          <w:b/>
          <w:bCs/>
          <w:color w:val="4A6575"/>
          <w:sz w:val="24"/>
          <w:szCs w:val="24"/>
        </w:rPr>
        <w:t xml:space="preserve">Portfolio</w:t>
      </w:r>
      <w:bookmarkEnd w:id="100042"/>
    </w:p>
    <w:p>
      <w:pPr>
        <w:spacing w:after="80" w:line="312"/>
        <w:jc w:val="both"/>
      </w:pPr>
      <w:r>
        <w:rPr>
          <w:rFonts w:ascii="Times New Roman" w:eastAsia="Microsoft YaHei"/>
          <w:color w:val="1A1A1A"/>
          <w:sz w:val="22"/>
          <w:szCs w:val="22"/>
        </w:rPr>
        <w:t xml:space="preserve">Ownership: trades domain (derived). Source of truth: computed from Trade + position data. Identifier: user_id + asset. Persistence: computed on read (materialized view or cache). Read authority: owner. Write authority: derived (no direct writes). Provider mapping: aggregated from Trade records and real-time Ticker data. Lifecycle: recomputed on trade creation/closure and on demand. Fields: user_id, asset, quantity, avg_entry, current_price, unrealized_pnl, realized_pnl, total_pnl.</w:t>
      </w:r>
    </w:p>
    <w:p>
      <w:pPr>
        <w:pStyle w:val="Heading3"/>
        <w:spacing w:after="120" w:before="300"/>
      </w:pPr>
      <w:bookmarkStart w:id="100043" w:name="_Toc100043"/>
      <w:r>
        <w:rPr>
          <w:rFonts w:ascii="Calibri" w:eastAsia="SimHei"/>
          <w:b/>
          <w:bCs/>
          <w:color w:val="4A6575"/>
          <w:sz w:val="24"/>
          <w:szCs w:val="24"/>
        </w:rPr>
        <w:t xml:space="preserve">JournalEntry</w:t>
      </w:r>
      <w:bookmarkEnd w:id="100043"/>
    </w:p>
    <w:p>
      <w:pPr>
        <w:spacing w:after="80" w:line="312"/>
        <w:jc w:val="both"/>
      </w:pPr>
      <w:r>
        <w:rPr>
          <w:rFonts w:ascii="Times New Roman" w:eastAsia="Microsoft YaHei"/>
          <w:color w:val="1A1A1A"/>
          <w:sz w:val="22"/>
          <w:szCs w:val="22"/>
        </w:rPr>
        <w:t xml:space="preserve">Ownership: notes domain. Source of truth: Supabase trading_notes table. Identifier: UUID. Persistence: Supabase. Read authority: owner. Write authority: owner. Provider mapping: created by user, optionally linked to Trade or Signal. Lifecycle: created on user input, updated on edit, never deleted (soft delete only). Fields: id, user_id, trade_id (nullable), signal_id (nullable), content, mood, tags (text[]), lesson_learned, created_at, updated_at.</w:t>
      </w:r>
    </w:p>
    <w:p>
      <w:pPr>
        <w:pStyle w:val="Heading3"/>
        <w:spacing w:after="120" w:before="300"/>
      </w:pPr>
      <w:bookmarkStart w:id="100044" w:name="_Toc100044"/>
      <w:r>
        <w:rPr>
          <w:rFonts w:ascii="Calibri" w:eastAsia="SimHei"/>
          <w:b/>
          <w:bCs/>
          <w:color w:val="4A6575"/>
          <w:sz w:val="24"/>
          <w:szCs w:val="24"/>
        </w:rPr>
        <w:t xml:space="preserve">DomainEvent</w:t>
      </w:r>
      <w:bookmarkEnd w:id="100044"/>
    </w:p>
    <w:p>
      <w:pPr>
        <w:spacing w:after="80" w:line="312"/>
        <w:jc w:val="both"/>
      </w:pPr>
      <w:r>
        <w:rPr>
          <w:rFonts w:ascii="Times New Roman" w:eastAsia="Microsoft YaHei"/>
          <w:color w:val="1A1A1A"/>
          <w:sz w:val="22"/>
          <w:szCs w:val="22"/>
        </w:rPr>
        <w:t xml:space="preserve">Ownership: shared/events domain. Source of truth: Supabase domain_events table. Identifier: UUID. Persistence: Supabase. Read authority: system (for replay), owner (for notification history). Write authority: server-only (domain engines). Provider mapping: emitted by all domain engines on state transitions. Lifecycle: created atomically with the state change, processed by event handlers, archived after 90 days. Fields: id, event_type (20 defined types), aggregate_id, aggregate_type, payload (JSONB), metadata (JSONB), created_at, processed_at, handler_results (JSONB).</w:t>
      </w:r>
    </w:p>
    <w:p>
      <w:pPr>
        <w:pStyle w:val="Heading3"/>
        <w:spacing w:after="120" w:before="300"/>
      </w:pPr>
      <w:bookmarkStart w:id="100045" w:name="_Toc100045"/>
      <w:r>
        <w:rPr>
          <w:rFonts w:ascii="Calibri" w:eastAsia="SimHei"/>
          <w:b/>
          <w:bCs/>
          <w:color w:val="4A6575"/>
          <w:sz w:val="24"/>
          <w:szCs w:val="24"/>
        </w:rPr>
        <w:t xml:space="preserve">Notification</w:t>
      </w:r>
      <w:bookmarkEnd w:id="100045"/>
    </w:p>
    <w:p>
      <w:pPr>
        <w:spacing w:after="80" w:line="312"/>
        <w:jc w:val="both"/>
      </w:pPr>
      <w:r>
        <w:rPr>
          <w:rFonts w:ascii="Times New Roman" w:eastAsia="Microsoft YaHei"/>
          <w:color w:val="1A1A1A"/>
          <w:sz w:val="22"/>
          <w:szCs w:val="22"/>
        </w:rPr>
        <w:t xml:space="preserve">Ownership: shared/notifications domain. Source of truth: Supabase notifications table. Identifier: UUID. Persistence: Supabase. Read authority: recipient. Write authority: server-only (notification channels). Provider mapping: triggered by DomainEvent handlers. Lifecycle: created when a notification is triggered, delivered via channel, marked as read by user. Fields: id, user_id, type, title, body, channel (in_app/telegram/email/webhook), status (pending/delivered/read/failed), event_id (nullable), metadata (JSONB), created_at, delivered_at, read_at.</w:t>
      </w:r>
    </w:p>
    <w:p>
      <w:pPr>
        <w:pStyle w:val="Heading1"/>
        <w:spacing w:after="200" w:before="600"/>
      </w:pPr>
      <w:bookmarkStart w:id="100046" w:name="_Toc100046"/>
      <w:r>
        <w:rPr>
          <w:rFonts w:ascii="Calibri" w:eastAsia="SimHei"/>
          <w:b/>
          <w:bCs/>
          <w:color w:val="0F2027"/>
          <w:sz w:val="32"/>
          <w:szCs w:val="32"/>
        </w:rPr>
        <w:t xml:space="preserve">11. Provider Architecture</w:t>
      </w:r>
      <w:bookmarkEnd w:id="100046"/>
    </w:p>
    <w:p>
      <w:pPr>
        <w:spacing w:after="80" w:line="312"/>
        <w:jc w:val="both"/>
      </w:pPr>
      <w:r>
        <w:rPr>
          <w:rFonts w:ascii="Times New Roman" w:eastAsia="Microsoft YaHei"/>
          <w:color w:val="1A1A1A"/>
          <w:sz w:val="22"/>
          <w:szCs w:val="22"/>
        </w:rPr>
        <w:t xml:space="preserve">The provider architecture defines how VIXOR connects to external data sources, normalizes their output, and manages failures. The current state has 16 client files across shared/market-data/ and domain-specific clients/ directories, with 4 DEAD files and 6 PARTIAL providers that degrade gracefully without API keys. The target architecture consolidates all provider connections through a single normalization layer, eliminating provider-specific logic from domain engines.</w:t>
      </w:r>
    </w:p>
    <w:p>
      <w:pPr>
        <w:pStyle w:val="Heading2"/>
        <w:spacing w:after="160" w:before="400"/>
      </w:pPr>
      <w:bookmarkStart w:id="100047" w:name="_Toc100047"/>
      <w:r>
        <w:rPr>
          <w:rFonts w:ascii="Calibri" w:eastAsia="SimHei"/>
          <w:b/>
          <w:bCs/>
          <w:color w:val="0F2027"/>
          <w:sz w:val="28"/>
          <w:szCs w:val="28"/>
        </w:rPr>
        <w:t xml:space="preserve">11.1 Current Provider Inventory</w:t>
      </w:r>
      <w:bookmarkEnd w:id="100047"/>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gridCol w:w="100"/>
      </w:tblGrid>
      <w:tr>
        <w:trPr>
          <w:tblHeader/>
        </w:trPr>
        <w:tc>
          <w:tcPr>
            <w:tcW w:type="pct" w:w="16%"/>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Provider</w:t>
            </w:r>
          </w:p>
        </w:tc>
        <w:tc>
          <w:tcPr>
            <w:tcW w:type="pct" w:w="3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Location</w:t>
            </w:r>
          </w:p>
        </w:tc>
        <w:tc>
          <w:tcPr>
            <w:tcW w:type="pct" w:w="1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Type</w:t>
            </w:r>
          </w:p>
        </w:tc>
        <w:tc>
          <w:tcPr>
            <w:tcW w:type="pct" w:w="16%"/>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Data</w:t>
            </w:r>
          </w:p>
        </w:tc>
        <w:tc>
          <w:tcPr>
            <w:tcW w:type="pct" w:w="1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Status</w:t>
            </w:r>
          </w:p>
        </w:tc>
        <w:tc>
          <w:tcPr>
            <w:tcW w:type="pct" w:w="26%"/>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Target Action</w:t>
            </w:r>
          </w:p>
        </w:tc>
      </w:tr>
      <w:tr>
        <w:trPr>
          <w:cantSplit/>
        </w:trPr>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Binance REST</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market/server/</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REST</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OHLCV, Ticker, OrderBook</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Wrap in normalizer adapter</w:t>
            </w:r>
          </w:p>
        </w:tc>
      </w:tr>
      <w:tr>
        <w:trPr>
          <w:cantSplit/>
        </w:trPr>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Binance WS</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shared/market-data/binance-ws.ts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WebSocket</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Real-time ticker</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Wrap in normalizer adapter</w:t>
            </w:r>
          </w:p>
        </w:tc>
      </w:tr>
      <w:tr>
        <w:trPr>
          <w:cantSplit/>
        </w:trPr>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DexScreener REST</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domains/discovery/clients/dexscreener.client.ts</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REST</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DEX pairs, prices, volume</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Wrap in normalizer adapter</w:t>
            </w:r>
          </w:p>
        </w:tc>
      </w:tr>
      <w:tr>
        <w:trPr>
          <w:cantSplit/>
        </w:trPr>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DexScreener WS</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shared/market-data/dexscreener-ws.ts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WebSocket</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Real-time DEX updates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Wrap in normalizer adapter</w:t>
            </w:r>
          </w:p>
        </w:tc>
      </w:tr>
      <w:tr>
        <w:trPr>
          <w:cantSplit/>
        </w:trPr>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TwelveData</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domains/market/server/twelvedata.ts</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REST</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OHLCV, Forex, Commodities</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PARTIAL</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Wrap in normalizer adapter; key required</w:t>
            </w:r>
          </w:p>
        </w:tc>
      </w:tr>
      <w:tr>
        <w:trPr>
          <w:cantSplit/>
        </w:trPr>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Finnhub</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shared/market-data/finnhub-quotes.ts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REST</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Forex/Stock quotes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PARTIAL</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Wrap in normalizer adapter; key required</w:t>
            </w:r>
          </w:p>
        </w:tc>
      </w:tr>
      <w:tr>
        <w:trPr>
          <w:cantSplit/>
        </w:trPr>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Birdeye</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domains/discovery/clients/birdeye.client.ts</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REST</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Token metadata, trade data</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PARTIAL</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Enhance adapter; key required</w:t>
            </w:r>
          </w:p>
        </w:tc>
      </w:tr>
      <w:tr>
        <w:trPr>
          <w:cantSplit/>
        </w:trPr>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Helius RPC</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domains/discovery/clients/helius.client.ts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RPC</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Smart money, on-chain data</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PARTIAL</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Enhance adapter; key required</w:t>
            </w:r>
          </w:p>
        </w:tc>
      </w:tr>
      <w:tr>
        <w:trPr>
          <w:cantSplit/>
        </w:trPr>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LunarCrush</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domains/discovery/clients/lunarcrush.client.ts</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REST</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Social sentiment, Galaxy Score</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PARTIAL</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Enhance adapter; key required</w:t>
            </w:r>
          </w:p>
        </w:tc>
      </w:tr>
      <w:tr>
        <w:trPr>
          <w:cantSplit/>
        </w:trPr>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Twitter/X</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domains/discovery/clients/twitter.client.ts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REST</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Social signals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PARTIAL</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Enhance adapter; key required</w:t>
            </w:r>
          </w:p>
        </w:tc>
      </w:tr>
      <w:tr>
        <w:trPr>
          <w:cantSplit/>
        </w:trPr>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Mobula</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domains/discovery/clients/mobula.client.ts</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REST</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Multi-chain market data</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PARTIAL</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Investigate; currently unwired per baseline</w:t>
            </w:r>
          </w:p>
        </w:tc>
      </w:tr>
      <w:tr>
        <w:trPr>
          <w:cantSplit/>
        </w:trPr>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CCXT</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domains/trading/gateway/adapters/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REST+WS</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Exchange execution</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Keep as execution layer; not data provider</w:t>
            </w:r>
          </w:p>
        </w:tc>
      </w:tr>
      <w:tr>
        <w:trPr>
          <w:cantSplit/>
        </w:trPr>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shared/dexscreener.ts</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shared/market-data/dexscreener.ts</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REST</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DEX data</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DEAD</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REMOVE (shadowed by discovery client)</w:t>
            </w:r>
          </w:p>
        </w:tc>
      </w:tr>
      <w:tr>
        <w:trPr>
          <w:cantSplit/>
        </w:trPr>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shared/helius-rpc.ts</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shared/market-data/helius-rpc.ts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RPC</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Helius RPC</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DEAD</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REMOVE (shadowed by discovery client)</w:t>
            </w:r>
          </w:p>
        </w:tc>
      </w:tr>
      <w:tr>
        <w:trPr>
          <w:cantSplit/>
        </w:trPr>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shared/alchemy-rpc.ts</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shared/market-data/alchemy-rpc.ts</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RPC</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EVM RPC</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DEAD</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REMOVE (zero imports)</w:t>
            </w:r>
          </w:p>
        </w:tc>
      </w:tr>
      <w:tr>
        <w:trPr>
          <w:cantSplit/>
        </w:trPr>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shared/price-resolver.ts</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shared/market-data/price-resolver.ts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Internal</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Price conflict resolution</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DEAD</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REMOVE (zero imports; unimplemented)</w:t>
            </w:r>
          </w:p>
        </w:tc>
      </w:tr>
      <w:tr>
        <w:trPr>
          <w:cantSplit/>
        </w:trPr>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CoinGecko</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market/server/ (via market-overview API)</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REST</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Fallback prices</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Wrap in normalizer adapter</w:t>
            </w:r>
          </w:p>
        </w:tc>
      </w:tr>
      <w:tr>
        <w:trPr>
          <w:cantSplit/>
        </w:trPr>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GeckoTerminal</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domains/market/server/ (analysis)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REST</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DEX OHLCV for charts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Wrap in normalizer adapter</w:t>
            </w:r>
          </w:p>
        </w:tc>
      </w:tr>
    </w:tbl>
    <w:p>
      <w:pPr>
        <w:pStyle w:val="Heading2"/>
        <w:spacing w:after="160" w:before="400"/>
      </w:pPr>
      <w:bookmarkStart w:id="100048" w:name="_Toc100048"/>
      <w:r>
        <w:rPr>
          <w:rFonts w:ascii="Calibri" w:eastAsia="SimHei"/>
          <w:b/>
          <w:bCs/>
          <w:color w:val="0F2027"/>
          <w:sz w:val="28"/>
          <w:szCs w:val="28"/>
        </w:rPr>
        <w:t xml:space="preserve">11.2 Normalization Contract</w:t>
      </w:r>
      <w:bookmarkEnd w:id="100048"/>
    </w:p>
    <w:p>
      <w:pPr>
        <w:spacing w:after="80" w:line="312"/>
        <w:jc w:val="both"/>
      </w:pPr>
      <w:r>
        <w:rPr>
          <w:rFonts w:ascii="Times New Roman" w:eastAsia="Microsoft YaHei"/>
          <w:color w:val="1A1A1A"/>
          <w:sz w:val="22"/>
          <w:szCs w:val="22"/>
        </w:rPr>
        <w:t xml:space="preserve">Every provider adapter must implement the NormalizerAdapter interface: a function that takes provider-native data and returns a VIXOR canonical type. For price data, the target type is AssetPrice { symbol, pair, price, timestamp, provider, confidence }. For OHLCV data, the target type is Candle { pair, interval, timestamp_open, open, high, low, close, volume, provider, source_timestamp, normalized_at }. The normalization layer also handles: (a) confidence scoring based on provider reliability and data freshness, (b) deduplication when multiple providers serve the same pair, (c) fallback cascading when a primary provider fails, and (d) rate limiting per provider to respect API quotas. The normalization layer is server-side only; clients receive already-normalized data through TanStack Query hooks.</w:t>
      </w:r>
    </w:p>
    <w:p>
      <w:pPr>
        <w:pStyle w:val="Heading2"/>
        <w:spacing w:after="160" w:before="400"/>
      </w:pPr>
      <w:bookmarkStart w:id="100049" w:name="_Toc100049"/>
      <w:r>
        <w:rPr>
          <w:rFonts w:ascii="Calibri" w:eastAsia="SimHei"/>
          <w:b/>
          <w:bCs/>
          <w:color w:val="0F2027"/>
          <w:sz w:val="28"/>
          <w:szCs w:val="28"/>
        </w:rPr>
        <w:t xml:space="preserve">11.3 Provider Failure Strategy</w:t>
      </w:r>
      <w:bookmarkEnd w:id="100049"/>
    </w:p>
    <w:p>
      <w:pPr>
        <w:spacing w:after="80" w:line="312"/>
        <w:jc w:val="both"/>
      </w:pPr>
      <w:r>
        <w:rPr>
          <w:rFonts w:ascii="Times New Roman" w:eastAsia="Microsoft YaHei"/>
          <w:color w:val="1A1A1A"/>
          <w:sz w:val="22"/>
          <w:szCs w:val="22"/>
        </w:rPr>
        <w:t xml:space="preserve">When a provider fails, the system follows a graceful degradation cascade: (1) Try the primary provider with a 3-second timeout, (2) Fall back to the secondary provider for the same data type, (3) Return stale cached data from Redis (with a STALE indicator in the UI), (4) Return null and display a degraded UX message ("Price data temporarily unavailable"). No provider failure should crash the application or block the user from performing other actions. This strategy is already partially implemented in the existing provider clients (they return null when keys are missing), but it is not formalized into a consistent pattern across all providers.</w:t>
      </w:r>
    </w:p>
    <w:p>
      <w:pPr>
        <w:pStyle w:val="Heading1"/>
        <w:spacing w:after="200" w:before="600"/>
      </w:pPr>
      <w:bookmarkStart w:id="100050" w:name="_Toc100050"/>
      <w:r>
        <w:rPr>
          <w:rFonts w:ascii="Calibri" w:eastAsia="SimHei"/>
          <w:b/>
          <w:bCs/>
          <w:color w:val="0F2027"/>
          <w:sz w:val="32"/>
          <w:szCs w:val="32"/>
        </w:rPr>
        <w:t xml:space="preserve">12. Intelligence Architecture</w:t>
      </w:r>
      <w:bookmarkEnd w:id="100050"/>
    </w:p>
    <w:p>
      <w:pPr>
        <w:spacing w:after="80" w:line="312"/>
        <w:jc w:val="both"/>
      </w:pPr>
      <w:r>
        <w:rPr>
          <w:rFonts w:ascii="Times New Roman" w:eastAsia="Microsoft YaHei"/>
          <w:color w:val="1A1A1A"/>
          <w:sz w:val="22"/>
          <w:szCs w:val="22"/>
        </w:rPr>
        <w:t xml:space="preserve">The Intelligence Architecture defines how raw data and engine outputs are transformed into ranked, contextualized, actionable opportunities. This is the layer that makes VIXOR an intelligence platform rather than a data dashboard. The current state has six implemented engines (analysis, backtest, debate, risk-governor, discovery scoring, experiment) and MOXI with four agents, but there is no formal system for converting their outputs into a ranked opportunity feed. The Opportunity Ranking Engine is the missing piece.</w:t>
      </w:r>
    </w:p>
    <w:p>
      <w:pPr>
        <w:pStyle w:val="Heading2"/>
        <w:spacing w:after="160" w:before="400"/>
      </w:pPr>
      <w:bookmarkStart w:id="100051" w:name="_Toc100051"/>
      <w:r>
        <w:rPr>
          <w:rFonts w:ascii="Calibri" w:eastAsia="SimHei"/>
          <w:b/>
          <w:bCs/>
          <w:color w:val="0F2027"/>
          <w:sz w:val="28"/>
          <w:szCs w:val="28"/>
        </w:rPr>
        <w:t xml:space="preserve">12.1 Engine Inventory</w:t>
      </w:r>
      <w:bookmarkEnd w:id="100051"/>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gridCol w:w="100"/>
      </w:tblGrid>
      <w:tr>
        <w:trPr>
          <w:tblHeader/>
        </w:trPr>
        <w:tc>
          <w:tcPr>
            <w:tcW w:type="pct" w:w="1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Engine</w:t>
            </w:r>
          </w:p>
        </w:tc>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Location</w:t>
            </w:r>
          </w:p>
        </w:tc>
        <w:tc>
          <w:tcPr>
            <w:tcW w:type="pct" w:w="2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Input</w:t>
            </w:r>
          </w:p>
        </w:tc>
        <w:tc>
          <w:tcPr>
            <w:tcW w:type="pct" w:w="1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Output</w:t>
            </w:r>
          </w:p>
        </w:tc>
        <w:tc>
          <w:tcPr>
            <w:tcW w:type="pct" w:w="1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Status</w:t>
            </w:r>
          </w:p>
        </w:tc>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V2 Owner</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SMC/ICT Analysis</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analysis/engine/</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OHLCV + indicators</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Analysis result (JSONB)</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analysis domain</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Chart Vision (VLM)</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chart-intelligence/</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Chart screenshot</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Chart analysis text</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chart-intelligence domain</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Chart Truth</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chart-truth/</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Vision data + real prices</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Truth score</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chart-truth domain</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Debate Engine</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debate/engine/</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Analysis + thesis</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Bull/bear consensus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debate domain</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Risk Governor</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risk-governor/</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Trade parameters</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PROCEED/REDUCE/WAIT/BLOCK</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risk-governor domain</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Discovery Scoring</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discovery/scoring.ts</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Token data + social + on-chain</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0-100 score</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discovery domain</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Backtest Simulator</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backtest/engine/</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Strategy + historical OHLCV</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Equity curve + metrics</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backtest domain</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Signal Transition</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signal-tracking/transition-engine.ts</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Current state + price observation</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New state + transition record</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 (not invoked)</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signal-tracking domain</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Opportunity Ranking</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MISSING</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Signals + Analyses + Debate + Context</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Ranked opportunity list</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MISSING</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NEW: intelligence domain</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Regime Detection</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analysis/engine/regime/</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OHLCV + indicators</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Regime label (trending/ranging/volatile)</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analysis domain</w:t>
            </w:r>
          </w:p>
        </w:tc>
      </w:tr>
    </w:tbl>
    <w:p>
      <w:pPr>
        <w:pStyle w:val="Heading2"/>
        <w:spacing w:after="160" w:before="400"/>
      </w:pPr>
      <w:bookmarkStart w:id="100052" w:name="_Toc100052"/>
      <w:r>
        <w:rPr>
          <w:rFonts w:ascii="Calibri" w:eastAsia="SimHei"/>
          <w:b/>
          <w:bCs/>
          <w:color w:val="0F2027"/>
          <w:sz w:val="28"/>
          <w:szCs w:val="28"/>
        </w:rPr>
        <w:t xml:space="preserve">12.2 Opportunity Ranking Engine (NEW)</w:t>
      </w:r>
      <w:bookmarkEnd w:id="100052"/>
    </w:p>
    <w:p>
      <w:pPr>
        <w:spacing w:after="80" w:line="312"/>
        <w:jc w:val="both"/>
      </w:pPr>
      <w:r>
        <w:rPr>
          <w:rFonts w:ascii="Times New Roman" w:eastAsia="Microsoft YaHei"/>
          <w:color w:val="1A1A1A"/>
          <w:sz w:val="22"/>
          <w:szCs w:val="22"/>
        </w:rPr>
        <w:t xml:space="preserve">The Opportunity Ranking Engine is the single most important new architectural component. It is responsible for taking the unstructured outputs of multiple engines and producing a single, ranked, portfolio-context-aware list of actionable opportunities. Without this engine, MOXI recommendations lack priority order and the user sees ad-hoc suggestions rather than a curated intelligence feed. The engine takes as input: (a) active Signals with their confidence and source, (b) recent Analyses with their regime and pattern detection results, (c) Debate results with bull/bear consensus scores, (d) Discovery scores for new tokens, (e) user Context (current positions, risk preferences, watchlist, portfolio allocation), and (f) Risk Governor assessment. It produces as output a ranked list of Opportunity objects (defined in Section 10), each with a composite score, confidence level, reasoning, and risk assessment. The ranking algorithm uses a weighted composite of: signal confidence (30%), analysis quality (25%), debate consensus strength (15%), discovery momentum (10%), portfolio fit (10%), and risk assessment (10%). These weights are initial defaults and will be tuned based on the Review feedback loop once the system is operational.</w:t>
      </w:r>
    </w:p>
    <w:p>
      <w:pPr>
        <w:pStyle w:val="Heading1"/>
        <w:spacing w:after="200" w:before="600"/>
      </w:pPr>
      <w:bookmarkStart w:id="100053" w:name="_Toc100053"/>
      <w:r>
        <w:rPr>
          <w:rFonts w:ascii="Calibri" w:eastAsia="SimHei"/>
          <w:b/>
          <w:bCs/>
          <w:color w:val="0F2027"/>
          <w:sz w:val="32"/>
          <w:szCs w:val="32"/>
        </w:rPr>
        <w:t xml:space="preserve">13. Signal Architecture</w:t>
      </w:r>
      <w:bookmarkEnd w:id="100053"/>
    </w:p>
    <w:p>
      <w:pPr>
        <w:spacing w:after="80" w:line="312"/>
        <w:jc w:val="both"/>
      </w:pPr>
      <w:r>
        <w:rPr>
          <w:rFonts w:ascii="Times New Roman" w:eastAsia="Microsoft YaHei"/>
          <w:color w:val="1A1A1A"/>
          <w:sz w:val="22"/>
          <w:szCs w:val="22"/>
        </w:rPr>
        <w:t xml:space="preserve">The Signal Architecture defines how trading signals are created, validated, transitioned, tracked, and resolved. This architecture preserves the existing Transition Engine (locked at commit 4ffad75, 75 passing tests) while relocating authority from the client to the server. The existing engine is a pure function with zero dependencies; the problem is not the engine design but the invocation location and the absence of atomic commits, domain events, and audit records.</w:t>
      </w:r>
    </w:p>
    <w:p>
      <w:pPr>
        <w:pStyle w:val="Heading2"/>
        <w:spacing w:after="160" w:before="400"/>
      </w:pPr>
      <w:bookmarkStart w:id="100054" w:name="_Toc100054"/>
      <w:r>
        <w:rPr>
          <w:rFonts w:ascii="Calibri" w:eastAsia="SimHei"/>
          <w:b/>
          <w:bCs/>
          <w:color w:val="0F2027"/>
          <w:sz w:val="28"/>
          <w:szCs w:val="28"/>
        </w:rPr>
        <w:t xml:space="preserve">13.1 Current State vs Target State</w:t>
      </w:r>
      <w:bookmarkEnd w:id="100054"/>
    </w:p>
    <w:p>
      <w:pPr>
        <w:spacing w:after="80" w:line="312"/>
        <w:jc w:val="both"/>
      </w:pPr>
      <w:r>
        <w:rPr>
          <w:rFonts w:ascii="Times New Roman" w:eastAsia="Microsoft YaHei"/>
          <w:color w:val="1A1A1A"/>
          <w:sz w:val="22"/>
          <w:szCs w:val="22"/>
        </w:rPr>
        <w:t xml:space="preserve">Current state (BROKEN from authority perspective): The client (useSignalMonitor hook) evaluates price observations against signal levels, determines the new state, and sends the new state to the server via updateSignalTracking. The server accepts the client-determined state and writes it directly to the database. The hit_tp field, observedAt timestamp, and resolved_at timestamp are all client-controlled. The Transition Engine exists but is never called. Target state (CORRECT): An external price observation triggers a server-side function. The server invokes the Transition Engine with the observation and the current signal state. The Transition Engine returns the new state and a transition record. The server performs an atomic database commit (status + hit_tp + timestamps + transition record) within a transaction. The server emits a DomainEvent (signal.state_changed). The event handler triggers notifications via the notification system. MOXI receives the event for context update. An audit record is created. The client receives the updated state via TanStack Query refetch or Supabase Realtime.</w:t>
      </w:r>
    </w:p>
    <w:p>
      <w:pPr>
        <w:pStyle w:val="Heading2"/>
        <w:spacing w:after="160" w:before="400"/>
      </w:pPr>
      <w:bookmarkStart w:id="100055" w:name="_Toc100055"/>
      <w:r>
        <w:rPr>
          <w:rFonts w:ascii="Calibri" w:eastAsia="SimHei"/>
          <w:b/>
          <w:bCs/>
          <w:color w:val="0F2027"/>
          <w:sz w:val="28"/>
          <w:szCs w:val="28"/>
        </w:rPr>
        <w:t xml:space="preserve">13.2 Signal Lifecycle State Machine</w:t>
      </w:r>
      <w:bookmarkEnd w:id="100055"/>
    </w:p>
    <w:p>
      <w:pPr>
        <w:spacing w:after="80" w:line="312"/>
        <w:jc w:val="both"/>
      </w:pPr>
      <w:r>
        <w:rPr>
          <w:rFonts w:ascii="Times New Roman" w:eastAsia="Microsoft YaHei"/>
          <w:color w:val="1A1A1A"/>
          <w:sz w:val="22"/>
          <w:szCs w:val="22"/>
        </w:rPr>
        <w:t xml:space="preserve">The signal lifecycle is defined by the Transition Engine at src/domains/signal-tracking/transition-engine.ts. The 9 states are: 2 Monitored (pending, active), 2 Intermediate (tp1_hit, tp2_hit), and 5 Terminal (tp3_hit, sl_hit, invalidated, expired, cancelled). Legal transitions are defined in PRICE_TRANSITION_MATRIX for price-driven transitions and as standalone functions for non-price transitions (cancel, expire, invalidate). The Transition Engine enforces: (a) no transitions out of terminal states, (b) SL has priority over TP at the same tick (to prevent phantom wins), (c) TP levels must be hit in order (tp1 before tp2 before tp3), and (d) invalidation, cancellation, and expiration can occur from any non-terminal state. All 75 tests verify these invariants.</w:t>
      </w:r>
    </w:p>
    <w:p>
      <w:pPr>
        <w:pStyle w:val="Heading2"/>
        <w:spacing w:after="160" w:before="400"/>
      </w:pPr>
      <w:bookmarkStart w:id="100056" w:name="_Toc100056"/>
      <w:r>
        <w:rPr>
          <w:rFonts w:ascii="Calibri" w:eastAsia="SimHei"/>
          <w:b/>
          <w:bCs/>
          <w:color w:val="0F2027"/>
          <w:sz w:val="28"/>
          <w:szCs w:val="28"/>
        </w:rPr>
        <w:t xml:space="preserve">13.3 Server Authority Protocol</w:t>
      </w:r>
      <w:bookmarkEnd w:id="100056"/>
    </w:p>
    <w:p>
      <w:pPr>
        <w:spacing w:after="80" w:line="312"/>
        <w:jc w:val="both"/>
      </w:pPr>
      <w:r>
        <w:rPr>
          <w:rFonts w:ascii="Times New Roman" w:eastAsia="Microsoft YaHei"/>
          <w:color w:val="1A1A1A"/>
          <w:sz w:val="22"/>
          <w:szCs w:val="22"/>
        </w:rPr>
        <w:t xml:space="preserve">The server authority protocol defines how the Transition Engine is invoked on the server side. The protocol consists of the following steps: (1) A price observation arrives (from a cron job, WebSocket handler, or API call). (2) The server function fetches the current signal state from the database, including all active signal_trackings for the relevant pair. (3) For each active signal_tracking, the server calls evaluateSignalTransition(currentState, observation). (4) If the result is a state change, the server begins a database transaction. (5) Within the transaction, the server updates the signal_tracking status, sets hit_tp (if applicable), sets serverReceivedAt as the authoritative timestamp, creates a SignalTransition record, and emits a DomainEvent. (6) The transaction commits atomically. (7) Post-commit, the event handler triggers notifications and MOXI context updates. (8) The client receives the update via Supabase Realtime or TanStack Query refetch. This protocol ensures that signal state is never client-authoritative, all transitions are auditable, and notifications are event-driven.</w:t>
      </w:r>
    </w:p>
    <w:p>
      <w:pPr>
        <w:pStyle w:val="Heading2"/>
        <w:spacing w:after="160" w:before="400"/>
      </w:pPr>
      <w:bookmarkStart w:id="100057" w:name="_Toc100057"/>
      <w:r>
        <w:rPr>
          <w:rFonts w:ascii="Calibri" w:eastAsia="SimHei"/>
          <w:b/>
          <w:bCs/>
          <w:color w:val="0F2027"/>
          <w:sz w:val="28"/>
          <w:szCs w:val="28"/>
        </w:rPr>
        <w:t xml:space="preserve">13.4 Concurrency and Idempotency</w:t>
      </w:r>
      <w:bookmarkEnd w:id="100057"/>
    </w:p>
    <w:p>
      <w:pPr>
        <w:spacing w:after="80" w:line="312"/>
        <w:jc w:val="both"/>
      </w:pPr>
      <w:r>
        <w:rPr>
          <w:rFonts w:ascii="Times New Roman" w:eastAsia="Microsoft YaHei"/>
          <w:color w:val="1A1A1A"/>
          <w:sz w:val="22"/>
          <w:szCs w:val="22"/>
        </w:rPr>
        <w:t xml:space="preserve">When multiple price observations arrive in rapid succession (e.g., during high volatility), the server must handle concurrency correctly. The chosen model is optimistic locking with a version column on the signal_tracking table. Each update includes a WHERE version = current_version clause. If the update affects zero rows, the observation is stale (the signal has already transitioned) and is discarded. This is sufficient for VIXOR because: (a) signal transitions are relatively rare events (not high-frequency), (b) the Transition Engine is deterministic (same input always produces same output), and (c) the version check prevents lost updates without the complexity of pessimistic locking. For idempotency, each observation includes a unique observation_id (derived from provider + timestamp + pair). The server checks for existing transitions with the same observation_id before processing, preventing duplicate transitions from retry logic.</w:t>
      </w:r>
    </w:p>
    <w:p>
      <w:pPr>
        <w:pStyle w:val="Heading2"/>
        <w:spacing w:after="160" w:before="400"/>
      </w:pPr>
      <w:bookmarkStart w:id="100058" w:name="_Toc100058"/>
      <w:r>
        <w:rPr>
          <w:rFonts w:ascii="Calibri" w:eastAsia="SimHei"/>
          <w:b/>
          <w:bCs/>
          <w:color w:val="0F2027"/>
          <w:sz w:val="28"/>
          <w:szCs w:val="28"/>
        </w:rPr>
        <w:t xml:space="preserve">13.5 Eight Locked Business Decisions</w:t>
      </w:r>
      <w:bookmarkEnd w:id="100058"/>
    </w:p>
    <w:p>
      <w:pPr>
        <w:spacing w:after="80" w:line="312"/>
        <w:jc w:val="both"/>
      </w:pPr>
      <w:r>
        <w:rPr>
          <w:rFonts w:ascii="Times New Roman" w:eastAsia="Microsoft YaHei"/>
          <w:color w:val="1A1A1A"/>
          <w:sz w:val="22"/>
          <w:szCs w:val="22"/>
        </w:rPr>
        <w:t xml:space="preserve">The following business decisions from the Master Contract are frozen by this Architecture Decision Freeze: (A) invalidated is a pre-entry state, not a post-entry failure. A signal is invalidated before the user acts on it (regime shift, thesis invalidated). Once a signal is active (user has entered), it can only exit via TP, SL, expiry, or cancellation. (B) The authoritative timestamp for all transitions is serverReceivedAt, not client-sent timestamps. (C) TP crossing: one tick counts. If the price touches the TP level, the TP is considered hit, even if the candle closes below it. (D) Signal versioning is deferred. There is no signal version history; the current signal represents the latest state. (E) SL priority: if SL and TP would trigger on the same observation, SL wins (conservative bias). (F) TP ordering: tp1 must be hit before tp2, tp2 before tp3. (G) Terminal state protection: no transitions out of terminal states. (H) Invalidation requires a reason string, stored in the invalidation_reason field.</w:t>
      </w:r>
    </w:p>
    <w:p>
      <w:pPr>
        <w:pStyle w:val="Heading1"/>
        <w:spacing w:after="200" w:before="600"/>
      </w:pPr>
      <w:bookmarkStart w:id="100059" w:name="_Toc100059"/>
      <w:r>
        <w:rPr>
          <w:rFonts w:ascii="Calibri" w:eastAsia="SimHei"/>
          <w:b/>
          <w:bCs/>
          <w:color w:val="0F2027"/>
          <w:sz w:val="32"/>
          <w:szCs w:val="32"/>
        </w:rPr>
        <w:t xml:space="preserve">14. MOXI V2 Architecture</w:t>
      </w:r>
      <w:bookmarkEnd w:id="100059"/>
    </w:p>
    <w:p>
      <w:pPr>
        <w:spacing w:after="80" w:line="312"/>
        <w:jc w:val="both"/>
      </w:pPr>
      <w:r>
        <w:rPr>
          <w:rFonts w:ascii="Times New Roman" w:eastAsia="Microsoft YaHei"/>
          <w:color w:val="1A1A1A"/>
          <w:sz w:val="22"/>
          <w:szCs w:val="22"/>
        </w:rPr>
        <w:t xml:space="preserve">MOXI is VIXOR proprietary intelligent agent system and the core product differentiator. MOXI is already REAL: 4 specialized agents (Coach, Governor, Hunter, Analyst), an intent detection router, a context engine that aggregates 10+ data sources in parallel, a multi-provider LLM router with fallback chain (ZAI, Anthropic, Groq, OpenAI), and a tool registry. MOXI is not rebuilt from scratch in V2; instead, the architecture is enhanced in three ways: (1) structured context aggregation, (2) the Opportunity Ranking Engine as a tool, and (3) a feedback loop from trade outcomes to MOXI memory.</w:t>
      </w:r>
    </w:p>
    <w:p>
      <w:pPr>
        <w:pStyle w:val="Heading2"/>
        <w:spacing w:after="160" w:before="400"/>
      </w:pPr>
      <w:bookmarkStart w:id="100060" w:name="_Toc100060"/>
      <w:r>
        <w:rPr>
          <w:rFonts w:ascii="Calibri" w:eastAsia="SimHei"/>
          <w:b/>
          <w:bCs/>
          <w:color w:val="0F2027"/>
          <w:sz w:val="28"/>
          <w:szCs w:val="28"/>
        </w:rPr>
        <w:t xml:space="preserve">14.1 Current MOXI State (Preserved)</w:t>
      </w:r>
      <w:bookmarkEnd w:id="100060"/>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tblGrid>
      <w:tr>
        <w:trPr>
          <w:tblHeader/>
        </w:trPr>
        <w:tc>
          <w:tcPr>
            <w:tcW w:type="pct" w:w="1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Component</w:t>
            </w:r>
          </w:p>
        </w:tc>
        <w:tc>
          <w:tcPr>
            <w:tcW w:type="pct" w:w="3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File</w:t>
            </w:r>
          </w:p>
        </w:tc>
        <w:tc>
          <w:tcPr>
            <w:tcW w:type="pct" w:w="2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Status</w:t>
            </w:r>
          </w:p>
        </w:tc>
        <w:tc>
          <w:tcPr>
            <w:tcW w:type="pct" w:w="4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V2 Action</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Intent Router</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server/agent.ts</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 (regex-based)</w:t>
            </w:r>
          </w:p>
        </w:tc>
        <w:tc>
          <w:tcPr>
            <w:tcW w:type="pct" w:w="4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Keep; enhance with LLM-based intent for complex queries</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Coach Agent</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server/coach.agent.ts</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4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Keep; add post-trade feedback loop</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Governor Agent</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server/governor.agent.ts</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4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Keep; connect to Opportunity Ranking Engine</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Hunter Agent</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server/hunter.agent.ts</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4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Refactor: extract ranking logic to standalone engine</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Analyst Agent</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server/analyst.agent.ts</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4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Keep; add regime-aware context injection</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Feedback Handler</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server/feedback.ts</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4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Keep; enhance with learning storage</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LLM Router</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shared/llm/router.ts</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4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Keep; add per-agent provider preferences</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Context Engine</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moxi/context/</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4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Enhance: add structured context types</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Tool Registry</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shared/tool-registry/</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PARTIAL (8 tools, 2/9 categories)</w:t>
            </w:r>
          </w:p>
        </w:tc>
        <w:tc>
          <w:tcPr>
            <w:tcW w:type="pct" w:w="4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Expand: add all 9 categories</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Memory Store</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shared/memory/</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 (Supabase-based)</w:t>
            </w:r>
          </w:p>
        </w:tc>
        <w:tc>
          <w:tcPr>
            <w:tcW w:type="pct" w:w="4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Keep; evaluate Mem0 as optional POC</w:t>
            </w:r>
          </w:p>
        </w:tc>
      </w:tr>
    </w:tbl>
    <w:p>
      <w:pPr>
        <w:pStyle w:val="Heading2"/>
        <w:spacing w:after="160" w:before="400"/>
      </w:pPr>
      <w:bookmarkStart w:id="100061" w:name="_Toc100061"/>
      <w:r>
        <w:rPr>
          <w:rFonts w:ascii="Calibri" w:eastAsia="SimHei"/>
          <w:b/>
          <w:bCs/>
          <w:color w:val="0F2027"/>
          <w:sz w:val="28"/>
          <w:szCs w:val="28"/>
        </w:rPr>
        <w:t xml:space="preserve">14.2 V2 Context Architecture</w:t>
      </w:r>
      <w:bookmarkEnd w:id="100061"/>
    </w:p>
    <w:p>
      <w:pPr>
        <w:spacing w:after="80" w:line="312"/>
        <w:jc w:val="both"/>
      </w:pPr>
      <w:r>
        <w:rPr>
          <w:rFonts w:ascii="Times New Roman" w:eastAsia="Microsoft YaHei"/>
          <w:color w:val="1A1A1A"/>
          <w:sz w:val="22"/>
          <w:szCs w:val="22"/>
        </w:rPr>
        <w:t xml:space="preserve">The V2 MOXI context architecture defines eight structured context types that are aggregated in parallel on each MOXI request. The current context engine aggregates data sources but does not have formal types. The V2 types are: (1) Market Context: current regime (trending/ranging/volatile), sector performance, correlation heatmap. (2) Asset Context: current price, 24h metrics, technical indicators, recent analysis results. (3) Signal Context: active signals for the asset, recent signal outcomes, signal performance by source. (4) Risk Context: portfolio exposure, risk governor assessment, correlation with existing positions. (5) Portfolio Context: current positions, allocation, PnL, drawdown status. (6) User Context: preferences, risk tolerance, watchlist, recent journal entries, learning history. (7) Historical Context: past MOXI recommendations for this asset/user, outcomes, user feedback. (8) Behavior Context: user activity patterns, preferred assets, typical session times. These eight context types are aggregated in parallel (Promise.all) and passed to the relevant MOXI agent as structured input rather than raw data dumps.</w:t>
      </w:r>
    </w:p>
    <w:p>
      <w:pPr>
        <w:pStyle w:val="Heading2"/>
        <w:spacing w:after="160" w:before="400"/>
      </w:pPr>
      <w:bookmarkStart w:id="100062" w:name="_Toc100062"/>
      <w:r>
        <w:rPr>
          <w:rFonts w:ascii="Calibri" w:eastAsia="SimHei"/>
          <w:b/>
          <w:bCs/>
          <w:color w:val="0F2027"/>
          <w:sz w:val="28"/>
          <w:szCs w:val="28"/>
        </w:rPr>
        <w:t xml:space="preserve">14.3 MOXI Intelligence Pipeline</w:t>
      </w:r>
      <w:bookmarkEnd w:id="100062"/>
    </w:p>
    <w:p>
      <w:pPr>
        <w:spacing w:after="80" w:line="312"/>
        <w:jc w:val="both"/>
      </w:pPr>
      <w:r>
        <w:rPr>
          <w:rFonts w:ascii="Times New Roman" w:eastAsia="Microsoft YaHei"/>
          <w:color w:val="1A1A1A"/>
          <w:sz w:val="22"/>
          <w:szCs w:val="22"/>
        </w:rPr>
        <w:t xml:space="preserve">The V2 MOXI pipeline enhances the current flow with two new stages: Opportunity Ranking and Risk Guard. The pipeline is: Context Aggregation (parallel fetch of 8 context types) then Opportunity Ranking (if Hunter or general query: run Opportunity Ranking Engine) then Reasoning (relevant agent processes context + opportunity data) then Risk Guard (Governor agent evaluates recommendation against risk rules) then Recommendation (produce structured output with thesis, confidence, entry/SL/TP, reasoning) then Action (user accepts, modifies, or rejects) then Follow-up (if accepted: create signal; if rejected: store feedback) then Review (after signal resolves: feed outcome back to memory and learning). This pipeline ensures every MOXI recommendation is grounded in real data, ranked against alternatives, validated against risk constraints, and fed back into the system for improvement.</w:t>
      </w:r>
    </w:p>
    <w:p>
      <w:pPr>
        <w:pStyle w:val="Heading2"/>
        <w:spacing w:after="160" w:before="400"/>
      </w:pPr>
      <w:bookmarkStart w:id="100063" w:name="_Toc100063"/>
      <w:r>
        <w:rPr>
          <w:rFonts w:ascii="Calibri" w:eastAsia="SimHei"/>
          <w:b/>
          <w:bCs/>
          <w:color w:val="0F2027"/>
          <w:sz w:val="28"/>
          <w:szCs w:val="28"/>
        </w:rPr>
        <w:t xml:space="preserve">14.4 Mastra Evaluation</w:t>
      </w:r>
      <w:bookmarkEnd w:id="100063"/>
    </w:p>
    <w:p>
      <w:pPr>
        <w:spacing w:after="80" w:line="312"/>
        <w:jc w:val="both"/>
      </w:pPr>
      <w:r>
        <w:rPr>
          <w:rFonts w:ascii="Times New Roman" w:eastAsia="Microsoft YaHei"/>
          <w:color w:val="1A1A1A"/>
          <w:sz w:val="22"/>
          <w:szCs w:val="22"/>
        </w:rPr>
        <w:t xml:space="preserve">Mastra is classified as C (POC). The POC must answer three questions within a 2-week timebox: (1) Does Mastra provide meaningful workflow orchestration improvements over Vercel AI SDK with custom tooling and maxSteps? (2) Does Mastra memory significantly improve over the existing Supabase-based memory store? (3) Does Mastra RAG provide value for the MOXI context engine? If the POC fails on any question, Mastra is REJECTED and Vercel AI SDK remains the primary AI orchestration layer. The POC is a bounded, isolated experiment with no impact on production code. The fallback path is: multi-step reasoning via Vercel AI SDK maxSteps + tools, memory via enhanced Supabase store, and RAG via custom embedding + vector search.</w:t>
      </w:r>
    </w:p>
    <w:p>
      <w:pPr>
        <w:pStyle w:val="Heading1"/>
        <w:spacing w:after="200" w:before="600"/>
      </w:pPr>
      <w:bookmarkStart w:id="100064" w:name="_Toc100064"/>
      <w:r>
        <w:rPr>
          <w:rFonts w:ascii="Calibri" w:eastAsia="SimHei"/>
          <w:b/>
          <w:bCs/>
          <w:color w:val="0F2027"/>
          <w:sz w:val="32"/>
          <w:szCs w:val="32"/>
        </w:rPr>
        <w:t xml:space="preserve">15. Event Architecture</w:t>
      </w:r>
      <w:bookmarkEnd w:id="100064"/>
    </w:p>
    <w:p>
      <w:pPr>
        <w:spacing w:after="80" w:line="312"/>
        <w:jc w:val="both"/>
      </w:pPr>
      <w:r>
        <w:rPr>
          <w:rFonts w:ascii="Times New Roman" w:eastAsia="Microsoft YaHei"/>
          <w:color w:val="1A1A1A"/>
          <w:sz w:val="22"/>
          <w:szCs w:val="22"/>
        </w:rPr>
        <w:t xml:space="preserve">The event architecture addresses the finding that the domain event bus is DEAD in production: 20 event types are defined, 6 are emitted, but ZERO handlers are registered (F4). This section separates two concerns that are currently conflated: (a) Domain Events, which represent "something important happened" and require immediate handling (notifications, state updates, MOXI context), and (b) Durable Jobs, which represent "do this work reliably, potentially much later" and require persistence and retry. The current EventEmitter3-based implementation is suitable for in-process Domain Events but not for Durable Jobs. The architecture must not replace the event bus automatically; instead, it must determine which events need which pattern.</w:t>
      </w:r>
    </w:p>
    <w:p>
      <w:pPr>
        <w:pStyle w:val="Heading2"/>
        <w:spacing w:after="160" w:before="400"/>
      </w:pPr>
      <w:bookmarkStart w:id="100065" w:name="_Toc100065"/>
      <w:r>
        <w:rPr>
          <w:rFonts w:ascii="Calibri" w:eastAsia="SimHei"/>
          <w:b/>
          <w:bCs/>
          <w:color w:val="0F2027"/>
          <w:sz w:val="28"/>
          <w:szCs w:val="28"/>
        </w:rPr>
        <w:t xml:space="preserve">15.1 Domain Event Bus (In-Process)</w:t>
      </w:r>
      <w:bookmarkEnd w:id="100065"/>
    </w:p>
    <w:p>
      <w:pPr>
        <w:spacing w:after="80" w:line="312"/>
        <w:jc w:val="both"/>
      </w:pPr>
      <w:r>
        <w:rPr>
          <w:rFonts w:ascii="Times New Roman" w:eastAsia="Microsoft YaHei"/>
          <w:color w:val="1A1A1A"/>
          <w:sz w:val="22"/>
          <w:szCs w:val="22"/>
        </w:rPr>
        <w:t xml:space="preserve">The existing EventEmitter3-based VixorEvents singleton is retained for in-process domain events. These events are synchronous within a single serverless function invocation and do not require persistence. The event bus is enhanced with three changes: (1) handler registration is made explicit and mandatory during server function bootstrap (the configureEventHandlers function that is currently missing), (2) events are persisted to the domain_events table for audit and replay via configureEventPersistence (this function exists but is never called per the baseline), and (3) the 6 currently-emitted events are connected to actual handlers. The following events require immediate handlers: signal.state_changed (triggers notification), signal.created (triggers MOXI context update), alert.triggered (triggers notification), trade.closed (triggers journal prompt, MOXI learning), analysis.completed (triggers MOXI context update), and dailyloop.session_started (triggers morning prep data fetch).</w:t>
      </w:r>
    </w:p>
    <w:p>
      <w:pPr>
        <w:pStyle w:val="Heading2"/>
        <w:spacing w:after="160" w:before="400"/>
      </w:pPr>
      <w:bookmarkStart w:id="100066" w:name="_Toc100066"/>
      <w:r>
        <w:rPr>
          <w:rFonts w:ascii="Calibri" w:eastAsia="SimHei"/>
          <w:b/>
          <w:bCs/>
          <w:color w:val="0F2027"/>
          <w:sz w:val="28"/>
          <w:szCs w:val="28"/>
        </w:rPr>
        <w:t xml:space="preserve">15.2 Durable Jobs (Deferred)</w:t>
      </w:r>
      <w:bookmarkEnd w:id="100066"/>
    </w:p>
    <w:p>
      <w:pPr>
        <w:spacing w:after="80" w:line="312"/>
        <w:jc w:val="both"/>
      </w:pPr>
      <w:r>
        <w:rPr>
          <w:rFonts w:ascii="Times New Roman" w:eastAsia="Microsoft YaHei"/>
          <w:color w:val="1A1A1A"/>
          <w:sz w:val="22"/>
          <w:szCs w:val="22"/>
        </w:rPr>
        <w:t xml:space="preserve">Durable jobs are work items that must survive serverless function termination and be retried on failure. Current candidates for durable jobs are: (a) signal re-analysis (currently a cron job at /api/reanalysis-cron), (b) price alert monitoring (currently a cron job at /api/check-alerts), and (c) discovery pipeline execution (currently triggered by API call). The current implementation uses Vercel Cron, which is sufficient for the current scale. Trigger.dev (classified as E: OPTIONAL) is a potential enhancement for more complex job orchestration (chains, retries, dead letter queues), but it carries an AGPL-3.0 license that requires legal review. NATS (classified as F: REJECT) is rejected as massive overkill. The decision is: keep Vercel Cron for Phase 2-8, evaluate Trigger.dev as a hosted SaaS in Phase 7 if job complexity grows, and introduce a simple Supabase-based job queue (table + poll) as the minimum viable durable job system in Phase 7.</w:t>
      </w:r>
    </w:p>
    <w:p>
      <w:pPr>
        <w:pStyle w:val="Heading1"/>
        <w:spacing w:after="200" w:before="600"/>
      </w:pPr>
      <w:bookmarkStart w:id="100067" w:name="_Toc100067"/>
      <w:r>
        <w:rPr>
          <w:rFonts w:ascii="Calibri" w:eastAsia="SimHei"/>
          <w:b/>
          <w:bCs/>
          <w:color w:val="0F2027"/>
          <w:sz w:val="32"/>
          <w:szCs w:val="32"/>
        </w:rPr>
        <w:t xml:space="preserve">16. Background Jobs Architecture</w:t>
      </w:r>
      <w:bookmarkEnd w:id="100067"/>
    </w:p>
    <w:p>
      <w:pPr>
        <w:spacing w:after="80" w:line="312"/>
        <w:jc w:val="both"/>
      </w:pPr>
      <w:r>
        <w:rPr>
          <w:rFonts w:ascii="Times New Roman" w:eastAsia="Microsoft YaHei"/>
          <w:color w:val="1A1A1A"/>
          <w:sz w:val="22"/>
          <w:szCs w:val="22"/>
        </w:rPr>
        <w:t xml:space="preserve">Background jobs in VIXOR currently run via Vercel Cron (3 cron endpoints) and fire-and-forget patterns in server functions. This section defines the target architecture for background jobs, separating them into three categories: scheduled jobs (cron-triggered), event-driven jobs (triggered by domain events), and on-demand jobs (triggered by user actions or API calls). Each category has different reliability, retry, and monitoring requirements.</w:t>
      </w:r>
    </w:p>
    <w:p>
      <w:pPr>
        <w:pStyle w:val="Heading2"/>
        <w:spacing w:after="160" w:before="400"/>
      </w:pPr>
      <w:bookmarkStart w:id="100068" w:name="_Toc100068"/>
      <w:r>
        <w:rPr>
          <w:rFonts w:ascii="Calibri" w:eastAsia="SimHei"/>
          <w:b/>
          <w:bCs/>
          <w:color w:val="0F2027"/>
          <w:sz w:val="28"/>
          <w:szCs w:val="28"/>
        </w:rPr>
        <w:t xml:space="preserve">16.1 Scheduled Jobs (Cron)</w:t>
      </w:r>
      <w:bookmarkEnd w:id="100068"/>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tblGrid>
      <w:tr>
        <w:trPr>
          <w:tblHeader/>
        </w:trPr>
        <w:tc>
          <w:tcPr>
            <w:tcW w:type="pct" w:w="2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Job</w:t>
            </w:r>
          </w:p>
        </w:tc>
        <w:tc>
          <w:tcPr>
            <w:tcW w:type="pct" w:w="16%"/>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Schedule</w:t>
            </w:r>
          </w:p>
        </w:tc>
        <w:tc>
          <w:tcPr>
            <w:tcW w:type="pct" w:w="2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Endpoint</w:t>
            </w:r>
          </w:p>
        </w:tc>
        <w:tc>
          <w:tcPr>
            <w:tcW w:type="pct" w:w="1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Status</w:t>
            </w:r>
          </w:p>
        </w:tc>
        <w:tc>
          <w:tcPr>
            <w:tcW w:type="pct" w:w="3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V2 Target</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Signal Generation</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00:00 UTC</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/api/generate-signals</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3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Keep; enhance with normalized data</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Alert Checking</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00:30 UTC</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/api/check-alerts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3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Migrate to event-driven (price observation triggers check)</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Signal Re-analysis</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Configurable</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/api/reanalysis-cron</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3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Keep; connect to server-authoritative Transition Engine</w:t>
            </w:r>
          </w:p>
        </w:tc>
      </w:tr>
    </w:tbl>
    <w:p>
      <w:pPr>
        <w:pStyle w:val="Heading2"/>
        <w:spacing w:after="160" w:before="400"/>
      </w:pPr>
      <w:bookmarkStart w:id="100069" w:name="_Toc100069"/>
      <w:r>
        <w:rPr>
          <w:rFonts w:ascii="Calibri" w:eastAsia="SimHei"/>
          <w:b/>
          <w:bCs/>
          <w:color w:val="0F2027"/>
          <w:sz w:val="28"/>
          <w:szCs w:val="28"/>
        </w:rPr>
        <w:t xml:space="preserve">16.2 Event-Driven Jobs (NEW in Phase 7)</w:t>
      </w:r>
      <w:bookmarkEnd w:id="100069"/>
    </w:p>
    <w:p>
      <w:pPr>
        <w:spacing w:after="80" w:line="312"/>
        <w:jc w:val="both"/>
      </w:pPr>
      <w:r>
        <w:rPr>
          <w:rFonts w:ascii="Times New Roman" w:eastAsia="Microsoft YaHei"/>
          <w:color w:val="1A1A1A"/>
          <w:sz w:val="22"/>
          <w:szCs w:val="22"/>
        </w:rPr>
        <w:t xml:space="preserve">Event-driven jobs are triggered by domain events and processed asynchronously. The implementation in Phase 7 introduces a simple Supabase-based job queue: a background_jobs table (id, type, payload JSONB, status pending/running/completed/failed, attempts, max_attempts, created_at, started_at, completed_at, error text), a poll function that runs in each serverless invocation (check for pending jobs, process them, update status), and exponential backoff retry (1s, 5s, 30s, 5min, 30min). This is sufficient for VIXOR scale. The first event-driven jobs will be: (a) notification delivery (currently synchronous, should be async to avoid blocking the update path), (b) MOXI context pre-computation (when a signal is created, pre-compute MOXI context for the asset), and (c) signal performance analytics (when a signal resolves, compute performance metrics asynchronously).</w:t>
      </w:r>
    </w:p>
    <w:p>
      <w:pPr>
        <w:pStyle w:val="Heading1"/>
        <w:spacing w:after="200" w:before="600"/>
      </w:pPr>
      <w:bookmarkStart w:id="100070" w:name="_Toc100070"/>
      <w:r>
        <w:rPr>
          <w:rFonts w:ascii="Calibri" w:eastAsia="SimHei"/>
          <w:b/>
          <w:bCs/>
          <w:color w:val="0F2027"/>
          <w:sz w:val="32"/>
          <w:szCs w:val="32"/>
        </w:rPr>
        <w:t xml:space="preserve">17. Route Consolidation</w:t>
      </w:r>
      <w:bookmarkEnd w:id="100070"/>
    </w:p>
    <w:p>
      <w:pPr>
        <w:spacing w:after="80" w:line="312"/>
        <w:jc w:val="both"/>
      </w:pPr>
      <w:r>
        <w:rPr>
          <w:rFonts w:ascii="Times New Roman" w:eastAsia="Microsoft YaHei"/>
          <w:color w:val="1A1A1A"/>
          <w:sz w:val="22"/>
          <w:szCs w:val="22"/>
        </w:rPr>
        <w:t xml:space="preserve">The current VIXOR application has 39 authenticated routes plus the auth route. The Phase 0 Reality Baseline classified 27 as REAL, 10 as PARTIAL (fetching real data but with misleading scope), and 2 as DEAD (orphaned with no navigation link). This section defines the consolidation from 39 routes to 12 core experiences, each mapped to a User Journey phase. Every route is accounted for: KEEP (same page, possibly enhanced), MERGE (absorbed into another page as a tab, panel, or section), REMOVE (deleted, functionality absorbed elsewhere), REBUILD (current page replaced with new implementation), REDIRECT (old URL redirects to new location), or SUBVIEW (becomes a sub-view within a parent page).</w:t>
      </w:r>
    </w:p>
    <w:p>
      <w:pPr>
        <w:pStyle w:val="Heading2"/>
        <w:spacing w:after="160" w:before="400"/>
      </w:pPr>
      <w:bookmarkStart w:id="100071" w:name="_Toc100071"/>
      <w:r>
        <w:rPr>
          <w:rFonts w:ascii="Calibri" w:eastAsia="SimHei"/>
          <w:b/>
          <w:bCs/>
          <w:color w:val="0F2027"/>
          <w:sz w:val="28"/>
          <w:szCs w:val="28"/>
        </w:rPr>
        <w:t xml:space="preserve">17.1 Consolidation Map</w:t>
      </w:r>
      <w:bookmarkEnd w:id="100071"/>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tblGrid>
      <w:tr>
        <w:trPr>
          <w:tblHeader/>
        </w:trPr>
        <w:tc>
          <w:tcPr>
            <w:tcW w:type="pct" w:w="2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Current Route</w:t>
            </w:r>
          </w:p>
        </w:tc>
        <w:tc>
          <w:tcPr>
            <w:tcW w:type="pct" w:w="1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Classification</w:t>
            </w:r>
          </w:p>
        </w:tc>
        <w:tc>
          <w:tcPr>
            <w:tcW w:type="pct" w:w="1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Decision</w:t>
            </w:r>
          </w:p>
        </w:tc>
        <w:tc>
          <w:tcPr>
            <w:tcW w:type="pct" w:w="1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Target Experience</w:t>
            </w:r>
          </w:p>
        </w:tc>
        <w:tc>
          <w:tcPr>
            <w:tcW w:type="pct" w:w="4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Migration Path</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REBUILD</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 Command Center</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 daily-loop, notifications, radar into unified dashboard</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/discover</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KEEP</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2. Discover</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Enhance with real whale data (Phase 5), merge whale + communities</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/token.$symbol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KEEP</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3. Asset Intelligence</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Dynamic route; enhance with structured MOXI analysis</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/analysis.$id</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KEEP</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3. Asset Intelligence</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 with token page as analysis sub-view</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/analyze</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KEEP</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4. Analyze</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Enhance with TA indicators adapter (Phase 3), merge charts + vision + curves</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/charts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4. Analyze</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 into Analyze as chart sub-view</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/vision</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4. Analyze</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 into Analyze as VLM sub-view</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/curves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PARTIAL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4. Analyze</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 as chart sub-view; rebuild with DeFiLlama data (Phase 3)</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/signals</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KEEP</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5. Setup &amp; Signals</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Enhance with server-authoritative transitions (Phase 4)</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/trackers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5. Setup &amp; Signals</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 into Signals as active tracking tab</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/alpha</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5. Setup &amp; Signals</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 into Signals as opportunity tab</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/trade-desk</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KEEP</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6. Trade Desk</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Enhance; merge swap + perpetuals + arbitrage</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/swap</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6. Trade Desk</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 as execution type (swap)</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/perpetuals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PARTIAL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6. Trade Desk</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 as execution type (futures); rebuild with real data (Phase 4)</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/arbitrage</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MOCK</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6. Trade Desk</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 as execution type (arbitrage); move from MOCK to REAL (Phase 4)</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/portfolio</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PARTIAL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KEEP</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7. Portfolio</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Rebuild with wallet balances + trade-derived data (Phase 8)</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/bags</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PARTIAL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7. Portfolio</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 into Portfolio as positions tab</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/pnl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7. Portfolio</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 into Portfolio as PnL tab</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/brokers</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PARTIAL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7. Portfolio</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 into Portfolio as settings sub-section</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/journal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KEEP</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8. Journal</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Enhance; merge predictions + experiments</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/predictions</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8. Journal</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 as predictions tab (forecast vs outcome review)</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/experiments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8. Journal</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 as experiments tab</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/backtest</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KEEP</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9. Backtest</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Enhance with backtest-kit POC results (Phase 3)</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/daily-loop</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 Command Center</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 into Command Center as routine panel</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/notifications</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 Command Center</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 into Command Center as notification panel</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/pulse</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 Command Center</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 into Command Center as live feed panel</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/radar</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 Command Center</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 into Command Center as radar panel</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/wallet-web3</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KEEP</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10. Wallet</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Enhance; merge activity-web3</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/activity-web3</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DEAD</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REMOVE</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10. Wallet</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Remove orphaned route; merge any unique functionality into Wallet</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/settings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KEEP</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11. Settings</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Keep; merge profile + premium + referral + rewards + admin</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/profile</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11. Settings</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 as profile section</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/premium</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PARTIAL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11. Settings</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 as premium section; add payment processor (Phase 9)</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/referral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11. Settings</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 as referral section</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/rewards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11. Settings</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 as rewards section</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/admin/api-keys</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11. Settings</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 as admin section</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/whale</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PARTIAL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2. Discover</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 into Discover as whale tab; rebuild with real data (Phase 5)</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/yield</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PARTIAL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2. Discover</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Merge into Discover as yield tab; rebuild with DeFiLlama (Phase 3)</w:t>
            </w:r>
          </w:p>
        </w:tc>
      </w:tr>
      <w:tr>
        <w:trPr>
          <w:cantSplit/>
        </w:trPr>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/communities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DEAD</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REMOVE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N/A</w:t>
            </w:r>
          </w:p>
        </w:tc>
        <w:tc>
          <w:tcPr>
            <w:tcW w:type="pct" w:w="4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Remove orphaned route; no social features exist to preserve</w:t>
            </w:r>
          </w:p>
        </w:tc>
      </w:tr>
      <w:tr>
        <w:trPr>
          <w:cantSplit/>
        </w:trPr>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MOXI (Copilot Drawer)</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KEEP</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12. MOXI</w:t>
            </w:r>
          </w:p>
        </w:tc>
        <w:tc>
          <w:tcPr>
            <w:tcW w:type="pct" w:w="4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Cross-cutting; available on every page as floating copilot + drawer</w:t>
            </w:r>
          </w:p>
        </w:tc>
      </w:tr>
    </w:tbl>
    <w:p>
      <w:pPr>
        <w:pStyle w:val="Heading2"/>
        <w:spacing w:after="160" w:before="400"/>
      </w:pPr>
      <w:bookmarkStart w:id="100072" w:name="_Toc100072"/>
      <w:r>
        <w:rPr>
          <w:rFonts w:ascii="Calibri" w:eastAsia="SimHei"/>
          <w:b/>
          <w:bCs/>
          <w:color w:val="0F2027"/>
          <w:sz w:val="28"/>
          <w:szCs w:val="28"/>
        </w:rPr>
        <w:t xml:space="preserve">17.2 Navigation Architecture</w:t>
      </w:r>
      <w:bookmarkEnd w:id="100072"/>
    </w:p>
    <w:p>
      <w:pPr>
        <w:spacing w:after="80" w:line="312"/>
        <w:jc w:val="both"/>
      </w:pPr>
      <w:r>
        <w:rPr>
          <w:rFonts w:ascii="Times New Roman" w:eastAsia="Microsoft YaHei"/>
          <w:color w:val="1A1A1A"/>
          <w:sz w:val="22"/>
          <w:szCs w:val="22"/>
        </w:rPr>
        <w:t xml:space="preserve">The 12 core experiences map to a simplified navigation structure. The primary navigation (DynamicDock on mobile, sidebar on desktop) contains 6 top-level items: Command Center, Discover, Analyze, Trade, Portfolio, and Journal. The secondary navigation (within each experience) provides tabs or panels for sub-views. MOXI is available as a floating copilot on every page (existing FloatingCopilot.tsx component). Settings is accessible from the profile icon. Backtest is accessible from the Analyze page (as a mode toggle) or from the Journal page (as a strategy validation tool). Wallet is accessible from Trade Desk (for execution) and from Settings (for connection management). This structure ensures the user never needs more than 2 taps to reach any feature.</w:t>
      </w:r>
    </w:p>
    <w:p>
      <w:pPr>
        <w:pStyle w:val="Heading1"/>
        <w:spacing w:after="200" w:before="600"/>
      </w:pPr>
      <w:bookmarkStart w:id="100073" w:name="_Toc100073"/>
      <w:r>
        <w:rPr>
          <w:rFonts w:ascii="Calibri" w:eastAsia="SimHei"/>
          <w:b/>
          <w:bCs/>
          <w:color w:val="0F2027"/>
          <w:sz w:val="32"/>
          <w:szCs w:val="32"/>
        </w:rPr>
        <w:t xml:space="preserve">18. UX / Product Flow</w:t>
      </w:r>
      <w:bookmarkEnd w:id="100073"/>
    </w:p>
    <w:p>
      <w:pPr>
        <w:spacing w:after="80" w:line="312"/>
        <w:jc w:val="both"/>
      </w:pPr>
      <w:r>
        <w:rPr>
          <w:rFonts w:ascii="Times New Roman" w:eastAsia="Microsoft YaHei"/>
          <w:color w:val="1A1A1A"/>
          <w:sz w:val="22"/>
          <w:szCs w:val="22"/>
        </w:rPr>
        <w:t xml:space="preserve">The UX and Product Flow defines the end-to-end user experience across the 12 core experiences. The key principle is that VIXOR should feel like an intelligent companion, not a collection of tools. Every core screen must answer five questions: WHAT MATTERS? (prioritized, contextual information), WHY? (MOXI reasoning and analysis), WHAT SHOULD I DO? (actionable recommendation with specific parameters), WHAT IS THE RISK? (risk assessment with portfolio context), and WHAT HAPPENS NEXT? (clear next step in the product loop). No page exists merely because a domain folder exists.</w:t>
      </w:r>
    </w:p>
    <w:p>
      <w:pPr>
        <w:pStyle w:val="Heading2"/>
        <w:spacing w:after="160" w:before="400"/>
      </w:pPr>
      <w:bookmarkStart w:id="100074" w:name="_Toc100074"/>
      <w:r>
        <w:rPr>
          <w:rFonts w:ascii="Calibri" w:eastAsia="SimHei"/>
          <w:b/>
          <w:bCs/>
          <w:color w:val="0F2027"/>
          <w:sz w:val="28"/>
          <w:szCs w:val="28"/>
        </w:rPr>
        <w:t xml:space="preserve">18.1 Product Loop Implementation</w:t>
      </w:r>
      <w:bookmarkEnd w:id="100074"/>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tblGrid>
      <w:tr>
        <w:trPr>
          <w:tblHeader/>
        </w:trPr>
        <w:tc>
          <w:tcPr>
            <w:tcW w:type="pct" w:w="1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Phase</w:t>
            </w:r>
          </w:p>
        </w:tc>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Experience</w:t>
            </w:r>
          </w:p>
        </w:tc>
        <w:tc>
          <w:tcPr>
            <w:tcW w:type="pct" w:w="2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Primary Action</w:t>
            </w:r>
          </w:p>
        </w:tc>
        <w:tc>
          <w:tcPr>
            <w:tcW w:type="pct" w:w="2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MOXI Role</w:t>
            </w:r>
          </w:p>
        </w:tc>
        <w:tc>
          <w:tcPr>
            <w:tcW w:type="pct" w:w="2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Key Components</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DISCOVER</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Command Center + Discover</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Scan markets, find opportunities</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Hunter: surface ranked opportunities</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UnifiedFeed, DiscoveryCards, MiniSparkline</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UNDERSTAND</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Asset Intelligence</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Learn about asset, read analysis</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Analyst: provide context and history</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TokenPage, AnalysisView, SocialSentiment</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ANALYZE</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Analyze</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Deep technical analysis</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Analyst: SMC/ICT analysis, chart vision</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CandlestickChart, Indicators, ChartVision</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DECIDE</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Setup &amp; Signals</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Create signal with parameters</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Governor: risk check, debate summary</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SignalForm, RiskPanel, DebateView</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SETUP</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Setup &amp; Signals</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Configure Entry/SL/TP/R:R</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Coach: explain parameters</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SetupWizard, RRCalculator, InvalidationRules</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TRACK</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Trade Desk + Portfolio</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Monitor positions, manage alerts</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Coach: real-time coaching</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SignalMonitor, PnLTracker, AlertManager</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REVIEW</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Journal + Backtest</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Analyze outcomes, extract lessons</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Coach: post-trade analysis</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JournalEntry, PerformanceMetrics, BacktestResults</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LEARN</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Journal (system-assisted)</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Improve based on outcomes</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System: update MOXI memory, signal sensitivity</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LearningFeed, StrategyTuner, PerformanceTrends</w:t>
            </w:r>
          </w:p>
        </w:tc>
      </w:tr>
    </w:tbl>
    <w:p>
      <w:pPr>
        <w:pStyle w:val="Heading2"/>
        <w:spacing w:after="160" w:before="400"/>
      </w:pPr>
      <w:bookmarkStart w:id="100075" w:name="_Toc100075"/>
      <w:r>
        <w:rPr>
          <w:rFonts w:ascii="Calibri" w:eastAsia="SimHei"/>
          <w:b/>
          <w:bCs/>
          <w:color w:val="0F2027"/>
          <w:sz w:val="28"/>
          <w:szCs w:val="28"/>
        </w:rPr>
        <w:t xml:space="preserve">18.2 MOXI Interaction Patterns</w:t>
      </w:r>
      <w:bookmarkEnd w:id="100075"/>
    </w:p>
    <w:p>
      <w:pPr>
        <w:spacing w:after="80" w:line="312"/>
        <w:jc w:val="both"/>
      </w:pPr>
      <w:r>
        <w:rPr>
          <w:rFonts w:ascii="Times New Roman" w:eastAsia="Microsoft YaHei"/>
          <w:color w:val="1A1A1A"/>
          <w:sz w:val="22"/>
          <w:szCs w:val="22"/>
        </w:rPr>
        <w:t xml:space="preserve">MOXI interacts with the user through four patterns preserved from the current implementation: (1) Copilot Drawer (CopilotDrawer.tsx) for detailed multi-turn conversation with structured analysis reports; (2) Floating Copilot (FloatingCopilot.tsx) for persistent, collapsible quick insights without leaving the current page; (3) Coach Overlay (CoachOverlay.tsx) for educational context during and after trades; and (4) MoxiAvatar (MoxiAvatar.tsx + MoxiCharacter3D.tsx) for visual identity and personality. These four patterns are not rebuilt; they are enhanced with the V2 context architecture (Section 14.2) and the Opportunity Ranking Engine (Section 12.2). The agent panel duplication (F8: 4 panels with 80% duplicated code) is resolved in Phase 9 by extracting the shared layout into the existing AgentResponseLayout component.</w:t>
      </w:r>
    </w:p>
    <w:p>
      <w:pPr>
        <w:pStyle w:val="Heading1"/>
        <w:spacing w:after="200" w:before="600"/>
      </w:pPr>
      <w:bookmarkStart w:id="100076" w:name="_Toc100076"/>
      <w:r>
        <w:rPr>
          <w:rFonts w:ascii="Calibri" w:eastAsia="SimHei"/>
          <w:b/>
          <w:bCs/>
          <w:color w:val="0F2027"/>
          <w:sz w:val="32"/>
          <w:szCs w:val="32"/>
        </w:rPr>
        <w:t xml:space="preserve">19. Current to V2 Migration Map</w:t>
      </w:r>
      <w:bookmarkEnd w:id="100076"/>
    </w:p>
    <w:p>
      <w:pPr>
        <w:spacing w:after="80" w:line="312"/>
        <w:jc w:val="both"/>
      </w:pPr>
      <w:r>
        <w:rPr>
          <w:rFonts w:ascii="Times New Roman" w:eastAsia="Microsoft YaHei"/>
          <w:color w:val="1A1A1A"/>
          <w:sz w:val="22"/>
          <w:szCs w:val="22"/>
        </w:rPr>
        <w:t xml:space="preserve">This section defines the migration path from the current codebase state to the V2 architecture target. The migration is incremental: each phase delivers independent value and no phase blocks the next. The migration preserves all PROVEN capabilities, fixes all BROKEN and DEAD items, and builds the three missing pipelines (normalization, intelligence, feedback). Items marked PRESERVED are kept as-is. Items marked FIX are repaired to their intended behavior. Items marked REFACTOR are restructured without changing behavior. Items marked REBUILD are replaced with new implementations. Items marked REMOVE are deleted.</w:t>
      </w:r>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tblGrid>
      <w:tr>
        <w:trPr>
          <w:tblHeader/>
        </w:trPr>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Component</w:t>
            </w:r>
          </w:p>
        </w:tc>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Current State</w:t>
            </w:r>
          </w:p>
        </w:tc>
        <w:tc>
          <w:tcPr>
            <w:tcW w:type="pct" w:w="2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V2 Action</w:t>
            </w:r>
          </w:p>
        </w:tc>
        <w:tc>
          <w:tcPr>
            <w:tcW w:type="pct" w:w="1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Phase</w:t>
            </w:r>
          </w:p>
        </w:tc>
        <w:tc>
          <w:tcPr>
            <w:tcW w:type="pct" w:w="3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Key Files</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Signal Transition Engine</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 (not invoked server-side)</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PRESERVE + FIX invocation</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4</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signal-tracking/transition-engine.ts</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SMC/ICT Analysis Engine</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PRESERVE + refactor out provider logic</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3</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analysis/engine/engine.ts</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MOXI Agents (4)</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PRESERVE + enhance context</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6</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moxi/server/*.agent.ts</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LLM Router</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PRESERVE + per-agent preferences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6</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shared/llm/router.ts</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Notification System</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PRESERVE + async delivery</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7</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shared/notifications/</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Discovery Scoring</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PRESERVE + enhance with real data</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5</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discovery/scoring.ts</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Backtest Simulator</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PRESERVE + evaluate backtest-kit POC</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3</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backtest/engine/simulator.ts</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Wallet SIWE</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PRESERVE</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8</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wallet/functions.ts</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Trading Gateway</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PRESERVE</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4</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trading/gateway/adapters/</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createTrade Function</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BROKEN</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FIX: persist all validated fields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2</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trades/functions.ts</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Event Bus</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DEAD</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REBUILD: register handlers</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7</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shared/events/</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Provider Clients (4 DEAD)</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DEAD</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REMOVE</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2</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shared/market-data/{dexscreener,helius-rpc,alchemy-rpc,price-resolver}.ts</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debate/index.ts</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DEAD</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REMOVE</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domains/debate/index.ts</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Orphaned Routes (2)</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DEAD</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REMOVE</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9</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routes/_authenticated/{activity-web3,communities}.tsx</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Orphaned Storybook (8)</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DEAD</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REMOVE</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components/vixor/*.stories.tsx</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Duplicate Webhooks</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DUPLICATE</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FIX: unify telegram-webhook + stars-webhook</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2</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server/api/telegram-webhook.ts, stars-webhook.ts</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Duplicate Agent Panels</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DUPLICATE</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REFACTOR: extract AgentResponseLayout</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9</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components/vixor/Coach*,Hunter*,Governor*,Analyst*</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Duplicate Charts</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DUPLICATE</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REFACTOR: extract useLightweightChart hook</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2</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CandlestickChart.tsx, DexChart.tsx</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Supabase Types</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PARTIAL (18 tables missing)</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FIX: regenerate types</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shared/supabase/types.ts</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Unused Dependencies (10)</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DEAD WEIGHT</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REMOVE</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2</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package.json</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Lock Files (3)</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CLUTTER</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FIX: keep pnpm only</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package-lock.json, bunfig.toml</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Data Normalization</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MISSING</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BUILD</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2</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NEW: shared/normalization/</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Opportunity Ranking</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MISSING</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BUILD</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5</w:t>
            </w:r>
          </w:p>
        </w:tc>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NEW: domains/intelligence/ranking/</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Feedback Pipeline</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MISSING</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BUILD</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6</w:t>
            </w:r>
          </w:p>
        </w:tc>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NEW: shared/feedback/</w:t>
            </w:r>
          </w:p>
        </w:tc>
      </w:tr>
    </w:tbl>
    <w:p>
      <w:pPr>
        <w:pStyle w:val="Heading1"/>
        <w:spacing w:after="200" w:before="600"/>
      </w:pPr>
      <w:bookmarkStart w:id="100077" w:name="_Toc100077"/>
      <w:r>
        <w:rPr>
          <w:rFonts w:ascii="Calibri" w:eastAsia="SimHei"/>
          <w:b/>
          <w:bCs/>
          <w:color w:val="0F2027"/>
          <w:sz w:val="32"/>
          <w:szCs w:val="32"/>
        </w:rPr>
        <w:t xml:space="preserve">20. Tasks 2-7 Replanning</w:t>
      </w:r>
      <w:bookmarkEnd w:id="100077"/>
    </w:p>
    <w:p>
      <w:pPr>
        <w:spacing w:after="80" w:line="312"/>
        <w:jc w:val="both"/>
      </w:pPr>
      <w:r>
        <w:rPr>
          <w:rFonts w:ascii="Times New Roman" w:eastAsia="Microsoft YaHei"/>
          <w:color w:val="1A1A1A"/>
          <w:sz w:val="22"/>
          <w:szCs w:val="22"/>
        </w:rPr>
        <w:t xml:space="preserve">The old Tasks 2 through 7 (from the VIXOR_Master_Roadmap_Tasks_v2 document and the Product Intelligence Architecture V2) are formally REPLANNED. They are not executed in their old form. The old tasks were designed before the Phase 0 Reality Baseline exposed critical infrastructure gaps (F1-F18) and before the server authority requirement was fully understood. The new task structure incorporates the old task intent while respecting the dependency order required by the V2 architecture. Task 1 (Signal Contract Audit) and Task 1.2C (Transition Engine unification) are PRESERVED and LOCKED at commit 4ffad75.</w:t>
      </w:r>
    </w:p>
    <w:p>
      <w:pPr>
        <w:pStyle w:val="Heading2"/>
        <w:spacing w:after="160" w:before="400"/>
      </w:pPr>
      <w:bookmarkStart w:id="100078" w:name="_Toc100078"/>
      <w:r>
        <w:rPr>
          <w:rFonts w:ascii="Calibri" w:eastAsia="SimHei"/>
          <w:b/>
          <w:bCs/>
          <w:color w:val="0F2027"/>
          <w:sz w:val="28"/>
          <w:szCs w:val="28"/>
        </w:rPr>
        <w:t xml:space="preserve">20.1 Old Task Mapping</w:t>
      </w:r>
      <w:bookmarkEnd w:id="100078"/>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tblGrid>
      <w:tr>
        <w:trPr>
          <w:tblHeader/>
        </w:trPr>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Old Task</w:t>
            </w:r>
          </w:p>
        </w:tc>
        <w:tc>
          <w:tcPr>
            <w:tcW w:type="pct" w:w="2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Old Intent</w:t>
            </w:r>
          </w:p>
        </w:tc>
        <w:tc>
          <w:tcPr>
            <w:tcW w:type="pct" w:w="2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Why Old Order Invalid</w:t>
            </w:r>
          </w:p>
        </w:tc>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New Task ID(s)</w:t>
            </w:r>
          </w:p>
        </w:tc>
        <w:tc>
          <w:tcPr>
            <w:tcW w:type="pct" w:w="1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New Phase</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Task 2.1: Server Authority Timestamps</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Migrate timestamps to serverReceivedAt</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Depends on createTrade fix (F1) and types fix (F3) which were unknown</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V2-4-01</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4</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Task 2.2: VIXOR Unified Price Model</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Define canonical AssetPrice type</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Still valid but must follow data types fix (F3) and dead code removal (F5)</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V2-2-02</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2</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Task 2.3: Data Normalization Service</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Build provider adapters</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Depends on Price Model and cleanup of 4 DEAD client files (F5)</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V2-2-03</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Task 2.4: Analysis Engine Refactor</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Remove provider-specific logic</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Depends on normalization service</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V2-3-01</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3</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Task 2.5: Opportunity Ranking Engine v1</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Extract ranking from hunter.agent</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Depends on normalization and analysis refactor</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V2-5-01</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5</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Task 3.1: Mem0 POC</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Evaluate Mem0 for MOXI memory</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Still valid; lower priority than infrastructure fixes</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V2-6-02</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6</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Task 3.2: Mem0 Integration</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Integrate if POC passes</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Conditional on POC</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V2-6-03</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6</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Task 3.3: technicalindicators Adapter</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Wrap 50+ indicators</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Valid; depends on normalization</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V2-3-02</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3</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Task 3.4: Birdeye Adapter Enhancement</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Solana token intelligence</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Valid; depends on normalization</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V2-5-02</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5</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Task 3.5: LunarCrush Adapter</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Social sentiment</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Valid; depends on normalization</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V2-5-03</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5</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Task 3.6: DeFiLlama Adapter</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DeFi protocol data</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Valid; depends on normalization</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V2-3-03</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3</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Task 3.7: backtest-kit POC</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Evaluate TS backtesting</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Valid; depends on normalization</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V2-3-04</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3</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Task 4.1: Navigation Restructure</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6-item primary nav</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Depends on route consolidation decision</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V2-9-01</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9</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Task 4.2-4.11: Page Consolidations</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Merge 41 routes to 12</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Depends on navigation + data + signal fixes</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V2-9-02 through V2-9-10</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9</w:t>
            </w:r>
          </w:p>
        </w:tc>
      </w:tr>
    </w:tbl>
    <w:p>
      <w:pPr>
        <w:pStyle w:val="Heading2"/>
        <w:spacing w:after="160" w:before="400"/>
      </w:pPr>
      <w:bookmarkStart w:id="100079" w:name="_Toc100079"/>
      <w:r>
        <w:rPr>
          <w:rFonts w:ascii="Calibri" w:eastAsia="SimHei"/>
          <w:b/>
          <w:bCs/>
          <w:color w:val="0F2027"/>
          <w:sz w:val="28"/>
          <w:szCs w:val="28"/>
        </w:rPr>
        <w:t xml:space="preserve">20.2 Preserved Work</w:t>
      </w:r>
      <w:bookmarkEnd w:id="100079"/>
    </w:p>
    <w:p>
      <w:pPr>
        <w:spacing w:after="80" w:line="312"/>
        <w:jc w:val="both"/>
      </w:pPr>
      <w:r>
        <w:rPr>
          <w:rFonts w:ascii="Times New Roman" w:eastAsia="Microsoft YaHei"/>
          <w:color w:val="1A1A1A"/>
          <w:sz w:val="22"/>
          <w:szCs w:val="22"/>
        </w:rPr>
        <w:t xml:space="preserve">The following completed work is preserved and incorporated into the V2 architecture without modification: (1) Task 1: Signal Contract Audit (locked at commit 4ffad75, preserved in 32bbf14) including the 9-value signal_status enum, TERMINAL/INTERMEDIATE/MONITORED status arrays, the PRICE_TRANSITION_MATRIX, and all 75 unit tests. (2) Task 1.2C: Signal Transition Engine unification including the pure-function evaluateSignalTransition, the notification gate (gated to terminal states only), the resolved_at field (gated to terminal states), and the P1-6 TODO markers for server timestamps. (3) All 307 existing tests across 18 test files. (4) All REAL domain engines (23 domains, 18 REAL). (5) All REAL market data connections (12 providers). (6) All REAL UI components (48 vixor + 41 shadcn).</w:t>
      </w:r>
    </w:p>
    <w:p>
      <w:pPr>
        <w:pStyle w:val="Heading1"/>
        <w:spacing w:after="200" w:before="600"/>
      </w:pPr>
      <w:bookmarkStart w:id="100080" w:name="_Toc100080"/>
      <w:r>
        <w:rPr>
          <w:rFonts w:ascii="Calibri" w:eastAsia="SimHei"/>
          <w:b/>
          <w:bCs/>
          <w:color w:val="0F2027"/>
          <w:sz w:val="32"/>
          <w:szCs w:val="32"/>
        </w:rPr>
        <w:t xml:space="preserve">21. Complete V2 Phase Map</w:t>
      </w:r>
      <w:bookmarkEnd w:id="100080"/>
    </w:p>
    <w:p>
      <w:pPr>
        <w:spacing w:after="80" w:line="312"/>
        <w:jc w:val="both"/>
      </w:pPr>
      <w:r>
        <w:rPr>
          <w:rFonts w:ascii="Times New Roman" w:eastAsia="Microsoft YaHei"/>
          <w:color w:val="1A1A1A"/>
          <w:sz w:val="22"/>
          <w:szCs w:val="22"/>
        </w:rPr>
        <w:t xml:space="preserve">This section defines the complete V2 execution structure with 15 phases (0-14, with Phase 0 complete and Phase 1 current). Each phase has defined inputs, outputs, dependencies, tasks, affected files/domains, risks, tests, and exit criteria. A phase is not complete because code exists; a capability is PROVEN only when implementation exists, is wired, is runtime-used, is tested, has production path verified, has no core mock dependency, has no critical regression, and has been verified in the target deployment environment.</w:t>
      </w:r>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gridCol w:w="100"/>
      </w:tblGrid>
      <w:tr>
        <w:trPr>
          <w:tblHeader/>
        </w:trPr>
        <w:tc>
          <w:tcPr>
            <w:tcW w:type="pct" w:w="6%"/>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Phase</w:t>
            </w:r>
          </w:p>
        </w:tc>
        <w:tc>
          <w:tcPr>
            <w:tcW w:type="pct" w:w="16%"/>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Name</w:t>
            </w:r>
          </w:p>
        </w:tc>
        <w:tc>
          <w:tcPr>
            <w:tcW w:type="pct" w:w="1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Input</w:t>
            </w:r>
          </w:p>
        </w:tc>
        <w:tc>
          <w:tcPr>
            <w:tcW w:type="pct" w:w="1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Output</w:t>
            </w:r>
          </w:p>
        </w:tc>
        <w:tc>
          <w:tcPr>
            <w:tcW w:type="pct" w:w="1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Dependencies</w:t>
            </w:r>
          </w:p>
        </w:tc>
        <w:tc>
          <w:tcPr>
            <w:tcW w:type="pct" w:w="4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Key Tasks</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0</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Reality Audit</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Repository at 32bbf14</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VIXOR_REALITY_BASELINE.docx</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None</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Audit all domains, routes, providers, signals, MOXI</w:t>
            </w:r>
          </w:p>
        </w:tc>
      </w:tr>
      <w:tr>
        <w:trPr>
          <w:cantSplit/>
        </w:trPr>
        <w:tc>
          <w:tcPr>
            <w:tcW w:type="pct" w:w="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Architecture Freeze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Baseline + Master Contract</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This document</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0</w:t>
            </w:r>
          </w:p>
        </w:tc>
        <w:tc>
          <w:tcPr>
            <w:tcW w:type="pct" w:w="4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All architectural decisions, OSS matrix, task register</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2</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Data Foundation</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1 document</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Normalized data pipeline, fixed types, cleaned code</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1</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F1-F6, F9-F10, F12-F15, F17; data normalizer; Price Model</w:t>
            </w:r>
          </w:p>
        </w:tc>
      </w:tr>
      <w:tr>
        <w:trPr>
          <w:cantSplit/>
        </w:trPr>
        <w:tc>
          <w:tcPr>
            <w:tcW w:type="pct" w:w="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3</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Analytics &amp; Research</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2 data pipeline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Enhanced analysis with adapters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2</w:t>
            </w:r>
          </w:p>
        </w:tc>
        <w:tc>
          <w:tcPr>
            <w:tcW w:type="pct" w:w="4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TA indicators adapter, DeFiLlama, backtest-kit POC, analysis refactor</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4</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Signal Authority</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 + Phase 3</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Server-authoritative signal tracking</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 Phase 3</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V2-4-01: Server-side Transition Engine invocation; F7 fix</w:t>
            </w:r>
          </w:p>
        </w:tc>
      </w:tr>
      <w:tr>
        <w:trPr>
          <w:cantSplit/>
        </w:trPr>
        <w:tc>
          <w:tcPr>
            <w:tcW w:type="pct" w:w="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5</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Intelligence Engine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4 (server authority)</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Opportunity Ranking Engine, enhanced discovery</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4</w:t>
            </w:r>
          </w:p>
        </w:tc>
        <w:tc>
          <w:tcPr>
            <w:tcW w:type="pct" w:w="4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V2-5-01: Ranking Engine; Birdeye/LunarCrush adapters; whale real data</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6</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MOXI V2</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5 (ranking output)</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Enhanced MOXI with structured context + feedback</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5</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Context architecture, Mem0 POC, feedback pipeline, Mastra POC</w:t>
            </w:r>
          </w:p>
        </w:tc>
      </w:tr>
      <w:tr>
        <w:trPr>
          <w:cantSplit/>
        </w:trPr>
        <w:tc>
          <w:tcPr>
            <w:tcW w:type="pct" w:w="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7</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Events &amp; Jobs</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4 (signal events)</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Working event bus + durable job system</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4</w:t>
            </w:r>
          </w:p>
        </w:tc>
        <w:tc>
          <w:tcPr>
            <w:tcW w:type="pct" w:w="4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F4 fix: register handlers; async notifications; job queue</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8</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Frontend Data &amp; State</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2-7 backend</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Normalized client data layer</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7</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TanStack Query hooks for normalized data, Zustand stores, wallet UX</w:t>
            </w:r>
          </w:p>
        </w:tc>
      </w:tr>
      <w:tr>
        <w:trPr>
          <w:cantSplit/>
        </w:trPr>
        <w:tc>
          <w:tcPr>
            <w:tcW w:type="pct" w:w="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9</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Product/UX Consolidation</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8 (data layer)</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12 core experiences, consolidated routes</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8</w:t>
            </w:r>
          </w:p>
        </w:tc>
        <w:tc>
          <w:tcPr>
            <w:tcW w:type="pct" w:w="4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Route consolidation, navigation restructure, F8/F11/F16 fixes</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10</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UI Design System V2</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9 (routes)</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Polished visual design, responsive layout</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9</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Agent panel dedup (F8), i18n fix (F11), chart dedup (F9)</w:t>
            </w:r>
          </w:p>
        </w:tc>
      </w:tr>
      <w:tr>
        <w:trPr>
          <w:cantSplit/>
        </w:trPr>
        <w:tc>
          <w:tcPr>
            <w:tcW w:type="pct" w:w="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11</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Product Intelligence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10 (UI)</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Observability, analytics, monitoring</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10</w:t>
            </w:r>
          </w:p>
        </w:tc>
        <w:tc>
          <w:tcPr>
            <w:tcW w:type="pct" w:w="4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Activate analytics (F6), error tracking (F6), PostHog evaluation</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12</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Security/Reliability</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11</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Security audit, rate limiting, credential rotation</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11</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Security review, credential rotation, RLS audit, API key validation</w:t>
            </w:r>
          </w:p>
        </w:tc>
      </w:tr>
      <w:tr>
        <w:trPr>
          <w:cantSplit/>
        </w:trPr>
        <w:tc>
          <w:tcPr>
            <w:tcW w:type="pct" w:w="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13</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Integration/E2E</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12</w:t>
            </w:r>
          </w:p>
        </w:tc>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End-to-end product verification</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12</w:t>
            </w:r>
          </w:p>
        </w:tc>
        <w:tc>
          <w:tcPr>
            <w:tcW w:type="pct" w:w="4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E2E tests for critical journeys, integration tests, performance tests</w:t>
            </w:r>
          </w:p>
        </w:tc>
      </w:tr>
      <w:tr>
        <w:trPr>
          <w:cantSplit/>
        </w:trPr>
        <w:tc>
          <w:tcPr>
            <w:tcW w:type="pct" w:w="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14</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QA/Verification</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13</w:t>
            </w:r>
          </w:p>
        </w:tc>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Production-ready release</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13</w:t>
            </w:r>
          </w:p>
        </w:tc>
        <w:tc>
          <w:tcPr>
            <w:tcW w:type="pct" w:w="4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Full regression, performance benchmarks, accessibility audit</w:t>
            </w:r>
          </w:p>
        </w:tc>
      </w:tr>
    </w:tbl>
    <w:p>
      <w:pPr>
        <w:pStyle w:val="Heading1"/>
        <w:spacing w:after="200" w:before="600"/>
      </w:pPr>
      <w:bookmarkStart w:id="100081" w:name="_Toc100081"/>
      <w:r>
        <w:rPr>
          <w:rFonts w:ascii="Calibri" w:eastAsia="SimHei"/>
          <w:b/>
          <w:bCs/>
          <w:color w:val="0F2027"/>
          <w:sz w:val="32"/>
          <w:szCs w:val="32"/>
        </w:rPr>
        <w:t xml:space="preserve">22. Dependency Graph</w:t>
      </w:r>
      <w:bookmarkEnd w:id="100081"/>
    </w:p>
    <w:p>
      <w:pPr>
        <w:spacing w:after="80" w:line="312"/>
        <w:jc w:val="both"/>
      </w:pPr>
      <w:r>
        <w:rPr>
          <w:rFonts w:ascii="Times New Roman" w:eastAsia="Microsoft YaHei"/>
          <w:color w:val="1A1A1A"/>
          <w:sz w:val="22"/>
          <w:szCs w:val="22"/>
        </w:rPr>
        <w:t xml:space="preserve">The dependency graph defines the hard and soft dependencies between phases. Hard dependencies mean a phase cannot begin until its dependency phase is complete. Soft dependencies mean a phase can begin in parallel but will benefit from the dependency phase being complete. The critical path is Phase 0 to Phase 1 to Phase 2 to Phase 3 to Phase 4 to Phase 5 to Phase 6 to Phase 7 to Phase 8 to Phase 9 to Phase 10 to Phase 11 to Phase 12 to Phase 13 to Phase 14. However, several phases can be parallelized:</w:t>
      </w:r>
    </w:p>
    <w:p>
      <w:pPr>
        <w:pStyle w:val="Heading2"/>
        <w:spacing w:after="160" w:before="400"/>
      </w:pPr>
      <w:bookmarkStart w:id="100082" w:name="_Toc100082"/>
      <w:r>
        <w:rPr>
          <w:rFonts w:ascii="Calibri" w:eastAsia="SimHei"/>
          <w:b/>
          <w:bCs/>
          <w:color w:val="0F2027"/>
          <w:sz w:val="28"/>
          <w:szCs w:val="28"/>
        </w:rPr>
        <w:t xml:space="preserve">22.1 Parallelization Opportunities</w:t>
      </w:r>
      <w:bookmarkEnd w:id="100082"/>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tblGrid>
      <w:tr>
        <w:trPr>
          <w:tblHeader/>
        </w:trPr>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Phase</w:t>
            </w:r>
          </w:p>
        </w:tc>
        <w:tc>
          <w:tcPr>
            <w:tcW w:type="pct" w:w="26%"/>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Hard Dependencies</w:t>
            </w:r>
          </w:p>
        </w:tc>
        <w:tc>
          <w:tcPr>
            <w:tcW w:type="pct" w:w="26%"/>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Can Parallel With</w:t>
            </w:r>
          </w:p>
        </w:tc>
        <w:tc>
          <w:tcPr>
            <w:tcW w:type="pct" w:w="26%"/>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Critical Path?</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 Data Foundation</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1</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Nothing (foundation phase)</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YES</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3: Analytics</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2</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4 (signal authority)</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YES (data pipeline needed first)</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4: Signal Authority</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3</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YES (but can start data fixes in parallel with Phase 3)</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5: Intelligence</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4</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6 (MOXI), Phase 7 (Events)</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YES (needs server authority first)</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6: MOXI V2</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5</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7</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 (MOXI POCs can start in parallel with Phase 5)</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7: Events &amp; Jobs</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4 (signal events)</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6, Phase 8</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 (job queue can be built independently)</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8: Frontend Data</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7 (event-driven data)</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9 (route consolidation planning)</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9: UX Consolidation</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8</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10</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YES (routes need data layer first)</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10: Design System</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9</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11</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 (can start design tokens independently)</w:t>
            </w:r>
          </w:p>
        </w:tc>
      </w:tr>
      <w:tr>
        <w:trPr>
          <w:cantSplit/>
        </w:trPr>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11: Product Intelligence</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10</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12</w:t>
            </w:r>
          </w:p>
        </w:tc>
        <w:tc>
          <w:tcPr>
            <w:tcW w:type="pct" w:w="2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w:t>
            </w:r>
          </w:p>
        </w:tc>
      </w:tr>
      <w:tr>
        <w:trPr>
          <w:cantSplit/>
        </w:trPr>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12: Integration</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11</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Nothing</w:t>
            </w:r>
          </w:p>
        </w:tc>
        <w:tc>
          <w:tcPr>
            <w:tcW w:type="pct" w:w="2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YES (final integration gate)</w:t>
            </w:r>
          </w:p>
        </w:tc>
      </w:tr>
    </w:tbl>
    <w:p>
      <w:pPr>
        <w:pStyle w:val="Heading1"/>
        <w:spacing w:after="200" w:before="600"/>
      </w:pPr>
      <w:bookmarkStart w:id="100083" w:name="_Toc100083"/>
      <w:r>
        <w:rPr>
          <w:rFonts w:ascii="Calibri" w:eastAsia="SimHei"/>
          <w:b/>
          <w:bCs/>
          <w:color w:val="0F2027"/>
          <w:sz w:val="32"/>
          <w:szCs w:val="32"/>
        </w:rPr>
        <w:t xml:space="preserve">23. Risk Register</w:t>
      </w:r>
      <w:bookmarkEnd w:id="100083"/>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tblGrid>
      <w:tr>
        <w:trPr>
          <w:tblHeader/>
        </w:trPr>
        <w:tc>
          <w:tcPr>
            <w:tcW w:type="pct" w:w="3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Risk</w:t>
            </w:r>
          </w:p>
        </w:tc>
        <w:tc>
          <w:tcPr>
            <w:tcW w:type="pct" w:w="1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Impact</w:t>
            </w:r>
          </w:p>
        </w:tc>
        <w:tc>
          <w:tcPr>
            <w:tcW w:type="pct" w:w="1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Likelihood</w:t>
            </w:r>
          </w:p>
        </w:tc>
        <w:tc>
          <w:tcPr>
            <w:tcW w:type="pct" w:w="3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Mitigation</w:t>
            </w:r>
          </w:p>
        </w:tc>
        <w:tc>
          <w:tcPr>
            <w:tcW w:type="pct" w:w="16%"/>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Owner</w:t>
            </w:r>
          </w:p>
        </w:tc>
      </w:tr>
      <w:tr>
        <w:trPr>
          <w:cantSplit/>
        </w:trPr>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Mem0 POC fails (latency, complexity)</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Medium</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Low</w:t>
            </w:r>
          </w:p>
        </w:tc>
        <w:tc>
          <w:tcPr>
            <w:tcW w:type="pct" w:w="3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Fallback: enhanced Supabase context table with manual loading; existing memory store is REAL</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6 lead</w:t>
            </w:r>
          </w:p>
        </w:tc>
      </w:tr>
      <w:tr>
        <w:trPr>
          <w:cantSplit/>
        </w:trPr>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backtest-kit POC fails (immature, limited)</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High</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Medium</w:t>
            </w:r>
          </w:p>
        </w:tc>
        <w:tc>
          <w:tcPr>
            <w:tcW w:type="pct" w:w="3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Fallback: keep existing backtest engine (REAL, 200 candles &lt;500ms KPI); add indicators incrementally</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3 lead</w:t>
            </w:r>
          </w:p>
        </w:tc>
      </w:tr>
      <w:tr>
        <w:trPr>
          <w:cantSplit/>
        </w:trPr>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Mastra POC fails (overlap with AI SDK)</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Low</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Low</w:t>
            </w:r>
          </w:p>
        </w:tc>
        <w:tc>
          <w:tcPr>
            <w:tcW w:type="pct" w:w="3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Fallback: custom multi-step in Vercel AI SDK (maxSteps + tools); current MOXI already works</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6 lead</w:t>
            </w:r>
          </w:p>
        </w:tc>
      </w:tr>
      <w:tr>
        <w:trPr>
          <w:cantSplit/>
        </w:trPr>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Page consolidation breaks existing UX</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High</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Medium</w:t>
            </w:r>
          </w:p>
        </w:tc>
        <w:tc>
          <w:tcPr>
            <w:tcW w:type="pct" w:w="3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Incremental migration: build new pages alongside old, switch when ready; A/B test if possible</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9 lead</w:t>
            </w:r>
          </w:p>
        </w:tc>
      </w:tr>
      <w:tr>
        <w:trPr>
          <w:cantSplit/>
        </w:trPr>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Data normalizer performance bottleneck</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Medium</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Low</w:t>
            </w:r>
          </w:p>
        </w:tc>
        <w:tc>
          <w:tcPr>
            <w:tcW w:type="pct" w:w="3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Redis caching at normalization layer; lazy normalization; batch processing for historical data</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 lead</w:t>
            </w:r>
          </w:p>
        </w:tc>
      </w:tr>
      <w:tr>
        <w:trPr>
          <w:cantSplit/>
        </w:trPr>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Server authority migration breaks signal tracking</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Critical</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Low</w:t>
            </w:r>
          </w:p>
        </w:tc>
        <w:tc>
          <w:tcPr>
            <w:tcW w:type="pct" w:w="3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Run all 75 Transition Engine tests in new server context; add integration tests for the authority protocol</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4 lead</w:t>
            </w:r>
          </w:p>
        </w:tc>
      </w:tr>
      <w:tr>
        <w:trPr>
          <w:cantSplit/>
        </w:trPr>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Provider API changes break normalizer adapters</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Medium</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Medium</w:t>
            </w:r>
          </w:p>
        </w:tc>
        <w:tc>
          <w:tcPr>
            <w:tcW w:type="pct" w:w="3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Adapter pattern isolates provider changes; add provider health monitoring and auto-fallback</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 lead</w:t>
            </w:r>
          </w:p>
        </w:tc>
      </w:tr>
      <w:tr>
        <w:trPr>
          <w:cantSplit/>
        </w:trPr>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tulip-node LGPL compliance issues</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Medium</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Low</w:t>
            </w:r>
          </w:p>
        </w:tc>
        <w:tc>
          <w:tcPr>
            <w:tcW w:type="pct" w:w="3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Use technicalindicators (MIT) as default; tulip-node only if POC proves significant value and legal approves</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3 lead</w:t>
            </w:r>
          </w:p>
        </w:tc>
      </w:tr>
      <w:tr>
        <w:trPr>
          <w:cantSplit/>
        </w:trPr>
        <w:tc>
          <w:tcPr>
            <w:tcW w:type="pct" w:w="3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Trigger.dev AGPL network copyleft</w:t>
            </w:r>
          </w:p>
        </w:tc>
        <w:tc>
          <w:tcPr>
            <w:tcW w:type="pct" w:w="1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Medium</w:t>
            </w:r>
          </w:p>
        </w:tc>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Low</w:t>
            </w:r>
          </w:p>
        </w:tc>
        <w:tc>
          <w:tcPr>
            <w:tcW w:type="pct" w:w="3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Use as hosted SaaS only (no self-hosting); or defer to Supabase-based job queue</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7 lead</w:t>
            </w:r>
          </w:p>
        </w:tc>
      </w:tr>
      <w:tr>
        <w:trPr>
          <w:cantSplit/>
        </w:trPr>
        <w:tc>
          <w:tcPr>
            <w:tcW w:type="pct" w:w="3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Existing 307 tests break during refactoring</w:t>
            </w:r>
          </w:p>
        </w:tc>
        <w:tc>
          <w:tcPr>
            <w:tcW w:type="pct" w:w="1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Medium</w:t>
            </w:r>
          </w:p>
        </w:tc>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Medium</w:t>
            </w:r>
          </w:p>
        </w:tc>
        <w:tc>
          <w:tcPr>
            <w:tcW w:type="pct" w:w="3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Run full test suite after every task; fix tests before proceeding; no task is done with failing tests</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All leads</w:t>
            </w:r>
          </w:p>
        </w:tc>
      </w:tr>
    </w:tbl>
    <w:p>
      <w:pPr>
        <w:pStyle w:val="Heading1"/>
        <w:spacing w:after="200" w:before="600"/>
      </w:pPr>
      <w:bookmarkStart w:id="100084" w:name="_Toc100084"/>
      <w:r>
        <w:rPr>
          <w:rFonts w:ascii="Calibri" w:eastAsia="SimHei"/>
          <w:b/>
          <w:bCs/>
          <w:color w:val="0F2027"/>
          <w:sz w:val="32"/>
          <w:szCs w:val="32"/>
        </w:rPr>
        <w:t xml:space="preserve">24. Verification Strategy</w:t>
      </w:r>
      <w:bookmarkEnd w:id="100084"/>
    </w:p>
    <w:p>
      <w:pPr>
        <w:spacing w:after="80" w:line="312"/>
        <w:jc w:val="both"/>
      </w:pPr>
      <w:r>
        <w:rPr>
          <w:rFonts w:ascii="Times New Roman" w:eastAsia="Microsoft YaHei"/>
          <w:color w:val="1A1A1A"/>
          <w:sz w:val="22"/>
          <w:szCs w:val="22"/>
        </w:rPr>
        <w:t xml:space="preserve">The verification strategy defines how each phase is verified before being marked complete. The standard is: a capability is PROVEN only when implementation exists, is wired, is runtime-used, is tested, has production path verified, has no core mock dependency, has no critical regression, and has been verified in the target deployment environment. This section defines the verification methods for each phase.</w:t>
      </w:r>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tblGrid>
      <w:tr>
        <w:trPr>
          <w:tblHeader/>
        </w:trPr>
        <w:tc>
          <w:tcPr>
            <w:tcW w:type="pct" w:w="1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Phase</w:t>
            </w:r>
          </w:p>
        </w:tc>
        <w:tc>
          <w:tcPr>
            <w:tcW w:type="pct" w:w="16%"/>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Unit Tests</w:t>
            </w:r>
          </w:p>
        </w:tc>
        <w:tc>
          <w:tcPr>
            <w:tcW w:type="pct" w:w="2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Integration Tests</w:t>
            </w:r>
          </w:p>
        </w:tc>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E2E Tests</w:t>
            </w:r>
          </w:p>
        </w:tc>
        <w:tc>
          <w:tcPr>
            <w:tcW w:type="pct" w:w="2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Manual Verification</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 Data Foundation</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Price Model types, normalizer unit tests</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Provider adapter integration with real APIs</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Verify normalized data appears in existing routes</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Compare data quality before/after</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3: Analytics</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TA indicator calculation tests</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Analysis engine with normalized data</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Analyze page shows enriched indicators</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Compare analysis quality before/after</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4: Signal Authority</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Transition Engine (existing 75 tests) + server invocation tests</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Server-side transition with mock observations</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Create signal, send price observation, verify state change</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Verify client cannot set state directly</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5: Intelligence</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Ranking algorithm tests</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Ranking with real engine outputs</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MOXI shows ranked opportunities</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Compare opportunity quality before/after</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6: MOXI V2</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Context assembly tests</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MOXI with structured context</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MOXI response quality improvement</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Compare MOXI response before/after</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7: Events</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Event handler unit tests</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End-to-end event flow</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Signal transition triggers notification</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Verify event persistence in domain_events</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8: Frontend</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Hook tests</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Data flow from server to component</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All pages render with normalized data</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Verify no mock data in production paths</w:t>
            </w:r>
          </w:p>
        </w:tc>
      </w:tr>
      <w:tr>
        <w:trPr>
          <w:cantSplit/>
        </w:trPr>
        <w:tc>
          <w:tcPr>
            <w:tcW w:type="pct" w:w="1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9: UX</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Route tests</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Navigation flow tests</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Complete user journey: discover to review</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User testing on mobile and desktop</w:t>
            </w:r>
          </w:p>
        </w:tc>
      </w:tr>
      <w:tr>
        <w:trPr>
          <w:cantSplit/>
        </w:trPr>
        <w:tc>
          <w:tcPr>
            <w:tcW w:type="pct" w:w="1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10: Design</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Component tests</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Visual regression tests</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Responsive layout verification</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Design review against Figma/specs</w:t>
            </w:r>
          </w:p>
        </w:tc>
      </w:tr>
    </w:tbl>
    <w:p>
      <w:pPr>
        <w:pStyle w:val="Heading1"/>
        <w:spacing w:after="200" w:before="600"/>
      </w:pPr>
      <w:bookmarkStart w:id="100085" w:name="_Toc100085"/>
      <w:r>
        <w:rPr>
          <w:rFonts w:ascii="Calibri" w:eastAsia="SimHei"/>
          <w:b/>
          <w:bCs/>
          <w:color w:val="0F2027"/>
          <w:sz w:val="32"/>
          <w:szCs w:val="32"/>
        </w:rPr>
        <w:t xml:space="preserve">25. Final Architecture Gates</w:t>
      </w:r>
      <w:bookmarkEnd w:id="100085"/>
    </w:p>
    <w:p>
      <w:pPr>
        <w:spacing w:after="80" w:line="312"/>
        <w:jc w:val="both"/>
      </w:pPr>
      <w:r>
        <w:rPr>
          <w:rFonts w:ascii="Times New Roman" w:eastAsia="Microsoft YaHei"/>
          <w:color w:val="1A1A1A"/>
          <w:sz w:val="22"/>
          <w:szCs w:val="22"/>
        </w:rPr>
        <w:t xml:space="preserve">The architecture defines 18 final product gates that must be met before the VIXOR V2 transformation is considered complete. These gates are derived from the Master Transformation Contract and validated against the Phase 0 Reality Baseline. Each gate maps to specific phases and tasks.</w:t>
      </w:r>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tblGrid>
      <w:tr>
        <w:trPr>
          <w:tblHeader/>
        </w:trPr>
        <w:tc>
          <w:tcPr>
            <w:tcW w:type="pct" w:w="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w:t>
            </w:r>
          </w:p>
        </w:tc>
        <w:tc>
          <w:tcPr>
            <w:tcW w:type="pct" w:w="36%"/>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Gate</w:t>
            </w:r>
          </w:p>
        </w:tc>
        <w:tc>
          <w:tcPr>
            <w:tcW w:type="pct" w:w="3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Verification Method</w:t>
            </w:r>
          </w:p>
        </w:tc>
        <w:tc>
          <w:tcPr>
            <w:tcW w:type="pct" w:w="1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Phase</w:t>
            </w:r>
          </w:p>
        </w:tc>
        <w:tc>
          <w:tcPr>
            <w:tcW w:type="pct" w:w="16%"/>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Status</w:t>
            </w:r>
          </w:p>
        </w:tc>
      </w:tr>
      <w:tr>
        <w:trPr>
          <w:cantSplit/>
        </w:trPr>
        <w:tc>
          <w:tcPr>
            <w:tcW w:type="pct" w:w="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w:t>
            </w:r>
          </w:p>
        </w:tc>
        <w:tc>
          <w:tcPr>
            <w:tcW w:type="pct" w:w="3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Discover uses real market data</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API call verification, no mock data in code path</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 + Phase 5</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2</w:t>
            </w:r>
          </w:p>
        </w:tc>
        <w:tc>
          <w:tcPr>
            <w:tcW w:type="pct" w:w="3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Opportunities are computed, not hardcoded</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Opportunity Ranking Engine unit + integration tests</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5</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3</w:t>
            </w:r>
          </w:p>
        </w:tc>
        <w:tc>
          <w:tcPr>
            <w:tcW w:type="pct" w:w="3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Analyze uses canonical asset/market data</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Normalized data verification in analysis engine</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3</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4</w:t>
            </w:r>
          </w:p>
        </w:tc>
        <w:tc>
          <w:tcPr>
            <w:tcW w:type="pct" w:w="3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MOXI receives the same context as analysis</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Context assembly tests, MOXI integration tests</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6</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5</w:t>
            </w:r>
          </w:p>
        </w:tc>
        <w:tc>
          <w:tcPr>
            <w:tcW w:type="pct" w:w="3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MOXI recommendation has explainable inputs</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Structured context output verification</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6</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6</w:t>
            </w:r>
          </w:p>
        </w:tc>
        <w:tc>
          <w:tcPr>
            <w:tcW w:type="pct" w:w="3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Risk Guard can veto unsafe recommendation</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Governor agent tests with edge cases</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4</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7</w:t>
            </w:r>
          </w:p>
        </w:tc>
        <w:tc>
          <w:tcPr>
            <w:tcW w:type="pct" w:w="3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Setup contains validated Entry/SL/TP/R:R/Invalidation</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Signal creation validation tests</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4</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8</w:t>
            </w:r>
          </w:p>
        </w:tc>
        <w:tc>
          <w:tcPr>
            <w:tcW w:type="pct" w:w="3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Signal lifecycle is server-authoritative</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Server invocation tests, client authority prevention</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4</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9</w:t>
            </w:r>
          </w:p>
        </w:tc>
        <w:tc>
          <w:tcPr>
            <w:tcW w:type="pct" w:w="3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Signal transitions are auditable</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SignalTransition records in DB, query tests</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4</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10</w:t>
            </w:r>
          </w:p>
        </w:tc>
        <w:tc>
          <w:tcPr>
            <w:tcW w:type="pct" w:w="3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Notifications are event-driven</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Event handler verification, notification delivery tests</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7</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11</w:t>
            </w:r>
          </w:p>
        </w:tc>
        <w:tc>
          <w:tcPr>
            <w:tcW w:type="pct" w:w="3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Track uses real state changes</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Server-side Transition Engine invocation</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4</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12</w:t>
            </w:r>
          </w:p>
        </w:tc>
        <w:tc>
          <w:tcPr>
            <w:tcW w:type="pct" w:w="3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Review uses real completed data</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Journal + performance metrics with real trade outcomes</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8</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13</w:t>
            </w:r>
          </w:p>
        </w:tc>
        <w:tc>
          <w:tcPr>
            <w:tcW w:type="pct" w:w="3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Learning uses scoped historical context</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Feedback pipeline tests</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6</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14</w:t>
            </w:r>
          </w:p>
        </w:tc>
        <w:tc>
          <w:tcPr>
            <w:tcW w:type="pct" w:w="3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Core journeys contain no mock data</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Code path audit for mock data references</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2-9</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15</w:t>
            </w:r>
          </w:p>
        </w:tc>
        <w:tc>
          <w:tcPr>
            <w:tcW w:type="pct" w:w="3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Provider failures produce degraded UX</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Failure injection tests, stale data display</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16</w:t>
            </w:r>
          </w:p>
        </w:tc>
        <w:tc>
          <w:tcPr>
            <w:tcW w:type="pct" w:w="3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Dead routes are removed/merged</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Route inventory verification</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9</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17</w:t>
            </w:r>
          </w:p>
        </w:tc>
        <w:tc>
          <w:tcPr>
            <w:tcW w:type="pct" w:w="3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Duplicate implementations are consolidated</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Code duplication audit</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Phase 2, Phase 9</w:t>
            </w:r>
          </w:p>
        </w:tc>
        <w:tc>
          <w:tcPr>
            <w:tcW w:type="pct" w:w="16%"/>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BLOCKED</w:t>
            </w:r>
          </w:p>
        </w:tc>
      </w:tr>
      <w:tr>
        <w:trPr>
          <w:cantSplit/>
        </w:trPr>
        <w:tc>
          <w:tcPr>
            <w:tcW w:type="pct" w:w="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18</w:t>
            </w:r>
          </w:p>
        </w:tc>
        <w:tc>
          <w:tcPr>
            <w:tcW w:type="pct" w:w="3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Core UX has no dead ends</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E2E navigation tests</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Phase 13</w:t>
            </w:r>
          </w:p>
        </w:tc>
        <w:tc>
          <w:tcPr>
            <w:tcW w:type="pct" w:w="16%"/>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BLOCKED</w:t>
            </w:r>
          </w:p>
        </w:tc>
      </w:tr>
    </w:tbl>
    <w:p>
      <w:pPr>
        <w:pStyle w:val="Heading1"/>
        <w:spacing w:after="200" w:before="600"/>
      </w:pPr>
      <w:bookmarkStart w:id="100086" w:name="_Toc100086"/>
      <w:r>
        <w:rPr>
          <w:rFonts w:ascii="Calibri" w:eastAsia="SimHei"/>
          <w:b/>
          <w:bCs/>
          <w:color w:val="0F2027"/>
          <w:sz w:val="32"/>
          <w:szCs w:val="32"/>
        </w:rPr>
        <w:t xml:space="preserve">26. Master Implementation Task Register</w:t>
      </w:r>
      <w:bookmarkEnd w:id="100086"/>
    </w:p>
    <w:p>
      <w:pPr>
        <w:spacing w:after="80" w:line="312"/>
        <w:jc w:val="both"/>
      </w:pPr>
      <w:r>
        <w:rPr>
          <w:rFonts w:ascii="Times New Roman" w:eastAsia="Microsoft YaHei"/>
          <w:color w:val="1A1A1A"/>
          <w:sz w:val="22"/>
          <w:szCs w:val="22"/>
        </w:rPr>
        <w:t xml:space="preserve">This register contains every implementation task created by this Architecture Decision Freeze. Tasks are atomic: each has a single clear deliverable. Tasks are ordered by phase and dependency. Each task follows the Task Design Standard (Section 22 of the Master Contract) with all required fields. This register is the authoritative task list for Phases 2 through 14. No task outside this register may be implemented.</w:t>
      </w:r>
    </w:p>
    <w:p>
      <w:pPr>
        <w:pStyle w:val="Heading2"/>
        <w:spacing w:after="160" w:before="400"/>
      </w:pPr>
      <w:bookmarkStart w:id="100087" w:name="_Toc100087"/>
      <w:r>
        <w:rPr>
          <w:rFonts w:ascii="Calibri" w:eastAsia="SimHei"/>
          <w:b/>
          <w:bCs/>
          <w:color w:val="0F2027"/>
          <w:sz w:val="28"/>
          <w:szCs w:val="28"/>
        </w:rPr>
        <w:t xml:space="preserve">26.1 Phase 2: Data Foundation</w:t>
      </w:r>
      <w:bookmarkEnd w:id="100087"/>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gridCol w:w="100"/>
      </w:tblGrid>
      <w:tr>
        <w:trPr>
          <w:tblHeader/>
        </w:trPr>
        <w:tc>
          <w:tcPr>
            <w:tcW w:type="pct" w:w="1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Task ID</w:t>
            </w:r>
          </w:p>
        </w:tc>
        <w:tc>
          <w:tcPr>
            <w:tcW w:type="pct" w:w="3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Title</w:t>
            </w:r>
          </w:p>
        </w:tc>
        <w:tc>
          <w:tcPr>
            <w:tcW w:type="pct" w:w="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Priority</w:t>
            </w:r>
          </w:p>
        </w:tc>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Goal</w:t>
            </w:r>
          </w:p>
        </w:tc>
        <w:tc>
          <w:tcPr>
            <w:tcW w:type="pct" w:w="1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Dependencies</w:t>
            </w:r>
          </w:p>
        </w:tc>
        <w:tc>
          <w:tcPr>
            <w:tcW w:type="pct" w:w="2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Files/Domain</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V2-2-01</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Fix createTrade field dropping (F1)</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P0</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All validated fields persisted to DB</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None</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domains/trades/functions.ts</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V2-2-02</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Define VIXOR Canonical Price Model</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Unified AssetPrice + Candle types</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None</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NEW: shared/normalization/types.ts</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V2-2-03</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Build Data Normalization Service</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Provider adapters output canonical types</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V2-2-02</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NEW: shared/normalization/</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V2-2-04</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Fix 18 missing DB table types (F3)</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All 47 tables in types.ts</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None</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shared/supabase/types.ts</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V2-2-05</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Fix signal_status enum mismatch (F12)</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Invalidated in DB type union</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None</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shared/supabase/types.ts</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V2-2-06</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Remove 4 DEAD client files (F5)</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P2</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Clean shared/market-data/</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None</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shared/market-data/{dexscreener,helius-rpc,alchemy-rpc,price-resolver}.ts</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V2-2-07</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Remove 10 unused dependencies (F6)</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P2</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Clean package.json</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None</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package.json</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V2-2-08</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Unify duplicate webhooks (F10)</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P2</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Single Telegram webhook handler</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None</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server/api/telegram-webhook.ts, stars-webhook.ts</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V2-2-09</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Remove dead debate/index.ts (F15)</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P2</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Clean debate domain</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None</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domains/debate/index.ts</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V2-2-10</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Remove orphaned Storybook stories (F14)</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P2</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Clean components/vixor/</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None</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components/vixor/*.stories.tsx</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V2-2-11</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Consolidate lock files (F17)</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P2</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pnpm-lock.yaml only</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None</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package-lock.json, bunfig.toml</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V2-2-12</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Complete .env.example (F13)</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All 25+ vars documented</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None</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.env.example</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V2-2-13</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Refactor duplicate chart components (F9)</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P2</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Shared useLightweightChart hook</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None</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CandlestickChart.tsx, DexChart.tsx</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V2-2-14</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Add CI pipeline (F18)</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GitHub Actions: typecheck + lint + test</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None</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.github/workflows/</w:t>
            </w:r>
          </w:p>
        </w:tc>
      </w:tr>
    </w:tbl>
    <w:p>
      <w:pPr>
        <w:pStyle w:val="Heading2"/>
        <w:spacing w:after="160" w:before="400"/>
      </w:pPr>
      <w:bookmarkStart w:id="100088" w:name="_Toc100088"/>
      <w:r>
        <w:rPr>
          <w:rFonts w:ascii="Calibri" w:eastAsia="SimHei"/>
          <w:b/>
          <w:bCs/>
          <w:color w:val="0F2027"/>
          <w:sz w:val="28"/>
          <w:szCs w:val="28"/>
        </w:rPr>
        <w:t xml:space="preserve">26.2 Phase 3: Analytics &amp; Research</w:t>
      </w:r>
      <w:bookmarkEnd w:id="100088"/>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gridCol w:w="100"/>
      </w:tblGrid>
      <w:tr>
        <w:trPr>
          <w:tblHeader/>
        </w:trPr>
        <w:tc>
          <w:tcPr>
            <w:tcW w:type="pct" w:w="1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Task ID</w:t>
            </w:r>
          </w:p>
        </w:tc>
        <w:tc>
          <w:tcPr>
            <w:tcW w:type="pct" w:w="3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Title</w:t>
            </w:r>
          </w:p>
        </w:tc>
        <w:tc>
          <w:tcPr>
            <w:tcW w:type="pct" w:w="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Priority</w:t>
            </w:r>
          </w:p>
        </w:tc>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Goal</w:t>
            </w:r>
          </w:p>
        </w:tc>
        <w:tc>
          <w:tcPr>
            <w:tcW w:type="pct" w:w="1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Dependencies</w:t>
            </w:r>
          </w:p>
        </w:tc>
        <w:tc>
          <w:tcPr>
            <w:tcW w:type="pct" w:w="2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Files/Domain</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V2-3-01</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Refactor analysis engine for normalized data</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Remove provider-specific logic</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V2-2-03</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analysis/engine/</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V2-3-02</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Integrate technicalindicators adapter</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50+ TA indicators in Analyze page</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V2-2-03</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analysis/engine/indicators/</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V2-3-03</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Integrate DeFiLlama adapter</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P2</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DeFi protocol data (TVL, yields)</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V2-2-03</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NEW: shared/market-data/defillama.client.ts</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V2-3-04</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Evaluate backtest-kit POC</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TS-native backtesting assessment</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V2-2-03</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backtest/engine/</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V2-3-05</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Enhance Forex/Commodity price pipeline</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Reliable forex data</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V2-2-03</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market/server/twelvedata.ts, finnhub-quotes.ts</w:t>
            </w:r>
          </w:p>
        </w:tc>
      </w:tr>
    </w:tbl>
    <w:p>
      <w:pPr>
        <w:pStyle w:val="Heading2"/>
        <w:spacing w:after="160" w:before="400"/>
      </w:pPr>
      <w:bookmarkStart w:id="100089" w:name="_Toc100089"/>
      <w:r>
        <w:rPr>
          <w:rFonts w:ascii="Calibri" w:eastAsia="SimHei"/>
          <w:b/>
          <w:bCs/>
          <w:color w:val="0F2027"/>
          <w:sz w:val="28"/>
          <w:szCs w:val="28"/>
        </w:rPr>
        <w:t xml:space="preserve">26.3 Phase 4: Signal Authority &amp; Execution State</w:t>
      </w:r>
      <w:bookmarkEnd w:id="100089"/>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gridCol w:w="100"/>
      </w:tblGrid>
      <w:tr>
        <w:trPr>
          <w:tblHeader/>
        </w:trPr>
        <w:tc>
          <w:tcPr>
            <w:tcW w:type="pct" w:w="1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Task ID</w:t>
            </w:r>
          </w:p>
        </w:tc>
        <w:tc>
          <w:tcPr>
            <w:tcW w:type="pct" w:w="3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Title</w:t>
            </w:r>
          </w:p>
        </w:tc>
        <w:tc>
          <w:tcPr>
            <w:tcW w:type="pct" w:w="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Priority</w:t>
            </w:r>
          </w:p>
        </w:tc>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Goal</w:t>
            </w:r>
          </w:p>
        </w:tc>
        <w:tc>
          <w:tcPr>
            <w:tcW w:type="pct" w:w="1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Dependencies</w:t>
            </w:r>
          </w:p>
        </w:tc>
        <w:tc>
          <w:tcPr>
            <w:tcW w:type="pct" w:w="2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Files/Domain</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V2-4-01</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Server-side Transition Engine invocation</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P0</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All transitions server-authoritative</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V2-2-04, V2-3-01</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signal-tracking/functions.ts, transition-engine.ts</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V2-4-02</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Implement SignalTransition audit records</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P0</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Every transition recorded</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V2-4-01</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NEW: signal_transitions table operations</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V2-4-03</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Signal event emission on transition</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Domain events on state change</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V2-4-01</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signal-tracking/functions.ts, shared/events/</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V2-4-04</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Implement optimistic locking on signal_tracking</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P0</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Concurrent observation safety</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V2-4-01</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signal_tracking table (add version column)</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V2-4-05</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Client migration: remove evaluateTrackingPrice</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P0</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Client displays only, never decides</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V2-4-01</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shared/hooks/use-signal-monitor.ts</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V2-4-06</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Move arbitrage from MOCK to REAL mode</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P2</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 Jupiter/Axiom execution</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V2-2-03</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domains/arbitrage/config.ts</w:t>
            </w:r>
          </w:p>
        </w:tc>
      </w:tr>
    </w:tbl>
    <w:p>
      <w:pPr>
        <w:pStyle w:val="Heading2"/>
        <w:spacing w:after="160" w:before="400"/>
      </w:pPr>
      <w:bookmarkStart w:id="100090" w:name="_Toc100090"/>
      <w:r>
        <w:rPr>
          <w:rFonts w:ascii="Calibri" w:eastAsia="SimHei"/>
          <w:b/>
          <w:bCs/>
          <w:color w:val="0F2027"/>
          <w:sz w:val="28"/>
          <w:szCs w:val="28"/>
        </w:rPr>
        <w:t xml:space="preserve">26.4 Phase 5: Intelligence &amp; Opportunity Engine</w:t>
      </w:r>
      <w:bookmarkEnd w:id="100090"/>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gridCol w:w="100"/>
      </w:tblGrid>
      <w:tr>
        <w:trPr>
          <w:tblHeader/>
        </w:trPr>
        <w:tc>
          <w:tcPr>
            <w:tcW w:type="pct" w:w="1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Task ID</w:t>
            </w:r>
          </w:p>
        </w:tc>
        <w:tc>
          <w:tcPr>
            <w:tcW w:type="pct" w:w="3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Title</w:t>
            </w:r>
          </w:p>
        </w:tc>
        <w:tc>
          <w:tcPr>
            <w:tcW w:type="pct" w:w="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Priority</w:t>
            </w:r>
          </w:p>
        </w:tc>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Goal</w:t>
            </w:r>
          </w:p>
        </w:tc>
        <w:tc>
          <w:tcPr>
            <w:tcW w:type="pct" w:w="1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Dependencies</w:t>
            </w:r>
          </w:p>
        </w:tc>
        <w:tc>
          <w:tcPr>
            <w:tcW w:type="pct" w:w="2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Files/Domain</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V2-5-01</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Build Opportunity Ranking Engine v1</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Standalone ranking module</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V2-4-01</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NEW: domains/intelligence/ranking/</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V2-5-02</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Enhance Birdeye adapter for token intelligence</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P2</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Real token metadata and analytics</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V2-2-03</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discovery/clients/birdeye.client.ts</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V2-5-03</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Enhance LunarCrush adapter for social sentiment</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P2</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Real social data in MOXI context</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V2-2-03</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discovery/clients/lunarcrush.client.ts</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V2-5-04</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Build real whale monitoring</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P2</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Blockchain whale tracking (not user trades)</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V2-5-02</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domains/discovery/clients/helius.client.ts</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V2-5-05</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Wire Mobula client into discovery pipeline</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P2</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Mobula data in scoring</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V2-2-03</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discovery/clients/mobula.client.ts</w:t>
            </w:r>
          </w:p>
        </w:tc>
      </w:tr>
    </w:tbl>
    <w:p>
      <w:pPr>
        <w:pStyle w:val="Heading2"/>
        <w:spacing w:after="160" w:before="400"/>
      </w:pPr>
      <w:bookmarkStart w:id="100091" w:name="_Toc100091"/>
      <w:r>
        <w:rPr>
          <w:rFonts w:ascii="Calibri" w:eastAsia="SimHei"/>
          <w:b/>
          <w:bCs/>
          <w:color w:val="0F2027"/>
          <w:sz w:val="28"/>
          <w:szCs w:val="28"/>
        </w:rPr>
        <w:t xml:space="preserve">26.5 Phase 6: MOXI V2</w:t>
      </w:r>
      <w:bookmarkEnd w:id="100091"/>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gridCol w:w="100"/>
      </w:tblGrid>
      <w:tr>
        <w:trPr>
          <w:tblHeader/>
        </w:trPr>
        <w:tc>
          <w:tcPr>
            <w:tcW w:type="pct" w:w="1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Task ID</w:t>
            </w:r>
          </w:p>
        </w:tc>
        <w:tc>
          <w:tcPr>
            <w:tcW w:type="pct" w:w="3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Title</w:t>
            </w:r>
          </w:p>
        </w:tc>
        <w:tc>
          <w:tcPr>
            <w:tcW w:type="pct" w:w="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Priority</w:t>
            </w:r>
          </w:p>
        </w:tc>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Goal</w:t>
            </w:r>
          </w:p>
        </w:tc>
        <w:tc>
          <w:tcPr>
            <w:tcW w:type="pct" w:w="1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Dependencies</w:t>
            </w:r>
          </w:p>
        </w:tc>
        <w:tc>
          <w:tcPr>
            <w:tcW w:type="pct" w:w="2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Files/Domain</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V2-6-01</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Implement structured MOXI context types</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8 context types aggregated in parallel</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V2-5-01</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moxi/context/</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V2-6-02</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Evaluate Mem0 POC for MOXI memory</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P2</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2-week POC with clear pass/fail</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None</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shared/memory/</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V2-6-03</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Integrate Mem0 (conditional on POC)</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P2</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Persistent MOXI memory</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V2-6-02</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shared/memory/</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V2-6-04</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Implement feedback pipeline</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Trade outcomes improve MOXI</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V2-4-02</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NEW: shared/feedback/</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V2-6-05</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Evaluate Mastra POC</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P2</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2-week POC vs Vercel AI SDK</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None</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moxi/server/</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V2-6-06</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Expand MOXI tool registry (7 empty categories)</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All 9 categories populated</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V2-5-01</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shared/tool-registry/</w:t>
            </w:r>
          </w:p>
        </w:tc>
      </w:tr>
    </w:tbl>
    <w:p>
      <w:pPr>
        <w:pStyle w:val="Heading2"/>
        <w:spacing w:after="160" w:before="400"/>
      </w:pPr>
      <w:bookmarkStart w:id="100092" w:name="_Toc100092"/>
      <w:r>
        <w:rPr>
          <w:rFonts w:ascii="Calibri" w:eastAsia="SimHei"/>
          <w:b/>
          <w:bCs/>
          <w:color w:val="0F2027"/>
          <w:sz w:val="28"/>
          <w:szCs w:val="28"/>
        </w:rPr>
        <w:t xml:space="preserve">26.6 Phase 7: Background Jobs &amp; Events</w:t>
      </w:r>
      <w:bookmarkEnd w:id="100092"/>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gridCol w:w="100"/>
      </w:tblGrid>
      <w:tr>
        <w:trPr>
          <w:tblHeader/>
        </w:trPr>
        <w:tc>
          <w:tcPr>
            <w:tcW w:type="pct" w:w="1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Task ID</w:t>
            </w:r>
          </w:p>
        </w:tc>
        <w:tc>
          <w:tcPr>
            <w:tcW w:type="pct" w:w="3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Title</w:t>
            </w:r>
          </w:p>
        </w:tc>
        <w:tc>
          <w:tcPr>
            <w:tcW w:type="pct" w:w="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Priority</w:t>
            </w:r>
          </w:p>
        </w:tc>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Goal</w:t>
            </w:r>
          </w:p>
        </w:tc>
        <w:tc>
          <w:tcPr>
            <w:tcW w:type="pct" w:w="1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Dependencies</w:t>
            </w:r>
          </w:p>
        </w:tc>
        <w:tc>
          <w:tcPr>
            <w:tcW w:type="pct" w:w="2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Files/Domain</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V2-7-01</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Register event handlers for 6 emitted events</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Event bus alive in production</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V2-4-03</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shared/events/</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V2-7-02</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Enable event persistence</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All events stored in domain_events</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V2-7-01</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shared/events/persist.ts</w:t>
            </w:r>
          </w:p>
        </w:tc>
      </w:tr>
      <w:tr>
        <w:trPr>
          <w:cantSplit/>
        </w:trPr>
        <w:tc>
          <w:tcPr>
            <w:tcW w:type="pct" w:w="1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V2-7-03</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Build Supabase-based job queue</w:t>
            </w:r>
          </w:p>
        </w:tc>
        <w:tc>
          <w:tcPr>
            <w:tcW w:type="pct" w:w="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Durable job processing</w:t>
            </w:r>
          </w:p>
        </w:tc>
        <w:tc>
          <w:tcPr>
            <w:tcW w:type="pct" w:w="1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None</w:t>
            </w:r>
          </w:p>
        </w:tc>
        <w:tc>
          <w:tcPr>
            <w:tcW w:type="pct" w:w="2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NEW: shared/jobs/</w:t>
            </w:r>
          </w:p>
        </w:tc>
      </w:tr>
      <w:tr>
        <w:trPr>
          <w:cantSplit/>
        </w:trPr>
        <w:tc>
          <w:tcPr>
            <w:tcW w:type="pct" w:w="1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V2-7-04</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Migrate notification delivery to async jobs</w:t>
            </w:r>
          </w:p>
        </w:tc>
        <w:tc>
          <w:tcPr>
            <w:tcW w:type="pct" w:w="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P1</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Notifications do not block update path</w:t>
            </w:r>
          </w:p>
        </w:tc>
        <w:tc>
          <w:tcPr>
            <w:tcW w:type="pct" w:w="1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V2-7-03</w:t>
            </w:r>
          </w:p>
        </w:tc>
        <w:tc>
          <w:tcPr>
            <w:tcW w:type="pct" w:w="2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shared/notifications/</w:t>
            </w:r>
          </w:p>
        </w:tc>
      </w:tr>
    </w:tbl>
    <w:p>
      <w:pPr>
        <w:pStyle w:val="Heading2"/>
        <w:spacing w:after="160" w:before="400"/>
      </w:pPr>
      <w:bookmarkStart w:id="100093" w:name="_Toc100093"/>
      <w:r>
        <w:rPr>
          <w:rFonts w:ascii="Calibri" w:eastAsia="SimHei"/>
          <w:b/>
          <w:bCs/>
          <w:color w:val="0F2027"/>
          <w:sz w:val="28"/>
          <w:szCs w:val="28"/>
        </w:rPr>
        <w:t xml:space="preserve">26.7 Phases 8-14 (Summary)</w:t>
      </w:r>
      <w:bookmarkEnd w:id="100093"/>
    </w:p>
    <w:p>
      <w:pPr>
        <w:spacing w:after="80" w:line="312"/>
        <w:jc w:val="both"/>
      </w:pPr>
      <w:r>
        <w:rPr>
          <w:rFonts w:ascii="Times New Roman" w:eastAsia="Microsoft YaHei"/>
          <w:color w:val="1A1A1A"/>
          <w:sz w:val="22"/>
          <w:szCs w:val="22"/>
        </w:rPr>
        <w:t xml:space="preserve">Phase 8 (Frontend Data &amp; State): V2-8-01 through V2-8-05 covering normalized TanStack Query hooks, Zustand store updates, and wallet UX enhancement. Phase 9 (Product/UX Consolidation): V2-9-01 through V2-9-10 covering navigation restructure, 12 core experience builds, route consolidation execution, agent panel dedup (F8), i18n fix (F11), and dead route removal (F16). Phase 10 (UI Design System V2): V2-10-01 through V2-10-04 covering design tokens, responsive layout system, and visual polish. Phase 11 (Product Intelligence): V2-11-01 through V2-11-03 covering analytics activation, error tracking, and PostHog evaluation. Phase 12 (Security): V2-12-01 through V2-12-04 covering security audit, credential rotation, RLS verification, and API key validation. Phase 13 (Integration/E2E): V2-13-01 through V2-13-05 covering E2E tests for all 8 product loop phases, integration tests, and performance benchmarks. Phase 14 (QA/Verification): V2-14-01 through V2-14-03 covering full regression, accessibility audit, and production release verification. Detailed task definitions for Phases 8-14 will be expanded during Phase 7 execution when the full system state is known.</w:t>
      </w:r>
    </w:p>
    <w:p>
      <w:pPr>
        <w:pStyle w:val="Heading1"/>
        <w:spacing w:after="200" w:before="600"/>
      </w:pPr>
      <w:bookmarkStart w:id="100094" w:name="_Toc100094"/>
      <w:r>
        <w:rPr>
          <w:rFonts w:ascii="Calibri" w:eastAsia="SimHei"/>
          <w:b/>
          <w:bCs/>
          <w:color w:val="0F2027"/>
          <w:sz w:val="32"/>
          <w:szCs w:val="32"/>
        </w:rPr>
        <w:t xml:space="preserve">27. Decisions Requiring Human Approval</w:t>
      </w:r>
      <w:bookmarkEnd w:id="100094"/>
    </w:p>
    <w:p>
      <w:pPr>
        <w:spacing w:after="80" w:line="312"/>
        <w:jc w:val="both"/>
      </w:pPr>
      <w:r>
        <w:rPr>
          <w:rFonts w:ascii="Times New Roman" w:eastAsia="Microsoft YaHei"/>
          <w:color w:val="1A1A1A"/>
          <w:sz w:val="22"/>
          <w:szCs w:val="22"/>
        </w:rPr>
        <w:t xml:space="preserve">The following decisions are explicitly flagged as requiring human approval before implementation. These are decisions where reasonable engineers may disagree, where legal or business considerations apply, or where the cost of the wrong decision is high. The architecture document records the recommended path, but implementation must not proceed until explicit approval is given for each item.</w:t>
      </w:r>
    </w:p>
    <w:tbl>
      <w:tblPr>
        <w:tblW w:type="pct" w:w="100%"/>
        <w:tblBorders>
          <w:top w:val="single" w:color="0F2027" w:sz="2"/>
          <w:left w:val="none"/>
          <w:bottom w:val="single" w:color="0F2027" w:sz="2"/>
          <w:right w:val="none"/>
          <w:insideH w:val="single" w:color="D0D8D0" w:sz="1"/>
          <w:insideV w:val="none"/>
        </w:tblBorders>
      </w:tblPr>
      <w:tblGrid>
        <w:gridCol w:w="100"/>
        <w:gridCol w:w="100"/>
        <w:gridCol w:w="100"/>
        <w:gridCol w:w="100"/>
        <w:gridCol w:w="100"/>
      </w:tblGrid>
      <w:tr>
        <w:trPr>
          <w:tblHeader/>
        </w:trPr>
        <w:tc>
          <w:tcPr>
            <w:tcW w:type="pct" w:w="4%"/>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w:t>
            </w:r>
          </w:p>
        </w:tc>
        <w:tc>
          <w:tcPr>
            <w:tcW w:type="pct" w:w="28%"/>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Decision</w:t>
            </w:r>
          </w:p>
        </w:tc>
        <w:tc>
          <w:tcPr>
            <w:tcW w:type="pct" w:w="3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Recommendation</w:t>
            </w:r>
          </w:p>
        </w:tc>
        <w:tc>
          <w:tcPr>
            <w:tcW w:type="pct" w:w="20%"/>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Impact If Wrong</w:t>
            </w:r>
          </w:p>
        </w:tc>
        <w:tc>
          <w:tcPr>
            <w:tcW w:type="pct" w:w="22%"/>
            <w:tcBorders>
              <w:top w:val="none"/>
              <w:left w:val="none"/>
              <w:bottom w:val="single" w:color="0F2027" w:sz="2"/>
              <w:right w:val="none"/>
            </w:tcBorders>
            <w:shd w:fill="D4AF37" w:val="clear"/>
            <w:tcMar>
              <w:top w:type="dxa" w:w="60"/>
              <w:left w:type="dxa" w:w="100"/>
              <w:bottom w:type="dxa" w:w="60"/>
              <w:right w:type="dxa" w:w="100"/>
            </w:tcMar>
          </w:tcPr>
          <w:p>
            <w:r>
              <w:rPr>
                <w:rFonts w:ascii="Calibri"/>
                <w:b/>
                <w:bCs/>
                <w:color w:val="0F2027"/>
                <w:sz w:val="20"/>
                <w:szCs w:val="20"/>
              </w:rPr>
              <w:t xml:space="preserve">Approval Needed From</w:t>
            </w:r>
          </w:p>
        </w:tc>
      </w:tr>
      <w:tr>
        <w:trPr>
          <w:cantSplit/>
        </w:trPr>
        <w:tc>
          <w:tcPr>
            <w:tcW w:type="pct" w:w="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Mastra: POC or reject</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POC with 2-week timebox; fallback to Vercel AI SDK</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Low (fallback exists)</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Tech Lead</w:t>
            </w:r>
          </w:p>
        </w:tc>
      </w:tr>
      <w:tr>
        <w:trPr>
          <w:cantSplit/>
        </w:trPr>
        <w:tc>
          <w:tcPr>
            <w:tcW w:type="pct" w:w="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2</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tulip-node: POC or reject</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REJECT; use technicalindicators (MIT, pure JS)</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Low (technicalindicators covers need)</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Tech Lead</w:t>
            </w:r>
          </w:p>
        </w:tc>
      </w:tr>
      <w:tr>
        <w:trPr>
          <w:cantSplit/>
        </w:trPr>
        <w:tc>
          <w:tcPr>
            <w:tcW w:type="pct" w:w="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3</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Trigger.dev: integrate or retain Vercel cron</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RETAIN Vercel cron; add Supabase job queue for durability</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Medium (job reliability)</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Tech Lead</w:t>
            </w:r>
          </w:p>
        </w:tc>
      </w:tr>
      <w:tr>
        <w:trPr>
          <w:cantSplit/>
        </w:trPr>
        <w:tc>
          <w:tcPr>
            <w:tcW w:type="pct" w:w="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4</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DeFiLlama: integrate or defer</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INTEGRATE as adapter (Phase 3)</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Low (free API, MIT license)</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Product</w:t>
            </w:r>
          </w:p>
        </w:tc>
      </w:tr>
      <w:tr>
        <w:trPr>
          <w:cantSplit/>
        </w:trPr>
        <w:tc>
          <w:tcPr>
            <w:tcW w:type="pct" w:w="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5</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OpenBB: adapter or reject</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REJECT (AGPL license)</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None (rejected)</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Legal</w:t>
            </w:r>
          </w:p>
        </w:tc>
      </w:tr>
      <w:tr>
        <w:trPr>
          <w:cantSplit/>
        </w:trPr>
        <w:tc>
          <w:tcPr>
            <w:tcW w:type="pct" w:w="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6</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Hummingbot: adapter or reference</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REFERENCE ONLY (study Connector pattern)</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None (reference only)</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Tech Lead</w:t>
            </w:r>
          </w:p>
        </w:tc>
      </w:tr>
      <w:tr>
        <w:trPr>
          <w:cantSplit/>
        </w:trPr>
        <w:tc>
          <w:tcPr>
            <w:tcW w:type="pct" w:w="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7</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Portfolio architecture: trade-derived vs wallet-balances</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HYBRID: wallet balances as primary, trade-derived as secondary</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High (affects Portfolio UX)</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Product + Tech Lead</w:t>
            </w:r>
          </w:p>
        </w:tc>
      </w:tr>
      <w:tr>
        <w:trPr>
          <w:cantSplit/>
        </w:trPr>
        <w:tc>
          <w:tcPr>
            <w:tcW w:type="pct" w:w="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8</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Event persistence: all events or critical-only</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CRITICAL-ONLY: signal, trade, alert, analysis events persisted</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Medium (storage cost vs audit coverage)</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Tech Lead</w:t>
            </w:r>
          </w:p>
        </w:tc>
      </w:tr>
      <w:tr>
        <w:trPr>
          <w:cantSplit/>
        </w:trPr>
        <w:tc>
          <w:tcPr>
            <w:tcW w:type="pct" w:w="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9</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Route consolidation: 12 experiences or alternative</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12 experiences as defined in Section 17</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High (affects entire UX)</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Product + Design</w:t>
            </w:r>
          </w:p>
        </w:tc>
      </w:tr>
      <w:tr>
        <w:trPr>
          <w:cantSplit/>
        </w:trPr>
        <w:tc>
          <w:tcPr>
            <w:tcW w:type="pct" w:w="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10</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On-chain scope: full or minimal</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MINIMAL for MVP: Discovery + Helius/Birdeye only</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High (development cost)</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Product + Business</w:t>
            </w:r>
          </w:p>
        </w:tc>
      </w:tr>
      <w:tr>
        <w:trPr>
          <w:cantSplit/>
        </w:trPr>
        <w:tc>
          <w:tcPr>
            <w:tcW w:type="pct" w:w="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11</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Futures/perpetuals scope: build or defer</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DEFER to post-MVP (current data is trade-derived only)</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Medium (market segment)</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Product + Business</w:t>
            </w:r>
          </w:p>
        </w:tc>
      </w:tr>
      <w:tr>
        <w:trPr>
          <w:cantSplit/>
        </w:trPr>
        <w:tc>
          <w:tcPr>
            <w:tcW w:type="pct" w:w="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12</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Social/community scope: build or defer</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DEFER to post-MVP (no social features exist)</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Medium (market segment)</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Product + Business</w:t>
            </w:r>
          </w:p>
        </w:tc>
      </w:tr>
      <w:tr>
        <w:trPr>
          <w:cantSplit/>
        </w:trPr>
        <w:tc>
          <w:tcPr>
            <w:tcW w:type="pct" w:w="4%"/>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13</w:t>
            </w:r>
          </w:p>
        </w:tc>
        <w:tc>
          <w:tcPr>
            <w:tcW w:type="pct" w:w="28%"/>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tulip-node LGPL legal review</w:t>
            </w:r>
          </w:p>
        </w:tc>
        <w:tc>
          <w:tcPr>
            <w:tcW w:type="pct" w:w="3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Skip tulip-node; use technicalindicators</w:t>
            </w:r>
          </w:p>
        </w:tc>
        <w:tc>
          <w:tcPr>
            <w:tcW w:type="pct" w:w="20%"/>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None (if skipped)</w:t>
            </w:r>
          </w:p>
        </w:tc>
        <w:tc>
          <w:tcPr>
            <w:tcW w:type="pct" w:w="22%"/>
            <w:tcBorders>
              <w:top w:val="none"/>
              <w:left w:val="none"/>
              <w:bottom w:val="none"/>
              <w:right w:val="none"/>
            </w:tcBorders>
            <w:tcMar>
              <w:top w:type="dxa" w:w="50"/>
              <w:left w:type="dxa" w:w="100"/>
              <w:bottom w:type="dxa" w:w="50"/>
              <w:right w:type="dxa" w:w="100"/>
            </w:tcMar>
          </w:tcPr>
          <w:p>
            <w:pPr>
              <w:spacing w:line="280"/>
            </w:pPr>
            <w:r>
              <w:rPr>
                <w:rFonts w:ascii="Calibri"/>
                <w:color w:val="1A1A1A"/>
                <w:sz w:val="19"/>
                <w:szCs w:val="19"/>
              </w:rPr>
              <w:t xml:space="preserve">Legal (if tulip-node is reconsidered)</w:t>
            </w:r>
          </w:p>
        </w:tc>
      </w:tr>
      <w:tr>
        <w:trPr>
          <w:cantSplit/>
        </w:trPr>
        <w:tc>
          <w:tcPr>
            <w:tcW w:type="pct" w:w="4%"/>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14</w:t>
            </w:r>
          </w:p>
        </w:tc>
        <w:tc>
          <w:tcPr>
            <w:tcW w:type="pct" w:w="28%"/>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Trigger.dev AGPL legal review</w:t>
            </w:r>
          </w:p>
        </w:tc>
        <w:tc>
          <w:tcPr>
            <w:tcW w:type="pct" w:w="3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Use as hosted SaaS only, never self-host</w:t>
            </w:r>
          </w:p>
        </w:tc>
        <w:tc>
          <w:tcPr>
            <w:tcW w:type="pct" w:w="20%"/>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High (if self-hosted)</w:t>
            </w:r>
          </w:p>
        </w:tc>
        <w:tc>
          <w:tcPr>
            <w:tcW w:type="pct" w:w="22%"/>
            <w:tcBorders>
              <w:top w:val="none"/>
              <w:left w:val="none"/>
              <w:bottom w:val="none"/>
              <w:right w:val="none"/>
            </w:tcBorders>
            <w:shd w:fill="F5F2E8" w:val="clear"/>
            <w:tcMar>
              <w:top w:type="dxa" w:w="50"/>
              <w:left w:type="dxa" w:w="100"/>
              <w:bottom w:type="dxa" w:w="50"/>
              <w:right w:type="dxa" w:w="100"/>
            </w:tcMar>
          </w:tcPr>
          <w:p>
            <w:pPr>
              <w:spacing w:line="280"/>
            </w:pPr>
            <w:r>
              <w:rPr>
                <w:rFonts w:ascii="Calibri"/>
                <w:color w:val="1A1A1A"/>
                <w:sz w:val="19"/>
                <w:szCs w:val="19"/>
              </w:rPr>
              <w:t xml:space="preserve">Legal (if Trigger.dev is adopted)</w:t>
            </w:r>
          </w:p>
        </w:tc>
      </w:tr>
    </w:tbl>
    <w:sectPr>
      <w:headerReference w:type="default" r:id="rId9"/>
      <w:footerReference w:type="default" r:id="rId10"/>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4A6575"/>
        <w:sz w:val="16"/>
        <w:szCs w:val="16"/>
      </w:rPr>
      <w:t xml:space="preserve">Page </w:t>
    </w:r>
    <w:r>
      <w:rPr>
        <w:rFonts w:ascii="Calibri"/>
        <w:color w:val="4A657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4A6575"/>
        <w:sz w:val="16"/>
        <w:szCs w:val="16"/>
      </w:rPr>
      <w:t xml:space="preserve">Page </w:t>
    </w:r>
    <w:r>
      <w:rPr>
        <w:rFonts w:ascii="Calibri"/>
        <w:color w:val="4A6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4A6575"/>
        <w:sz w:val="16"/>
        <w:szCs w:val="16"/>
      </w:rPr>
      <w:t xml:space="preserve">VIXOR V2 Architecture Decision Freeze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4A6575"/>
        <w:sz w:val="16"/>
        <w:szCs w:val="16"/>
      </w:rPr>
      <w:t xml:space="preserve">VIXOR V2 Architecture Decision Freeze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2026-08-10T01:02:58.126Z</dcterms:created>
  <dcterms:modified xsi:type="dcterms:W3CDTF">2026-08-10T01:02:58.132Z</dcterms:modified>
</cp:coreProperties>
</file>

<file path=docProps/custom.xml><?xml version="1.0" encoding="utf-8"?>
<Properties xmlns="http://schemas.openxmlformats.org/officeDocument/2006/custom-properties" xmlns:vt="http://schemas.openxmlformats.org/officeDocument/2006/docPropsVTypes"/>
</file>