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</w:tcPr>
          <w:p>
            <w:pPr>
              <w:spacing w:before="4000"/>
            </w:pPr>
          </w:p>
          <w:p>
            <w:pPr>
              <w:pBdr>
                <w:bottom w:val="single" w:color="808080" w:sz="6" w:space="8"/>
              </w:pBdr>
              <w:spacing w:after="400"/>
              <w:ind w:left="1200" w:right="800"/>
            </w:pPr>
            <w:r>
              <w:rPr>
                <w:rFonts w:ascii="Calibri"/>
                <w:color w:val="808080"/>
                <w:spacing w:val="30"/>
                <w:sz w:val="18"/>
                <w:szCs w:val="18"/>
              </w:rPr>
              <w:t xml:space="preserve">V I X O R   A R C H I T E C T U R E   V 2</w:t>
            </w:r>
          </w:p>
          <w:p>
            <w:pPr>
              <w:spacing w:after="200" w:line="80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72"/>
                <w:szCs w:val="72"/>
              </w:rPr>
              <w:t xml:space="preserve">بحث OSS المعمق</w:t>
            </w:r>
          </w:p>
          <w:p>
            <w:pPr>
              <w:spacing w:after="100" w:line="600" w:lineRule="atLeast"/>
              <w:ind w:left="1200"/>
            </w:pPr>
            <w:r>
              <w:rPr>
                <w:rFonts w:ascii="Arial" w:eastAsia="Microsoft YaHei"/>
                <w:color w:val="808080"/>
                <w:sz w:val="36"/>
                <w:szCs w:val="36"/>
              </w:rPr>
              <w:t xml:space="preserve">ومصفوفة التكامل والهيكل الجديد</w:t>
            </w:r>
          </w:p>
          <w:p>
            <w:pPr>
              <w:spacing w:after="800"/>
              <w:ind w:left="1200"/>
            </w:pPr>
            <w:r>
              <w:rPr>
                <w:rFonts w:ascii="Calibri"/>
                <w:color w:val="808080"/>
                <w:sz w:val="22"/>
                <w:szCs w:val="22"/>
              </w:rPr>
              <w:t xml:space="preserve">5 Deliverables | 7 Categories | 22 OSS Projects | File-Level Mapping</w:t>
            </w:r>
          </w:p>
          <w:p>
            <w:pPr>
              <w:pBdr>
                <w:left w:val="single" w:color="808080" w:sz="6" w:space="8"/>
              </w:pBdr>
              <w:spacing w:after="60"/>
              <w:ind w:left="1400"/>
            </w:pPr>
            <w:r>
              <w:rPr>
                <w:rFonts w:ascii="Calibri" w:eastAsia="Microsoft YaHei"/>
                <w:color w:val="808080"/>
                <w:sz w:val="20"/>
                <w:szCs w:val="20"/>
              </w:rPr>
              <w:t xml:space="preserve">تاريخ: 2026-08-09</w:t>
            </w:r>
          </w:p>
          <w:p>
            <w:pPr>
              <w:pBdr>
                <w:left w:val="single" w:color="808080" w:sz="6" w:space="8"/>
              </w:pBdr>
              <w:spacing w:after="60"/>
              <w:ind w:left="1400"/>
            </w:pPr>
            <w:r>
              <w:rPr>
                <w:rFonts w:ascii="Calibri" w:eastAsia="Microsoft YaHei"/>
                <w:color w:val="808080"/>
                <w:sz w:val="20"/>
                <w:szCs w:val="20"/>
              </w:rPr>
              <w:t xml:space="preserve">النسخة: Research-Only (Zero Code Changes)</w:t>
            </w:r>
          </w:p>
          <w:p>
            <w:pPr>
              <w:pBdr>
                <w:left w:val="single" w:color="808080" w:sz="6" w:space="8"/>
              </w:pBdr>
              <w:spacing w:after="60"/>
              <w:ind w:left="1400"/>
            </w:pPr>
            <w:r>
              <w:rPr>
                <w:rFonts w:ascii="Calibri" w:eastAsia="Microsoft YaHei"/>
                <w:color w:val="808080"/>
                <w:sz w:val="20"/>
                <w:szCs w:val="20"/>
              </w:rPr>
              <w:t xml:space="preserve">الحالة: معلق حتى مراجعة المستخدم</w:t>
            </w:r>
          </w:p>
          <w:p>
            <w:pPr>
              <w:spacing w:before="2000"/>
            </w:pPr>
          </w:p>
          <w:p>
            <w:pPr>
              <w:pBdr>
                <w:top w:val="single" w:color="808080" w:sz="2" w:space="8"/>
              </w:pBdr>
              <w:ind w:left="1200" w:right="800"/>
            </w:pPr>
            <w:r>
              <w:rPr>
                <w:rFonts w:ascii="Calibri"/>
                <w:color w:val="808080"/>
                <w:sz w:val="16"/>
                <w:szCs w:val="16"/>
              </w:rPr>
              <w:t xml:space="preserve">VIXOR — Confidential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200" w:before="200"/>
      </w:pPr>
      <w:r>
        <w:rPr>
          <w:rFonts w:eastAsia="SimHei"/>
          <w:b/>
          <w:bCs/>
          <w:color w:val="0F172A"/>
          <w:sz w:val="32"/>
          <w:szCs w:val="32"/>
        </w:rPr>
        <w:t xml:space="preserve">فهرس المحتويات</w:t>
      </w:r>
    </w:p>
    <w:p>
      <w:pPr>
        <w:spacing w:after="100" w:line="312"/>
        <w:jc w:val="left"/>
      </w:pPr>
      <w:r>
        <w:rPr>
          <w:rFonts w:ascii="Calibri" w:eastAsia="Microsoft YaHei"/>
          <w:color w:val="1C2A3D"/>
          <w:sz w:val="22"/>
          <w:szCs w:val="22"/>
        </w:rPr>
        <w:t xml:space="preserve">القطرية الأولى: بحث OSS المشاريع المفتوحة (7 فئات, 22 مشروع)</w:t>
      </w:r>
    </w:p>
    <w:p>
      <w:pPr>
        <w:spacing w:after="100" w:line="312"/>
        <w:jc w:val="left"/>
      </w:pPr>
      <w:r>
        <w:rPr>
          <w:rFonts w:ascii="Calibri" w:eastAsia="Microsoft YaHei"/>
          <w:color w:val="1C2A3D"/>
          <w:sz w:val="22"/>
          <w:szCs w:val="22"/>
        </w:rPr>
        <w:t xml:space="preserve">القطرية الثانية: مصفوفة التكامل (A-E Classification + File-Level Mapping)</w:t>
      </w:r>
    </w:p>
    <w:p>
      <w:pPr>
        <w:spacing w:after="100" w:line="312"/>
        <w:jc w:val="left"/>
      </w:pPr>
      <w:r>
        <w:rPr>
          <w:rFonts w:ascii="Calibri" w:eastAsia="Microsoft YaHei"/>
          <w:color w:val="1C2A3D"/>
          <w:sz w:val="22"/>
          <w:szCs w:val="22"/>
        </w:rPr>
        <w:t xml:space="preserve">القطرية الثالثة: الهيكل الجديد (Architecture V2)</w:t>
      </w:r>
    </w:p>
    <w:p>
      <w:pPr>
        <w:spacing w:after="100" w:line="312"/>
        <w:jc w:val="left"/>
      </w:pPr>
      <w:r>
        <w:rPr>
          <w:rFonts w:ascii="Calibri" w:eastAsia="Microsoft YaHei"/>
          <w:color w:val="1C2A3D"/>
          <w:sz w:val="22"/>
          <w:szCs w:val="22"/>
        </w:rPr>
        <w:t xml:space="preserve">القطرية الرابعة: هيكل الصفحات (Page Architecture V2)</w:t>
      </w:r>
    </w:p>
    <w:p>
      <w:pPr>
        <w:spacing w:after="100" w:line="312"/>
        <w:jc w:val="left"/>
      </w:pPr>
      <w:r>
        <w:rPr>
          <w:rFonts w:ascii="Calibri" w:eastAsia="Microsoft YaHei"/>
          <w:color w:val="1C2A3D"/>
          <w:sz w:val="22"/>
          <w:szCs w:val="22"/>
        </w:rPr>
        <w:t xml:space="preserve">القطرية الخامسة: استراتيجية التحويل (Migration Strategy)</w:t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Calibri" w:eastAsia="SimHei"/>
          <w:b/>
          <w:bCs/>
          <w:color w:val="0F172A"/>
          <w:sz w:val="32"/>
          <w:szCs w:val="32"/>
        </w:rPr>
        <w:t xml:space="preserve">القطرية الأولى: بحث المشاريع المفتوحة (OSS Research)</w:t>
      </w:r>
    </w:p>
    <w:p>
      <w:pPr>
        <w:spacing w:after="100" w:line="312"/>
        <w:jc w:val="left"/>
      </w:pPr>
      <w:r>
        <w:rPr>
          <w:rFonts w:ascii="Calibri" w:eastAsia="Microsoft YaHei"/>
          <w:color w:val="1C2A3D"/>
          <w:sz w:val="22"/>
          <w:szCs w:val="22"/>
        </w:rPr>
        <w:t xml:space="preserve">هذا القسم يغطي 22 مشروعاً مفتوح المصدر عبر 7 فئات. كل مشروع مربوط بملفات VIXOR المحددة ومصنف A-E. التصنيفات: A=تكامل مباشر, B=محول/خدمة, C=مرجع هيكلي, D=مرجع UX, E=لا يُستخدم.</w:t>
      </w:r>
    </w:p>
    <w:p>
      <w:pPr>
        <w:pStyle w:val="Heading2"/>
        <w:spacing w:after="160" w:before="4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الفئة 1: التداول والتنفيذ (Trading &amp; Execution)</w:t>
      </w:r>
    </w:p>
    <w:p>
      <w:pPr>
        <w:pStyle w:val="Heading3"/>
        <w:spacing w:after="120" w:before="300"/>
      </w:pPr>
      <w:r>
        <w:rPr>
          <w:rFonts w:ascii="Calibri" w:eastAsia="SimHei"/>
          <w:b/>
          <w:bCs/>
          <w:color w:val="0F172A"/>
          <w:sz w:val="24"/>
          <w:szCs w:val="24"/>
        </w:rPr>
        <w:t xml:space="preserve">1.1 CCXT v4.5 — مدمج حالياً | تصنيف: A</w:t>
      </w:r>
    </w:p>
    <w:p>
      <w:pPr>
        <w:spacing w:after="100" w:line="312"/>
        <w:jc w:val="left"/>
      </w:pPr>
      <w:r>
        <w:rPr>
          <w:rFonts w:ascii="Calibri" w:eastAsia="Microsoft YaHei"/>
          <w:color w:val="1C2A3D"/>
          <w:sz w:val="22"/>
          <w:szCs w:val="22"/>
        </w:rPr>
        <w:t xml:space="preserve">مكتبة JavaScript للتداول عبر 100+ بورصة. مدمج في VIXOR عبر ccxt ^4.5.64 في package.json. يوفر واجهة موحدة للأوامر وبيانات السوق وWebSocket.</w:t>
      </w:r>
    </w:p>
    <w:p>
      <w:pPr>
        <w:pBdr>
          <w:left w:val="single" w:color="1B6B7A" w:sz="6" w:space="8"/>
        </w:pBdr>
        <w:spacing w:after="80" w:line="312"/>
        <w:ind w:left="300"/>
        <w:jc w:val="left"/>
      </w:pPr>
      <w:r>
        <w:rPr>
          <w:rFonts w:ascii="Calibri" w:eastAsia="SimHei"/>
          <w:b/>
          <w:bCs/>
          <w:color w:val="1B6B7A"/>
          <w:sz w:val="21"/>
          <w:szCs w:val="21"/>
        </w:rPr>
        <w:t xml:space="preserve">الملفات: </w:t>
      </w:r>
      <w:r>
        <w:rPr>
          <w:rFonts w:ascii="Calibri" w:eastAsia="Microsoft YaHei"/>
          <w:color w:val="1C2A3D"/>
          <w:sz w:val="21"/>
          <w:szCs w:val="21"/>
        </w:rPr>
        <w:t xml:space="preserve">ccxt-generic-adapter.ts, binance-adapter.ts, bybit-adapter.ts, okx-adapter.ts, exness-adapter.ts</w:t>
      </w:r>
    </w:p>
    <w:p>
      <w:pPr>
        <w:pBdr>
          <w:left w:val="single" w:color="1B6B7A" w:sz="6" w:space="8"/>
        </w:pBdr>
        <w:spacing w:after="80" w:line="312"/>
        <w:ind w:left="300"/>
        <w:jc w:val="left"/>
      </w:pPr>
      <w:r>
        <w:rPr>
          <w:rFonts w:ascii="Calibri" w:eastAsia="SimHei"/>
          <w:b/>
          <w:bCs/>
          <w:color w:val="1B6B7A"/>
          <w:sz w:val="21"/>
          <w:szCs w:val="21"/>
        </w:rPr>
        <w:t xml:space="preserve">النقاط: </w:t>
      </w:r>
      <w:r>
        <w:rPr>
          <w:rFonts w:ascii="Calibri" w:eastAsia="Microsoft YaHei"/>
          <w:color w:val="1C2A3D"/>
          <w:sz w:val="21"/>
          <w:szCs w:val="21"/>
        </w:rPr>
        <w:t xml:space="preserve">تغطية واسعة (Binance/Bybit/OKX/Exness), API موحد, WebSocket</w:t>
      </w:r>
    </w:p>
    <w:p>
      <w:pPr>
        <w:pBdr>
          <w:left w:val="single" w:color="1B6B7A" w:sz="6" w:space="8"/>
        </w:pBdr>
        <w:spacing w:after="80" w:line="312"/>
        <w:ind w:left="300"/>
        <w:jc w:val="left"/>
      </w:pPr>
      <w:r>
        <w:rPr>
          <w:rFonts w:ascii="Calibri" w:eastAsia="SimHei"/>
          <w:b/>
          <w:bCs/>
          <w:color w:val="1B6B7A"/>
          <w:sz w:val="21"/>
          <w:szCs w:val="21"/>
        </w:rPr>
        <w:t xml:space="preserve">الضعف: </w:t>
      </w:r>
      <w:r>
        <w:rPr>
          <w:rFonts w:ascii="Calibri" w:eastAsia="Microsoft YaHei"/>
          <w:color w:val="1C2A3D"/>
          <w:sz w:val="21"/>
          <w:szCs w:val="21"/>
        </w:rPr>
        <w:t xml:space="preserve">حجم كبير (externalized في vite.config.ts), لا يدعم Solana DEX مباشرة</w:t>
      </w:r>
    </w:p>
    <w:p>
      <w:pPr>
        <w:pStyle w:val="Heading3"/>
        <w:spacing w:after="120" w:before="300"/>
      </w:pPr>
      <w:r>
        <w:rPr>
          <w:rFonts w:ascii="Calibri" w:eastAsia="SimHei"/>
          <w:b/>
          <w:bCs/>
          <w:color w:val="0F172A"/>
          <w:sz w:val="24"/>
          <w:szCs w:val="24"/>
        </w:rPr>
        <w:t xml:space="preserve">1.2 Hummingbot | تصنيف: C</w:t>
      </w:r>
    </w:p>
    <w:p>
      <w:pPr>
        <w:spacing w:after="100" w:line="312"/>
        <w:jc w:val="left"/>
      </w:pPr>
      <w:r>
        <w:rPr>
          <w:rFonts w:ascii="Calibri" w:eastAsia="Microsoft YaHei"/>
          <w:color w:val="1C2A3D"/>
          <w:sz w:val="22"/>
          <w:szCs w:val="22"/>
        </w:rPr>
        <w:t xml:space="preserve">منصة تداول مفتوحة (Python): market making, arbitrage, DEX trading. هيكل V2 مع Strategy Controller + Executor + Data Feed. نمط Connectors للبورصات.</w:t>
      </w:r>
    </w:p>
    <w:p>
      <w:pPr>
        <w:pBdr>
          <w:left w:val="single" w:color="1B6B7A" w:sz="6" w:space="8"/>
        </w:pBdr>
        <w:spacing w:after="80" w:line="312"/>
        <w:ind w:left="300"/>
        <w:jc w:val="left"/>
      </w:pPr>
      <w:r>
        <w:rPr>
          <w:rFonts w:ascii="Calibri" w:eastAsia="SimHei"/>
          <w:b/>
          <w:bCs/>
          <w:color w:val="1B6B7A"/>
          <w:sz w:val="21"/>
          <w:szCs w:val="21"/>
        </w:rPr>
        <w:t xml:space="preserve">الاستلهام: </w:t>
      </w:r>
      <w:r>
        <w:rPr>
          <w:rFonts w:ascii="Calibri" w:eastAsia="Microsoft YaHei"/>
          <w:color w:val="1C2A3D"/>
          <w:sz w:val="21"/>
          <w:szCs w:val="21"/>
        </w:rPr>
        <w:t xml:space="preserve">pure-function strategies لتحسين arbitrage/strategies/base.ts, Connector pattern لتحسين trading/gateway/adapters/</w:t>
      </w:r>
    </w:p>
    <w:p>
      <w:pPr>
        <w:pStyle w:val="Heading3"/>
        <w:spacing w:after="120" w:before="300"/>
      </w:pPr>
      <w:r>
        <w:rPr>
          <w:rFonts w:ascii="Calibri" w:eastAsia="SimHei"/>
          <w:b/>
          <w:bCs/>
          <w:color w:val="0F172A"/>
          <w:sz w:val="24"/>
          <w:szCs w:val="24"/>
        </w:rPr>
        <w:t xml:space="preserve">1.3 FreqTrade | تصنيف: C</w:t>
      </w:r>
    </w:p>
    <w:p>
      <w:pPr>
        <w:spacing w:after="100" w:line="312"/>
        <w:jc w:val="left"/>
      </w:pPr>
      <w:r>
        <w:rPr>
          <w:rFonts w:ascii="Calibri" w:eastAsia="Microsoft YaHei"/>
          <w:color w:val="1C2A3D"/>
          <w:sz w:val="22"/>
          <w:szCs w:val="22"/>
        </w:rPr>
        <w:t xml:space="preserve">روبوت تداول عملات (Python) مع backtesting engine + hyperopt. strategy classes مع populate_indicators/populate_entry/exit_trend.</w:t>
      </w:r>
    </w:p>
    <w:p>
      <w:pPr>
        <w:pBdr>
          <w:left w:val="single" w:color="1B6B7A" w:sz="6" w:space="8"/>
        </w:pBdr>
        <w:spacing w:after="80" w:line="312"/>
        <w:ind w:left="300"/>
        <w:jc w:val="left"/>
      </w:pPr>
      <w:r>
        <w:rPr>
          <w:rFonts w:ascii="Calibri" w:eastAsia="SimHei"/>
          <w:b/>
          <w:bCs/>
          <w:color w:val="1B6B7A"/>
          <w:sz w:val="21"/>
          <w:szCs w:val="21"/>
        </w:rPr>
        <w:t xml:space="preserve">الاستلهام: </w:t>
      </w:r>
      <w:r>
        <w:rPr>
          <w:rFonts w:ascii="Calibri" w:eastAsia="Microsoft YaHei"/>
          <w:color w:val="1C2A3D"/>
          <w:sz w:val="21"/>
          <w:szCs w:val="21"/>
        </w:rPr>
        <w:t xml:space="preserve">backtesting architecture لbacktest/engine/simulator.ts, strategy lifecycle لstrategy/runtime/script-runtime.ts</w:t>
      </w:r>
    </w:p>
    <w:p>
      <w:pPr>
        <w:pStyle w:val="Heading2"/>
        <w:spacing w:after="160" w:before="4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الفئة 2: بيانات السوق (Market Data)</w:t>
      </w:r>
    </w:p>
    <w:p>
      <w:pPr>
        <w:pStyle w:val="Heading3"/>
        <w:spacing w:after="120" w:before="300"/>
      </w:pPr>
      <w:r>
        <w:rPr>
          <w:rFonts w:ascii="Calibri" w:eastAsia="SimHei"/>
          <w:b/>
          <w:bCs/>
          <w:color w:val="0F172A"/>
          <w:sz w:val="24"/>
          <w:szCs w:val="24"/>
        </w:rPr>
        <w:t xml:space="preserve">2.1 TradingView Lightweight Charts v5.2 | تصنيف: A</w:t>
      </w:r>
    </w:p>
    <w:p>
      <w:pPr>
        <w:spacing w:after="100" w:line="312"/>
        <w:jc w:val="left"/>
      </w:pPr>
      <w:r>
        <w:rPr>
          <w:rFonts w:ascii="Calibri" w:eastAsia="Microsoft YaHei"/>
          <w:color w:val="1C2A3D"/>
          <w:sz w:val="22"/>
          <w:szCs w:val="22"/>
        </w:rPr>
        <w:t xml:space="preserve">مكتبة رسوم بيانية خفيفة. مدمج عبر lightweight-charts ^5.2.0 + lightweight-charts-indicators ^0.4.2.</w:t>
      </w:r>
    </w:p>
    <w:p>
      <w:pPr>
        <w:pBdr>
          <w:left w:val="single" w:color="1B6B7A" w:sz="6" w:space="8"/>
        </w:pBdr>
        <w:spacing w:after="80" w:line="312"/>
        <w:ind w:left="300"/>
        <w:jc w:val="left"/>
      </w:pPr>
      <w:r>
        <w:rPr>
          <w:rFonts w:ascii="Calibri" w:eastAsia="SimHei"/>
          <w:b/>
          <w:bCs/>
          <w:color w:val="1B6B7A"/>
          <w:sz w:val="21"/>
          <w:szCs w:val="21"/>
        </w:rPr>
        <w:t xml:space="preserve">الملفات: </w:t>
      </w:r>
      <w:r>
        <w:rPr>
          <w:rFonts w:ascii="Calibri" w:eastAsia="Microsoft YaHei"/>
          <w:color w:val="1C2A3D"/>
          <w:sz w:val="21"/>
          <w:szCs w:val="21"/>
        </w:rPr>
        <w:t xml:space="preserve">CandlestickChart.tsx, DexChart.tsx, MiniSparkline.tsx (Recharts), EquityChart.tsx (Recharts)</w:t>
      </w:r>
    </w:p>
    <w:p>
      <w:pPr>
        <w:pStyle w:val="Heading3"/>
        <w:spacing w:after="120" w:before="300"/>
      </w:pPr>
      <w:r>
        <w:rPr>
          <w:rFonts w:ascii="Calibri" w:eastAsia="SimHei"/>
          <w:b/>
          <w:bCs/>
          <w:color w:val="0F172A"/>
          <w:sz w:val="24"/>
          <w:szCs w:val="24"/>
        </w:rPr>
        <w:t xml:space="preserve">2.2 DeFiLlama SDK | تصنيف: B</w:t>
      </w:r>
    </w:p>
    <w:p>
      <w:pPr>
        <w:spacing w:after="100" w:line="312"/>
        <w:jc w:val="left"/>
      </w:pPr>
      <w:r>
        <w:rPr>
          <w:rFonts w:ascii="Calibri" w:eastAsia="Microsoft YaHei"/>
          <w:color w:val="1C2A3D"/>
          <w:sz w:val="22"/>
          <w:szCs w:val="22"/>
        </w:rPr>
        <w:t xml:space="preserve">SDK مفتوح لبيانات DeFi: TVL, fees, yields, prices. API مجاني بدون rate limit. 200+ chains.</w:t>
      </w:r>
    </w:p>
    <w:p>
      <w:pPr>
        <w:pBdr>
          <w:left w:val="single" w:color="1B6B7A" w:sz="6" w:space="8"/>
        </w:pBdr>
        <w:spacing w:after="80" w:line="312"/>
        <w:ind w:left="300"/>
        <w:jc w:val="left"/>
      </w:pPr>
      <w:r>
        <w:rPr>
          <w:rFonts w:ascii="Calibri" w:eastAsia="SimHei"/>
          <w:b/>
          <w:bCs/>
          <w:color w:val="1B6B7A"/>
          <w:sz w:val="21"/>
          <w:szCs w:val="21"/>
        </w:rPr>
        <w:t xml:space="preserve">التكامل: </w:t>
      </w:r>
      <w:r>
        <w:rPr>
          <w:rFonts w:ascii="Calibri" w:eastAsia="Microsoft YaHei"/>
          <w:color w:val="1C2A3D"/>
          <w:sz w:val="21"/>
          <w:szCs w:val="21"/>
        </w:rPr>
        <w:t xml:space="preserve">إضافة shared/market-data/defillama.client.ts لصفحات yield.tsx, curves.tsx, portfolio.tsx</w:t>
      </w:r>
    </w:p>
    <w:p>
      <w:pPr>
        <w:pStyle w:val="Heading3"/>
        <w:spacing w:after="120" w:before="300"/>
      </w:pPr>
      <w:r>
        <w:rPr>
          <w:rFonts w:ascii="Calibri" w:eastAsia="SimHei"/>
          <w:b/>
          <w:bCs/>
          <w:color w:val="0F172A"/>
          <w:sz w:val="24"/>
          <w:szCs w:val="24"/>
        </w:rPr>
        <w:t xml:space="preserve">2.3 Binance WebSocket | تصنيف: A</w:t>
      </w:r>
    </w:p>
    <w:p>
      <w:pPr>
        <w:spacing w:after="100" w:line="312"/>
        <w:jc w:val="left"/>
      </w:pPr>
      <w:r>
        <w:rPr>
          <w:rFonts w:ascii="Calibri" w:eastAsia="Microsoft YaHei"/>
          <w:color w:val="1C2A3D"/>
          <w:sz w:val="22"/>
          <w:szCs w:val="22"/>
        </w:rPr>
        <w:t xml:space="preserve">مدمج حالياً عبر shared/market-data/binance-ws.ts. يوفر real-time prices لـ use-live-prices.ts hook.</w:t>
      </w:r>
    </w:p>
    <w:p>
      <w:pPr>
        <w:pBdr>
          <w:left w:val="single" w:color="1B6B7A" w:sz="6" w:space="8"/>
        </w:pBdr>
        <w:spacing w:after="80" w:line="312"/>
        <w:ind w:left="300"/>
        <w:jc w:val="left"/>
      </w:pPr>
      <w:r>
        <w:rPr>
          <w:rFonts w:ascii="Calibri" w:eastAsia="SimHei"/>
          <w:b/>
          <w:bCs/>
          <w:color w:val="1B6B7A"/>
          <w:sz w:val="21"/>
          <w:szCs w:val="21"/>
        </w:rPr>
        <w:t xml:space="preserve">الملفات: </w:t>
      </w:r>
      <w:r>
        <w:rPr>
          <w:rFonts w:ascii="Calibri" w:eastAsia="Microsoft YaHei"/>
          <w:color w:val="1C2A3D"/>
          <w:sz w:val="21"/>
          <w:szCs w:val="21"/>
        </w:rPr>
        <w:t xml:space="preserve">binance-ws.ts, use-live-prices.ts → يغذي radar.tsx, discover.tsx, signals.tsx</w:t>
      </w:r>
    </w:p>
    <w:p>
      <w:pPr>
        <w:pStyle w:val="Heading3"/>
        <w:spacing w:after="120" w:before="300"/>
      </w:pPr>
      <w:r>
        <w:rPr>
          <w:rFonts w:ascii="Calibri" w:eastAsia="SimHei"/>
          <w:b/>
          <w:bCs/>
          <w:color w:val="0F172A"/>
          <w:sz w:val="24"/>
          <w:szCs w:val="24"/>
        </w:rPr>
        <w:t xml:space="preserve">2.4 TwelveData | تصنيف: A</w:t>
      </w:r>
    </w:p>
    <w:p>
      <w:pPr>
        <w:spacing w:after="100" w:line="312"/>
        <w:jc w:val="left"/>
      </w:pPr>
      <w:r>
        <w:rPr>
          <w:rFonts w:ascii="Calibri" w:eastAsia="Microsoft YaHei"/>
          <w:color w:val="1C2A3D"/>
          <w:sz w:val="22"/>
          <w:szCs w:val="22"/>
        </w:rPr>
        <w:t xml:space="preserve">OHLCV + forex data. مدمج عبر domains/market/server/twelvedata.ts. يغذي analysis engine وcharts page.</w:t>
      </w:r>
    </w:p>
    <w:p>
      <w:pPr>
        <w:pBdr>
          <w:left w:val="single" w:color="1B6B7A" w:sz="6" w:space="8"/>
        </w:pBdr>
        <w:spacing w:after="80" w:line="312"/>
        <w:ind w:left="300"/>
        <w:jc w:val="left"/>
      </w:pPr>
      <w:r>
        <w:rPr>
          <w:rFonts w:ascii="Calibri" w:eastAsia="SimHei"/>
          <w:b/>
          <w:bCs/>
          <w:color w:val="1B6B7A"/>
          <w:sz w:val="21"/>
          <w:szCs w:val="21"/>
        </w:rPr>
        <w:t xml:space="preserve">الملفات: </w:t>
      </w:r>
      <w:r>
        <w:rPr>
          <w:rFonts w:ascii="Calibri" w:eastAsia="Microsoft YaHei"/>
          <w:color w:val="1C2A3D"/>
          <w:sz w:val="21"/>
          <w:szCs w:val="21"/>
        </w:rPr>
        <w:t xml:space="preserve">twelvedata.ts → analysis/server/run-analysis.ts, charts.tsx</w:t>
      </w:r>
    </w:p>
    <w:p>
      <w:pPr>
        <w:pStyle w:val="Heading2"/>
        <w:spacing w:after="160" w:before="4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الفئة 3: ذكاء التوكنات (Token Intelligence)</w:t>
      </w:r>
    </w:p>
    <w:p>
      <w:pPr>
        <w:pStyle w:val="Heading3"/>
        <w:spacing w:after="120" w:before="300"/>
      </w:pPr>
      <w:r>
        <w:rPr>
          <w:rFonts w:ascii="Calibri" w:eastAsia="SimHei"/>
          <w:b/>
          <w:bCs/>
          <w:color w:val="0F172A"/>
          <w:sz w:val="24"/>
          <w:szCs w:val="24"/>
        </w:rPr>
        <w:t xml:space="preserve">3.1 Birdeye API | تصنيف: A</w:t>
      </w:r>
    </w:p>
    <w:p>
      <w:pPr>
        <w:spacing w:after="100" w:line="312"/>
        <w:jc w:val="left"/>
      </w:pPr>
      <w:r>
        <w:rPr>
          <w:rFonts w:ascii="Calibri" w:eastAsia="Microsoft YaHei"/>
          <w:color w:val="1C2A3D"/>
          <w:sz w:val="22"/>
          <w:szCs w:val="22"/>
        </w:rPr>
        <w:t xml:space="preserve">on-chain analytics لـ Solana + EVM. مدمج عبر discovery/clients/birdeye.client.ts. يوفر token metadata, trade data, whale tracking.</w:t>
      </w:r>
    </w:p>
    <w:p>
      <w:pPr>
        <w:pBdr>
          <w:left w:val="single" w:color="1B6B7A" w:sz="6" w:space="8"/>
        </w:pBdr>
        <w:spacing w:after="80" w:line="312"/>
        <w:ind w:left="300"/>
        <w:jc w:val="left"/>
      </w:pPr>
      <w:r>
        <w:rPr>
          <w:rFonts w:ascii="Calibri" w:eastAsia="SimHei"/>
          <w:b/>
          <w:bCs/>
          <w:color w:val="1B6B7A"/>
          <w:sz w:val="21"/>
          <w:szCs w:val="21"/>
        </w:rPr>
        <w:t xml:space="preserve">الملفات: </w:t>
      </w:r>
      <w:r>
        <w:rPr>
          <w:rFonts w:ascii="Calibri" w:eastAsia="Microsoft YaHei"/>
          <w:color w:val="1C2A3D"/>
          <w:sz w:val="21"/>
          <w:szCs w:val="21"/>
        </w:rPr>
        <w:t xml:space="preserve">birdeye.client.ts → discovery/functions.ts (scoring), discover.tsx</w:t>
      </w:r>
    </w:p>
    <w:p>
      <w:pPr>
        <w:pStyle w:val="Heading3"/>
        <w:spacing w:after="120" w:before="300"/>
      </w:pPr>
      <w:r>
        <w:rPr>
          <w:rFonts w:ascii="Calibri" w:eastAsia="SimHei"/>
          <w:b/>
          <w:bCs/>
          <w:color w:val="0F172A"/>
          <w:sz w:val="24"/>
          <w:szCs w:val="24"/>
        </w:rPr>
        <w:t xml:space="preserve">3.2 LunarCrush | تصنيف: A</w:t>
      </w:r>
    </w:p>
    <w:p>
      <w:pPr>
        <w:spacing w:after="100" w:line="312"/>
        <w:jc w:val="left"/>
      </w:pPr>
      <w:r>
        <w:rPr>
          <w:rFonts w:ascii="Calibri" w:eastAsia="Microsoft YaHei"/>
          <w:color w:val="1C2A3D"/>
          <w:sz w:val="22"/>
          <w:szCs w:val="22"/>
        </w:rPr>
        <w:t xml:space="preserve">Social sentiment للعملات. مدمج عبر discovery/clients/lunarcrush.client.ts. Galaxy Score + AltRank لـ Discovery scoring.</w:t>
      </w:r>
    </w:p>
    <w:p>
      <w:pPr>
        <w:pBdr>
          <w:left w:val="single" w:color="1B6B7A" w:sz="6" w:space="8"/>
        </w:pBdr>
        <w:spacing w:after="80" w:line="312"/>
        <w:ind w:left="300"/>
        <w:jc w:val="left"/>
      </w:pPr>
      <w:r>
        <w:rPr>
          <w:rFonts w:ascii="Calibri" w:eastAsia="SimHei"/>
          <w:b/>
          <w:bCs/>
          <w:color w:val="1B6B7A"/>
          <w:sz w:val="21"/>
          <w:szCs w:val="21"/>
        </w:rPr>
        <w:t xml:space="preserve">الملفات: </w:t>
      </w:r>
      <w:r>
        <w:rPr>
          <w:rFonts w:ascii="Calibri" w:eastAsia="Microsoft YaHei"/>
          <w:color w:val="1C2A3D"/>
          <w:sz w:val="21"/>
          <w:szCs w:val="21"/>
        </w:rPr>
        <w:t xml:space="preserve">lunarcrush.client.ts → discovery/scoring.ts (social weight)</w:t>
      </w:r>
    </w:p>
    <w:p>
      <w:pPr>
        <w:pStyle w:val="Heading3"/>
        <w:spacing w:after="120" w:before="300"/>
      </w:pPr>
      <w:r>
        <w:rPr>
          <w:rFonts w:ascii="Calibri" w:eastAsia="SimHei"/>
          <w:b/>
          <w:bCs/>
          <w:color w:val="0F172A"/>
          <w:sz w:val="24"/>
          <w:szCs w:val="24"/>
        </w:rPr>
        <w:t xml:space="preserve">3.3 DexScreener | تصنيف: A</w:t>
      </w:r>
    </w:p>
    <w:p>
      <w:pPr>
        <w:spacing w:after="100" w:line="312"/>
        <w:jc w:val="left"/>
      </w:pPr>
      <w:r>
        <w:rPr>
          <w:rFonts w:ascii="Calibri" w:eastAsia="Microsoft YaHei"/>
          <w:color w:val="1C2A3D"/>
          <w:sz w:val="22"/>
          <w:szCs w:val="22"/>
        </w:rPr>
        <w:t xml:space="preserve">DEX analytics. مدمج عبر 3 ملفات: dexscreener.ts (REST), dexscreener-ws.ts (WS), dexscreener.client.ts (Discovery).</w:t>
      </w:r>
    </w:p>
    <w:p>
      <w:pPr>
        <w:pBdr>
          <w:left w:val="single" w:color="1B6B7A" w:sz="6" w:space="8"/>
        </w:pBdr>
        <w:spacing w:after="80" w:line="312"/>
        <w:ind w:left="300"/>
        <w:jc w:val="left"/>
      </w:pPr>
      <w:r>
        <w:rPr>
          <w:rFonts w:ascii="Calibri" w:eastAsia="SimHei"/>
          <w:b/>
          <w:bCs/>
          <w:color w:val="1B6B7A"/>
          <w:sz w:val="21"/>
          <w:szCs w:val="21"/>
        </w:rPr>
        <w:t xml:space="preserve">الملفات: </w:t>
      </w:r>
      <w:r>
        <w:rPr>
          <w:rFonts w:ascii="Calibri" w:eastAsia="Microsoft YaHei"/>
          <w:color w:val="1C2A3D"/>
          <w:sz w:val="21"/>
          <w:szCs w:val="21"/>
        </w:rPr>
        <w:t xml:space="preserve">dexscreener.ts, dexscreener-ws.ts, dexscreener.client.ts → discover.tsx, token.$symbol.tsx, use-discover-live-prices.ts</w:t>
      </w:r>
    </w:p>
    <w:p>
      <w:pPr>
        <w:pStyle w:val="Heading3"/>
        <w:spacing w:after="120" w:before="300"/>
      </w:pPr>
      <w:r>
        <w:rPr>
          <w:rFonts w:ascii="Calibri" w:eastAsia="SimHei"/>
          <w:b/>
          <w:bCs/>
          <w:color w:val="0F172A"/>
          <w:sz w:val="24"/>
          <w:szCs w:val="24"/>
        </w:rPr>
        <w:t xml:space="preserve">3.4 Helius RPC | تصنيف: A</w:t>
      </w:r>
    </w:p>
    <w:p>
      <w:pPr>
        <w:spacing w:after="100" w:line="312"/>
        <w:jc w:val="left"/>
      </w:pPr>
      <w:r>
        <w:rPr>
          <w:rFonts w:ascii="Calibri" w:eastAsia="Microsoft YaHei"/>
          <w:color w:val="1C2A3D"/>
          <w:sz w:val="22"/>
          <w:szCs w:val="22"/>
        </w:rPr>
        <w:t xml:space="preserve">Solana on-chain data. مدمج عبر shared/market-data/helius-rpc.ts + discovery/clients/helius.client.ts. Smart money wallets + DEX data.</w:t>
      </w:r>
    </w:p>
    <w:p>
      <w:pPr>
        <w:pBdr>
          <w:left w:val="single" w:color="1B6B7A" w:sz="6" w:space="8"/>
        </w:pBdr>
        <w:spacing w:after="80" w:line="312"/>
        <w:ind w:left="300"/>
        <w:jc w:val="left"/>
      </w:pPr>
      <w:r>
        <w:rPr>
          <w:rFonts w:ascii="Calibri" w:eastAsia="SimHei"/>
          <w:b/>
          <w:bCs/>
          <w:color w:val="1B6B7A"/>
          <w:sz w:val="21"/>
          <w:szCs w:val="21"/>
        </w:rPr>
        <w:t xml:space="preserve">الملفات: </w:t>
      </w:r>
      <w:r>
        <w:rPr>
          <w:rFonts w:ascii="Calibri" w:eastAsia="Microsoft YaHei"/>
          <w:color w:val="1C2A3D"/>
          <w:sz w:val="21"/>
          <w:szCs w:val="21"/>
        </w:rPr>
        <w:t xml:space="preserve">helius-rpc.ts, helius.client.ts → whale.tsx, discovery/scoring.ts</w:t>
      </w:r>
    </w:p>
    <w:p>
      <w:pPr>
        <w:pStyle w:val="Heading3"/>
        <w:spacing w:after="120" w:before="300"/>
      </w:pPr>
      <w:r>
        <w:rPr>
          <w:rFonts w:ascii="Calibri" w:eastAsia="SimHei"/>
          <w:b/>
          <w:bCs/>
          <w:color w:val="0F172A"/>
          <w:sz w:val="24"/>
          <w:szCs w:val="24"/>
        </w:rPr>
        <w:t xml:space="preserve">3.5 Twitter/X Client | تصنيف: A</w:t>
      </w:r>
    </w:p>
    <w:p>
      <w:pPr>
        <w:spacing w:after="100" w:line="312"/>
        <w:jc w:val="left"/>
      </w:pPr>
      <w:r>
        <w:rPr>
          <w:rFonts w:ascii="Calibri" w:eastAsia="Microsoft YaHei"/>
          <w:color w:val="1C2A3D"/>
          <w:sz w:val="22"/>
          <w:szCs w:val="22"/>
        </w:rPr>
        <w:t xml:space="preserve">Social signals. مدمج عبر discovery/clients/twitter.client.ts. يغذي scoring وdiscovery.</w:t>
      </w:r>
    </w:p>
    <w:p>
      <w:pPr>
        <w:pBdr>
          <w:left w:val="single" w:color="1B6B7A" w:sz="6" w:space="8"/>
        </w:pBdr>
        <w:spacing w:after="80" w:line="312"/>
        <w:ind w:left="300"/>
        <w:jc w:val="left"/>
      </w:pPr>
      <w:r>
        <w:rPr>
          <w:rFonts w:ascii="Calibri" w:eastAsia="SimHei"/>
          <w:b/>
          <w:bCs/>
          <w:color w:val="1B6B7A"/>
          <w:sz w:val="21"/>
          <w:szCs w:val="21"/>
        </w:rPr>
        <w:t xml:space="preserve">الملفات: </w:t>
      </w:r>
      <w:r>
        <w:rPr>
          <w:rFonts w:ascii="Calibri" w:eastAsia="Microsoft YaHei"/>
          <w:color w:val="1C2A3D"/>
          <w:sz w:val="21"/>
          <w:szCs w:val="21"/>
        </w:rPr>
        <w:t xml:space="preserve">twitter.client.ts → discovery/scoring.ts, discovery/functions.ts</w:t>
      </w:r>
    </w:p>
    <w:p>
      <w:pPr>
        <w:pStyle w:val="Heading3"/>
        <w:spacing w:after="120" w:before="300"/>
      </w:pPr>
      <w:r>
        <w:rPr>
          <w:rFonts w:ascii="Calibri" w:eastAsia="SimHei"/>
          <w:b/>
          <w:bCs/>
          <w:color w:val="0F172A"/>
          <w:sz w:val="24"/>
          <w:szCs w:val="24"/>
        </w:rPr>
        <w:t xml:space="preserve">3.6 Mobula | تصنيف: A</w:t>
      </w:r>
    </w:p>
    <w:p>
      <w:pPr>
        <w:spacing w:after="100" w:line="312"/>
        <w:jc w:val="left"/>
      </w:pPr>
      <w:r>
        <w:rPr>
          <w:rFonts w:ascii="Calibri" w:eastAsia="Microsoft YaHei"/>
          <w:color w:val="1C2A3D"/>
          <w:sz w:val="22"/>
          <w:szCs w:val="22"/>
        </w:rPr>
        <w:t xml:space="preserve">Multi-chain market data. مدمج عبر discovery/clients/mobula.client.ts. يكمل Birdeye/LunarCrush.</w:t>
      </w:r>
    </w:p>
    <w:p>
      <w:pPr>
        <w:pBdr>
          <w:left w:val="single" w:color="1B6B7A" w:sz="6" w:space="8"/>
        </w:pBdr>
        <w:spacing w:after="80" w:line="312"/>
        <w:ind w:left="300"/>
        <w:jc w:val="left"/>
      </w:pPr>
      <w:r>
        <w:rPr>
          <w:rFonts w:ascii="Calibri" w:eastAsia="SimHei"/>
          <w:b/>
          <w:bCs/>
          <w:color w:val="1B6B7A"/>
          <w:sz w:val="21"/>
          <w:szCs w:val="21"/>
        </w:rPr>
        <w:t xml:space="preserve">الملفات: </w:t>
      </w:r>
      <w:r>
        <w:rPr>
          <w:rFonts w:ascii="Calibri" w:eastAsia="Microsoft YaHei"/>
          <w:color w:val="1C2A3D"/>
          <w:sz w:val="21"/>
          <w:szCs w:val="21"/>
        </w:rPr>
        <w:t xml:space="preserve">mobula.client.ts → discovery/functions.ts, use-live-prices.ts</w:t>
      </w:r>
    </w:p>
    <w:p>
      <w:pPr>
        <w:pStyle w:val="Heading2"/>
        <w:spacing w:after="160" w:before="4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الفئة 4: التحليل والبكتستينج (Analytics &amp; Backtesting)</w:t>
      </w:r>
    </w:p>
    <w:p>
      <w:pPr>
        <w:pStyle w:val="Heading3"/>
        <w:spacing w:after="120" w:before="300"/>
      </w:pPr>
      <w:r>
        <w:rPr>
          <w:rFonts w:ascii="Calibri" w:eastAsia="SimHei"/>
          <w:b/>
          <w:bCs/>
          <w:color w:val="0F172A"/>
          <w:sz w:val="24"/>
          <w:szCs w:val="24"/>
        </w:rPr>
        <w:t xml:space="preserve">4.1 tulip node | تصنيف: B</w:t>
      </w:r>
    </w:p>
    <w:p>
      <w:pPr>
        <w:spacing w:after="100" w:line="312"/>
        <w:jc w:val="left"/>
      </w:pPr>
      <w:r>
        <w:rPr>
          <w:rFonts w:ascii="Calibri" w:eastAsia="Microsoft YaHei"/>
          <w:color w:val="1C2A3D"/>
          <w:sz w:val="22"/>
          <w:szCs w:val="22"/>
        </w:rPr>
        <w:t xml:space="preserve">مكتبة JS للمؤشرات التقنية (RSI, MACD, Bollinger, ATR) بنفس منط TALib. 100+ مؤشر. VIXOR لديه مؤشرات مخصصة في analysis/engine/indicators/</w:t>
      </w:r>
    </w:p>
    <w:p>
      <w:pPr>
        <w:pBdr>
          <w:left w:val="single" w:color="1B6B7A" w:sz="6" w:space="8"/>
        </w:pBdr>
        <w:spacing w:after="80" w:line="312"/>
        <w:ind w:left="300"/>
        <w:jc w:val="left"/>
      </w:pPr>
      <w:r>
        <w:rPr>
          <w:rFonts w:ascii="Calibri" w:eastAsia="SimHei"/>
          <w:b/>
          <w:bCs/>
          <w:color w:val="1B6B7A"/>
          <w:sz w:val="21"/>
          <w:szCs w:val="21"/>
        </w:rPr>
        <w:t xml:space="preserve">التكامل: </w:t>
      </w:r>
      <w:r>
        <w:rPr>
          <w:rFonts w:ascii="Calibri" w:eastAsia="Microsoft YaHei"/>
          <w:color w:val="1C2A3D"/>
          <w:sz w:val="21"/>
          <w:szCs w:val="21"/>
        </w:rPr>
        <w:t xml:space="preserve">إضافة tulip-node واستبدال المؤشرات المخصصة: indicator-math.ts, regime-detector.ts, strategy-scorer.ts</w:t>
      </w:r>
    </w:p>
    <w:p>
      <w:pPr>
        <w:pStyle w:val="Heading3"/>
        <w:spacing w:after="120" w:before="300"/>
      </w:pPr>
      <w:r>
        <w:rPr>
          <w:rFonts w:ascii="Calibri" w:eastAsia="SimHei"/>
          <w:b/>
          <w:bCs/>
          <w:color w:val="0F172A"/>
          <w:sz w:val="24"/>
          <w:szCs w:val="24"/>
        </w:rPr>
        <w:t xml:space="preserve">4.2 Backtrader | تصنيف: C</w:t>
      </w:r>
    </w:p>
    <w:p>
      <w:pPr>
        <w:spacing w:after="100" w:line="312"/>
        <w:jc w:val="left"/>
      </w:pPr>
      <w:r>
        <w:rPr>
          <w:rFonts w:ascii="Calibri" w:eastAsia="Microsoft YaHei"/>
          <w:color w:val="1C2A3D"/>
          <w:sz w:val="22"/>
          <w:szCs w:val="22"/>
        </w:rPr>
        <w:t xml:space="preserve">إطار backtesting (Python). Cerebro engine + Strategy + Analyzers + Sizers. VIXOR لديه محرك أبسط في backtest/engine/</w:t>
      </w:r>
    </w:p>
    <w:p>
      <w:pPr>
        <w:pBdr>
          <w:left w:val="single" w:color="1B6B7A" w:sz="6" w:space="8"/>
        </w:pBdr>
        <w:spacing w:after="80" w:line="312"/>
        <w:ind w:left="300"/>
        <w:jc w:val="left"/>
      </w:pPr>
      <w:r>
        <w:rPr>
          <w:rFonts w:ascii="Calibri" w:eastAsia="SimHei"/>
          <w:b/>
          <w:bCs/>
          <w:color w:val="1B6B7A"/>
          <w:sz w:val="21"/>
          <w:szCs w:val="21"/>
        </w:rPr>
        <w:t xml:space="preserve">الاستلهام: </w:t>
      </w:r>
      <w:r>
        <w:rPr>
          <w:rFonts w:ascii="Calibri" w:eastAsia="Microsoft YaHei"/>
          <w:color w:val="1C2A3D"/>
          <w:sz w:val="21"/>
          <w:szCs w:val="21"/>
        </w:rPr>
        <w:t xml:space="preserve">Analyzer pattern لmetrics.ts, Sizer pattern لrisk-reward.ts, Observer لevent hooks</w:t>
      </w:r>
    </w:p>
    <w:p>
      <w:pPr>
        <w:pStyle w:val="Heading2"/>
        <w:spacing w:after="160" w:before="4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الفئة 5: الرسوم البيانية (Charts &amp; Visualization)</w:t>
      </w:r>
    </w:p>
    <w:p>
      <w:pPr>
        <w:pStyle w:val="Heading3"/>
        <w:spacing w:after="120" w:before="300"/>
      </w:pPr>
      <w:r>
        <w:rPr>
          <w:rFonts w:ascii="Calibri" w:eastAsia="SimHei"/>
          <w:b/>
          <w:bCs/>
          <w:color w:val="0F172A"/>
          <w:sz w:val="24"/>
          <w:szCs w:val="24"/>
        </w:rPr>
        <w:t xml:space="preserve">5.1 Recharts | تصنيف: A</w:t>
      </w:r>
    </w:p>
    <w:p>
      <w:pPr>
        <w:spacing w:after="100" w:line="312"/>
        <w:jc w:val="left"/>
      </w:pPr>
      <w:r>
        <w:rPr>
          <w:rFonts w:ascii="Calibri" w:eastAsia="Microsoft YaHei"/>
          <w:color w:val="1C2A3D"/>
          <w:sz w:val="22"/>
          <w:szCs w:val="22"/>
        </w:rPr>
        <w:t xml:space="preserve">مكتبة React charts. مدمج عبر recharts ^2.15.4. يستخدم لـ MiniSparkline (Line) وEquityChart (AreaChart).</w:t>
      </w:r>
    </w:p>
    <w:p>
      <w:pPr>
        <w:pBdr>
          <w:left w:val="single" w:color="1B6B7A" w:sz="6" w:space="8"/>
        </w:pBdr>
        <w:spacing w:after="80" w:line="312"/>
        <w:ind w:left="300"/>
        <w:jc w:val="left"/>
      </w:pPr>
      <w:r>
        <w:rPr>
          <w:rFonts w:ascii="Calibri" w:eastAsia="SimHei"/>
          <w:b/>
          <w:bCs/>
          <w:color w:val="1B6B7A"/>
          <w:sz w:val="21"/>
          <w:szCs w:val="21"/>
        </w:rPr>
        <w:t xml:space="preserve">الملفات: </w:t>
      </w:r>
      <w:r>
        <w:rPr>
          <w:rFonts w:ascii="Calibri" w:eastAsia="Microsoft YaHei"/>
          <w:color w:val="1C2A3D"/>
          <w:sz w:val="21"/>
          <w:szCs w:val="21"/>
        </w:rPr>
        <w:t xml:space="preserve">MiniSparkline.tsx, EquityChart.tsx, ui/chart.tsx (shadcn wrappers)</w:t>
      </w:r>
    </w:p>
    <w:p>
      <w:pPr>
        <w:pStyle w:val="Heading3"/>
        <w:spacing w:after="120" w:before="300"/>
      </w:pPr>
      <w:r>
        <w:rPr>
          <w:rFonts w:ascii="Calibri" w:eastAsia="SimHei"/>
          <w:b/>
          <w:bCs/>
          <w:color w:val="0F172A"/>
          <w:sz w:val="24"/>
          <w:szCs w:val="24"/>
        </w:rPr>
        <w:t xml:space="preserve">5.2 ECharts | تصنيف: D</w:t>
      </w:r>
    </w:p>
    <w:p>
      <w:pPr>
        <w:spacing w:after="100" w:line="312"/>
        <w:jc w:val="left"/>
      </w:pPr>
      <w:r>
        <w:rPr>
          <w:rFonts w:ascii="Calibri" w:eastAsia="Microsoft YaHei"/>
          <w:color w:val="1C2A3D"/>
          <w:sz w:val="22"/>
          <w:szCs w:val="22"/>
        </w:rPr>
        <w:t xml:space="preserve">مكتبة Apache. heatmap, treemap, sankey, graph, radar. يمكن إضافته للداشبوردات المتقدمة. العيب: حجم 1MB+.</w:t>
      </w:r>
    </w:p>
    <w:p>
      <w:pPr>
        <w:pBdr>
          <w:left w:val="single" w:color="1B6B7A" w:sz="6" w:space="8"/>
        </w:pBdr>
        <w:spacing w:after="80" w:line="312"/>
        <w:ind w:left="300"/>
        <w:jc w:val="left"/>
      </w:pPr>
      <w:r>
        <w:rPr>
          <w:rFonts w:ascii="Calibri" w:eastAsia="SimHei"/>
          <w:b/>
          <w:bCs/>
          <w:color w:val="1B6B7A"/>
          <w:sz w:val="21"/>
          <w:szCs w:val="21"/>
        </w:rPr>
        <w:t xml:space="preserve">التكامل المقترح: </w:t>
      </w:r>
      <w:r>
        <w:rPr>
          <w:rFonts w:ascii="Calibri" w:eastAsia="Microsoft YaHei"/>
          <w:color w:val="1C2A3D"/>
          <w:sz w:val="21"/>
          <w:szCs w:val="21"/>
        </w:rPr>
        <w:t xml:space="preserve">إضافة لصفحات: radar.tsx, pnl.tsx, portfolio.tsx, whale.tsx (network graph)</w:t>
      </w:r>
    </w:p>
    <w:p>
      <w:pPr>
        <w:pStyle w:val="Heading3"/>
        <w:spacing w:after="120" w:before="300"/>
      </w:pPr>
      <w:r>
        <w:rPr>
          <w:rFonts w:ascii="Calibri" w:eastAsia="SimHei"/>
          <w:b/>
          <w:bCs/>
          <w:color w:val="0F172A"/>
          <w:sz w:val="24"/>
          <w:szCs w:val="24"/>
        </w:rPr>
        <w:t xml:space="preserve">5.3 TradingView Embed Widgets | تصنيف: A</w:t>
      </w:r>
    </w:p>
    <w:p>
      <w:pPr>
        <w:spacing w:after="100" w:line="312"/>
        <w:jc w:val="left"/>
      </w:pPr>
      <w:r>
        <w:rPr>
          <w:rFonts w:ascii="Calibri" w:eastAsia="Microsoft YaHei"/>
          <w:color w:val="1C2A3D"/>
          <w:sz w:val="22"/>
          <w:szCs w:val="22"/>
        </w:rPr>
        <w:t xml:space="preserve">مدمج عبر 4 مكونات: TradingViewChart.tsx (full widget), TradingViewMiniChart.tsx, TradingViewTechAnalysis.tsx, TradingViewTickerTape.tsx.</w:t>
      </w:r>
    </w:p>
    <w:p>
      <w:pPr>
        <w:pBdr>
          <w:left w:val="single" w:color="1B6B7A" w:sz="6" w:space="8"/>
        </w:pBdr>
        <w:spacing w:after="80" w:line="312"/>
        <w:ind w:left="300"/>
        <w:jc w:val="left"/>
      </w:pPr>
      <w:r>
        <w:rPr>
          <w:rFonts w:ascii="Calibri" w:eastAsia="SimHei"/>
          <w:b/>
          <w:bCs/>
          <w:color w:val="1B6B7A"/>
          <w:sz w:val="21"/>
          <w:szCs w:val="21"/>
        </w:rPr>
        <w:t xml:space="preserve">الملفات: </w:t>
      </w:r>
      <w:r>
        <w:rPr>
          <w:rFonts w:ascii="Calibri" w:eastAsia="Microsoft YaHei"/>
          <w:color w:val="1C2A3D"/>
          <w:sz w:val="21"/>
          <w:szCs w:val="21"/>
        </w:rPr>
        <w:t xml:space="preserve">يغذي charts.tsx, token.$symbol.tsx, radar.tsx</w:t>
      </w:r>
    </w:p>
    <w:p>
      <w:pPr>
        <w:pStyle w:val="Heading2"/>
        <w:spacing w:after="160" w:before="4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الفئة 6: Frontend &amp; UI</w:t>
      </w:r>
    </w:p>
    <w:p>
      <w:pPr>
        <w:pStyle w:val="Heading3"/>
        <w:spacing w:after="120" w:before="300"/>
      </w:pPr>
      <w:r>
        <w:rPr>
          <w:rFonts w:ascii="Calibri" w:eastAsia="SimHei"/>
          <w:b/>
          <w:bCs/>
          <w:color w:val="0F172A"/>
          <w:sz w:val="24"/>
          <w:szCs w:val="24"/>
        </w:rPr>
        <w:t xml:space="preserve">6.1 shadcn/ui + Radix UI | تصنيف: A</w:t>
      </w:r>
    </w:p>
    <w:p>
      <w:pPr>
        <w:spacing w:after="100" w:line="312"/>
        <w:jc w:val="left"/>
      </w:pPr>
      <w:r>
        <w:rPr>
          <w:rFonts w:ascii="Calibri" w:eastAsia="Microsoft YaHei"/>
          <w:color w:val="1C2A3D"/>
          <w:sz w:val="22"/>
          <w:szCs w:val="22"/>
        </w:rPr>
        <w:t xml:space="preserve">مدمج: shadcn/ui (45 مكون) + Radix UI (22 packages) + Framer Motion ^12.40.0 + Tailwind CSS 4.2. هذا هو stack الـ UI الأساسي.</w:t>
      </w:r>
    </w:p>
    <w:p>
      <w:pPr>
        <w:pBdr>
          <w:left w:val="single" w:color="1B6B7A" w:sz="6" w:space="8"/>
        </w:pBdr>
        <w:spacing w:after="80" w:line="312"/>
        <w:ind w:left="300"/>
        <w:jc w:val="left"/>
      </w:pPr>
      <w:r>
        <w:rPr>
          <w:rFonts w:ascii="Calibri" w:eastAsia="SimHei"/>
          <w:b/>
          <w:bCs/>
          <w:color w:val="1B6B7A"/>
          <w:sz w:val="21"/>
          <w:szCs w:val="21"/>
        </w:rPr>
        <w:t xml:space="preserve">الملفات: </w:t>
      </w:r>
      <w:r>
        <w:rPr>
          <w:rFonts w:ascii="Calibri" w:eastAsia="Microsoft YaHei"/>
          <w:color w:val="1C2A3D"/>
          <w:sz w:val="21"/>
          <w:szCs w:val="21"/>
        </w:rPr>
        <w:t xml:space="preserve">components/ui/ (45 files), components/vixor/ (44 files), styles.css</w:t>
      </w:r>
    </w:p>
    <w:p>
      <w:pPr>
        <w:pStyle w:val="Heading3"/>
        <w:spacing w:after="120" w:before="300"/>
      </w:pPr>
      <w:r>
        <w:rPr>
          <w:rFonts w:ascii="Calibri" w:eastAsia="SimHei"/>
          <w:b/>
          <w:bCs/>
          <w:color w:val="0F172A"/>
          <w:sz w:val="24"/>
          <w:szCs w:val="24"/>
        </w:rPr>
        <w:t xml:space="preserve">6.2 TanStack Query + Router + Virtual | تصنيف: A</w:t>
      </w:r>
    </w:p>
    <w:p>
      <w:pPr>
        <w:spacing w:after="100" w:line="312"/>
        <w:jc w:val="left"/>
      </w:pPr>
      <w:r>
        <w:rPr>
          <w:rFonts w:ascii="Calibri" w:eastAsia="Microsoft YaHei"/>
          <w:color w:val="1C2A3D"/>
          <w:sz w:val="22"/>
          <w:szCs w:val="22"/>
        </w:rPr>
        <w:t xml:space="preserve">مدمج: @tanstack/react-query ^5.83, @tanstack/react-router 1.170, @tanstack/react-start 1.168, @tanstack/react-virtual ^3.14. هذا هو stack الـ data/routing الأساسي.</w:t>
      </w:r>
    </w:p>
    <w:p>
      <w:pPr>
        <w:pBdr>
          <w:left w:val="single" w:color="1B6B7A" w:sz="6" w:space="8"/>
        </w:pBdr>
        <w:spacing w:after="80" w:line="312"/>
        <w:ind w:left="300"/>
        <w:jc w:val="left"/>
      </w:pPr>
      <w:r>
        <w:rPr>
          <w:rFonts w:ascii="Calibri" w:eastAsia="SimHei"/>
          <w:b/>
          <w:bCs/>
          <w:color w:val="1B6B7A"/>
          <w:sz w:val="21"/>
          <w:szCs w:val="21"/>
        </w:rPr>
        <w:t xml:space="preserve">الملفات: </w:t>
      </w:r>
      <w:r>
        <w:rPr>
          <w:rFonts w:ascii="Calibri" w:eastAsia="Microsoft YaHei"/>
          <w:color w:val="1C2A3D"/>
          <w:sz w:val="21"/>
          <w:szCs w:val="21"/>
        </w:rPr>
        <w:t xml:space="preserve">routes/ (41 files), shared/hooks/use-stable-server-fn.ts, shared/utils/virtual-list.tsx</w:t>
      </w:r>
    </w:p>
    <w:p>
      <w:pPr>
        <w:pStyle w:val="Heading3"/>
        <w:spacing w:after="120" w:before="300"/>
      </w:pPr>
      <w:r>
        <w:rPr>
          <w:rFonts w:ascii="Calibri" w:eastAsia="SimHei"/>
          <w:b/>
          <w:bCs/>
          <w:color w:val="0F172A"/>
          <w:sz w:val="24"/>
          <w:szCs w:val="24"/>
        </w:rPr>
        <w:t xml:space="preserve">6.3 Zustand | تصنيف: A</w:t>
      </w:r>
    </w:p>
    <w:p>
      <w:pPr>
        <w:spacing w:after="100" w:line="312"/>
        <w:jc w:val="left"/>
      </w:pPr>
      <w:r>
        <w:rPr>
          <w:rFonts w:ascii="Calibri" w:eastAsia="Microsoft YaHei"/>
          <w:color w:val="1C2A3D"/>
          <w:sz w:val="22"/>
          <w:szCs w:val="22"/>
        </w:rPr>
        <w:t xml:space="preserve">مدمج عبر zustand ^5.0.14. يستخدم لـ client state management. مكمل لـ TanStack Query (server state).</w:t>
      </w:r>
    </w:p>
    <w:p>
      <w:pPr>
        <w:pStyle w:val="Heading3"/>
        <w:spacing w:after="120" w:before="300"/>
      </w:pPr>
      <w:r>
        <w:rPr>
          <w:rFonts w:ascii="Calibri" w:eastAsia="SimHei"/>
          <w:b/>
          <w:bCs/>
          <w:color w:val="0F172A"/>
          <w:sz w:val="24"/>
          <w:szCs w:val="24"/>
        </w:rPr>
        <w:t xml:space="preserve">6.4 Tremor | تصنيف: E</w:t>
      </w:r>
    </w:p>
    <w:p>
      <w:pPr>
        <w:spacing w:after="100" w:line="312"/>
        <w:jc w:val="left"/>
      </w:pPr>
      <w:r>
        <w:rPr>
          <w:rFonts w:ascii="Calibri" w:eastAsia="Microsoft YaHei"/>
          <w:color w:val="1C2A3D"/>
          <w:sz w:val="22"/>
          <w:szCs w:val="22"/>
        </w:rPr>
        <w:t xml:space="preserve">React dashboard components. مبني على Tailwind. لا يحتاج: shadcn/ui + Recharts يغطيان كل احتياجات الداشبورد.</w:t>
      </w:r>
    </w:p>
    <w:p>
      <w:pPr>
        <w:pStyle w:val="Heading2"/>
        <w:spacing w:after="160" w:before="4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الفئة 7: AI &amp; Agent Frameworks</w:t>
      </w:r>
    </w:p>
    <w:p>
      <w:pPr>
        <w:pStyle w:val="Heading3"/>
        <w:spacing w:after="120" w:before="300"/>
      </w:pPr>
      <w:r>
        <w:rPr>
          <w:rFonts w:ascii="Calibri" w:eastAsia="SimHei"/>
          <w:b/>
          <w:bCs/>
          <w:color w:val="0F172A"/>
          <w:sz w:val="24"/>
          <w:szCs w:val="24"/>
        </w:rPr>
        <w:t xml:space="preserve">7.1 Vercel AI SDK v6 | تصنيف: A</w:t>
      </w:r>
    </w:p>
    <w:p>
      <w:pPr>
        <w:spacing w:after="100" w:line="312"/>
        <w:jc w:val="left"/>
      </w:pPr>
      <w:r>
        <w:rPr>
          <w:rFonts w:ascii="Calibri" w:eastAsia="Microsoft YaHei"/>
          <w:color w:val="1C2A3D"/>
          <w:sz w:val="22"/>
          <w:szCs w:val="22"/>
        </w:rPr>
        <w:t xml:space="preserve">مدمج عبر ai ^6.0.224. يستخدم في MOXI (moxi/functions.ts), Debate (debate/engine/), Chart Intelligence, Experiment. مع @ai-sdk/openai, @ai-sdk/google, @ai-sdk/openai-compatible.</w:t>
      </w:r>
    </w:p>
    <w:p>
      <w:pPr>
        <w:pBdr>
          <w:left w:val="single" w:color="1B6B7A" w:sz="6" w:space="8"/>
        </w:pBdr>
        <w:spacing w:after="80" w:line="312"/>
        <w:ind w:left="300"/>
        <w:jc w:val="left"/>
      </w:pPr>
      <w:r>
        <w:rPr>
          <w:rFonts w:ascii="Calibri" w:eastAsia="SimHei"/>
          <w:b/>
          <w:bCs/>
          <w:color w:val="1B6B7A"/>
          <w:sz w:val="21"/>
          <w:szCs w:val="21"/>
        </w:rPr>
        <w:t xml:space="preserve">الملفات: </w:t>
      </w:r>
      <w:r>
        <w:rPr>
          <w:rFonts w:ascii="Calibri" w:eastAsia="Microsoft YaHei"/>
          <w:color w:val="1C2A3D"/>
          <w:sz w:val="21"/>
          <w:szCs w:val="21"/>
        </w:rPr>
        <w:t xml:space="preserve">moxi/server/agent.ts, debate/engine/debate.engine.ts, chart-intelligence/chart-vision.ts, experiment/runner.ts</w:t>
      </w:r>
    </w:p>
    <w:p>
      <w:pPr>
        <w:pStyle w:val="Heading3"/>
        <w:spacing w:after="120" w:before="300"/>
      </w:pPr>
      <w:r>
        <w:rPr>
          <w:rFonts w:ascii="Calibri" w:eastAsia="SimHei"/>
          <w:b/>
          <w:bCs/>
          <w:color w:val="0F172A"/>
          <w:sz w:val="24"/>
          <w:szCs w:val="24"/>
        </w:rPr>
        <w:t xml:space="preserve">7.2 Mastra | تصنيف: B</w:t>
      </w:r>
    </w:p>
    <w:p>
      <w:pPr>
        <w:spacing w:after="100" w:line="312"/>
        <w:jc w:val="left"/>
      </w:pPr>
      <w:r>
        <w:rPr>
          <w:rFonts w:ascii="Calibri" w:eastAsia="Microsoft YaHei"/>
          <w:color w:val="1C2A3D"/>
          <w:sz w:val="22"/>
          <w:szCs w:val="22"/>
        </w:rPr>
        <w:t xml:space="preserve">إطار AI agent (TypeScript). يدعم tool-use, memory, RAG, workflow. يمكن أن يحل محل Vercel AI SDK لـ MOXI agents لأنه مصمم لـ multi-agent workflows.</w:t>
      </w:r>
    </w:p>
    <w:p>
      <w:pPr>
        <w:pBdr>
          <w:left w:val="single" w:color="1B6B7A" w:sz="6" w:space="8"/>
        </w:pBdr>
        <w:spacing w:after="80" w:line="312"/>
        <w:ind w:left="300"/>
        <w:jc w:val="left"/>
      </w:pPr>
      <w:r>
        <w:rPr>
          <w:rFonts w:ascii="Calibri" w:eastAsia="SimHei"/>
          <w:b/>
          <w:bCs/>
          <w:color w:val="1B6B7A"/>
          <w:sz w:val="21"/>
          <w:szCs w:val="21"/>
        </w:rPr>
        <w:t xml:space="preserve">التكامل: </w:t>
      </w:r>
      <w:r>
        <w:rPr>
          <w:rFonts w:ascii="Calibri" w:eastAsia="Microsoft YaHei"/>
          <w:color w:val="1C2A3D"/>
          <w:sz w:val="21"/>
          <w:szCs w:val="21"/>
        </w:rPr>
        <w:t xml:space="preserve">تحسين moxi/agents.ts + moxi/server/*.agent.ts + debate/engine/ باستخدام Mastra tool-use</w:t>
      </w:r>
    </w:p>
    <w:p>
      <w:pPr>
        <w:pStyle w:val="Heading3"/>
        <w:spacing w:after="120" w:before="300"/>
      </w:pPr>
      <w:r>
        <w:rPr>
          <w:rFonts w:ascii="Calibri" w:eastAsia="SimHei"/>
          <w:b/>
          <w:bCs/>
          <w:color w:val="0F172A"/>
          <w:sz w:val="24"/>
          <w:szCs w:val="24"/>
        </w:rPr>
        <w:t xml:space="preserve">7.3 CrewAI | تصنيف: C</w:t>
      </w:r>
    </w:p>
    <w:p>
      <w:pPr>
        <w:spacing w:after="100" w:line="312"/>
        <w:jc w:val="left"/>
      </w:pPr>
      <w:r>
        <w:rPr>
          <w:rFonts w:ascii="Calibri" w:eastAsia="Microsoft YaHei"/>
          <w:color w:val="1C2A3D"/>
          <w:sz w:val="22"/>
          <w:szCs w:val="22"/>
        </w:rPr>
        <w:t xml:space="preserve">إطار multi-agent (Python). يدعم task delegation, role-based agents, sequential/parallel execution. مفيد لتحسين debate engine وMOXI agent dispatch.</w:t>
      </w:r>
    </w:p>
    <w:p>
      <w:pPr>
        <w:pBdr>
          <w:left w:val="single" w:color="1B6B7A" w:sz="6" w:space="8"/>
        </w:pBdr>
        <w:spacing w:after="80" w:line="312"/>
        <w:ind w:left="300"/>
        <w:jc w:val="left"/>
      </w:pPr>
      <w:r>
        <w:rPr>
          <w:rFonts w:ascii="Calibri" w:eastAsia="SimHei"/>
          <w:b/>
          <w:bCs/>
          <w:color w:val="1B6B7A"/>
          <w:sz w:val="21"/>
          <w:szCs w:val="21"/>
        </w:rPr>
        <w:t xml:space="preserve">الاستلهام: </w:t>
      </w:r>
      <w:r>
        <w:rPr>
          <w:rFonts w:ascii="Calibri" w:eastAsia="Microsoft YaHei"/>
          <w:color w:val="1C2A3D"/>
          <w:sz w:val="21"/>
          <w:szCs w:val="21"/>
        </w:rPr>
        <w:t xml:space="preserve">multi-agent patterns لdebate/engine/debate.engine.ts, role dispatch لmoxi/agents.ts</w:t>
      </w:r>
    </w:p>
    <w:p>
      <w:pPr>
        <w:pStyle w:val="Heading3"/>
        <w:spacing w:after="120" w:before="300"/>
      </w:pPr>
      <w:r>
        <w:rPr>
          <w:rFonts w:ascii="Calibri" w:eastAsia="SimHei"/>
          <w:b/>
          <w:bCs/>
          <w:color w:val="0F172A"/>
          <w:sz w:val="24"/>
          <w:szCs w:val="24"/>
        </w:rPr>
        <w:t xml:space="preserve">7.4 LangChain | تصنيف: E</w:t>
      </w:r>
    </w:p>
    <w:p>
      <w:pPr>
        <w:spacing w:after="100" w:line="312"/>
        <w:jc w:val="left"/>
      </w:pPr>
      <w:r>
        <w:rPr>
          <w:rFonts w:ascii="Calibri" w:eastAsia="Microsoft YaHei"/>
          <w:color w:val="1C2A3D"/>
          <w:sz w:val="22"/>
          <w:szCs w:val="22"/>
        </w:rPr>
        <w:t xml:space="preserve">إطار LLM orchestration. معقد جداً لاحتياجات VIXOR. Vercel AI SDK + Mastra أبسط وأكثر TypeScript-native.</w:t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Calibri" w:eastAsia="SimHei"/>
          <w:b/>
          <w:bCs/>
          <w:color w:val="0F172A"/>
          <w:sz w:val="32"/>
          <w:szCs w:val="32"/>
        </w:rPr>
        <w:t xml:space="preserve">القطرية الثانية: مصفوفة التكامل (Integration Matrix)</w:t>
      </w:r>
    </w:p>
    <w:p>
      <w:pPr>
        <w:spacing w:after="100" w:line="312"/>
        <w:jc w:val="left"/>
      </w:pPr>
      <w:r>
        <w:rPr>
          <w:rFonts w:ascii="Calibri" w:eastAsia="Microsoft YaHei"/>
          <w:color w:val="1C2A3D"/>
          <w:sz w:val="22"/>
          <w:szCs w:val="22"/>
        </w:rPr>
        <w:t xml:space="preserve">جدول A-E classification مع ربط كل مشروع بالملفات المحددة في VIXOR.</w:t>
      </w:r>
    </w:p>
    <w:p>
      <w:pPr>
        <w:pStyle w:val="Heading2"/>
        <w:spacing w:after="160" w:before="4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A = تكامل مباشر (14 مشروع)</w:t>
      </w:r>
    </w:p>
    <w:tbl>
      <w:tblPr>
        <w:tblW w:type="pct" w:w="100%"/>
        <w:tblBorders>
          <w:top w:val="single" w:color="5B6B7D" w:sz="4"/>
          <w:left w:val="single" w:color="5B6B7D" w:sz="4"/>
          <w:bottom w:val="single" w:color="5B6B7D" w:sz="4"/>
          <w:right w:val="single" w:color="5B6B7D" w:sz="4"/>
          <w:insideH w:val="single" w:color="5B6B7D" w:sz="4"/>
          <w:insideV w:val="single" w:color="5B6B7D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</w:tcPr>
          <w:p>
            <w:pPr>
              <w:spacing w:after="50" w:before="50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المشروع</w:t>
            </w:r>
          </w:p>
        </w:tc>
        <w:tc>
          <w:tcPr>
            <w:tcW w:type="pct" w:w="33%"/>
            <w:shd w:fill="1B6B7A" w:val="clear"/>
          </w:tcPr>
          <w:p>
            <w:pPr>
              <w:spacing w:after="50" w:before="50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الحالة</w:t>
            </w:r>
          </w:p>
        </w:tc>
        <w:tc>
          <w:tcPr>
            <w:tcW w:type="pct" w:w="33%"/>
            <w:shd w:fill="1B6B7A" w:val="clear"/>
          </w:tcPr>
          <w:p>
            <w:pPr>
              <w:spacing w:after="50" w:before="50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الملفات المتأثرة</w:t>
            </w:r>
          </w:p>
        </w:tc>
      </w:tr>
      <w:tr>
        <w:trPr>
          <w:cantSplit/>
        </w:trP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CCXT v4.5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مدمج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trading/gateway/adapters/*, arbitrage/exchanges/*</w:t>
            </w:r>
          </w:p>
        </w:tc>
      </w:tr>
      <w:tr>
        <w:trPr>
          <w:cantSplit/>
        </w:trPr>
        <w:tc>
          <w:tcPr>
            <w:tcW w:type="pct" w:w="33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Lightweight Charts</w:t>
            </w:r>
          </w:p>
        </w:tc>
        <w:tc>
          <w:tcPr>
            <w:tcW w:type="pct" w:w="33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مدمج</w:t>
            </w:r>
          </w:p>
        </w:tc>
        <w:tc>
          <w:tcPr>
            <w:tcW w:type="pct" w:w="33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CandlestickChart.tsx, DexChart.tsx</w:t>
            </w:r>
          </w:p>
        </w:tc>
      </w:tr>
      <w:tr>
        <w:trPr>
          <w:cantSplit/>
        </w:trP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Recharts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مدمج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MiniSparkline.tsx, EquityChart.tsx, ui/chart.tsx</w:t>
            </w:r>
          </w:p>
        </w:tc>
      </w:tr>
      <w:tr>
        <w:trPr>
          <w:cantSplit/>
        </w:trPr>
        <w:tc>
          <w:tcPr>
            <w:tcW w:type="pct" w:w="33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TradingView Widgets</w:t>
            </w:r>
          </w:p>
        </w:tc>
        <w:tc>
          <w:tcPr>
            <w:tcW w:type="pct" w:w="33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مدمج</w:t>
            </w:r>
          </w:p>
        </w:tc>
        <w:tc>
          <w:tcPr>
            <w:tcW w:type="pct" w:w="33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TradingViewChart.tsx, MiniChart.tsx, TechAnalysis.tsx, TickerTape.tsx</w:t>
            </w:r>
          </w:p>
        </w:tc>
      </w:tr>
      <w:tr>
        <w:trPr>
          <w:cantSplit/>
        </w:trP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Birdeye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مدمج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discovery/clients/birdeye.client.ts</w:t>
            </w:r>
          </w:p>
        </w:tc>
      </w:tr>
      <w:tr>
        <w:trPr>
          <w:cantSplit/>
        </w:trPr>
        <w:tc>
          <w:tcPr>
            <w:tcW w:type="pct" w:w="33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LunarCrush</w:t>
            </w:r>
          </w:p>
        </w:tc>
        <w:tc>
          <w:tcPr>
            <w:tcW w:type="pct" w:w="33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مدمج</w:t>
            </w:r>
          </w:p>
        </w:tc>
        <w:tc>
          <w:tcPr>
            <w:tcW w:type="pct" w:w="33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discovery/clients/lunarcrush.client.ts</w:t>
            </w:r>
          </w:p>
        </w:tc>
      </w:tr>
      <w:tr>
        <w:trPr>
          <w:cantSplit/>
        </w:trP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DexScreener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مدمج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market-data/dexscreener*.ts, discovery/clients/dexscreener.client.ts</w:t>
            </w:r>
          </w:p>
        </w:tc>
      </w:tr>
      <w:tr>
        <w:trPr>
          <w:cantSplit/>
        </w:trPr>
        <w:tc>
          <w:tcPr>
            <w:tcW w:type="pct" w:w="33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Helius RPC</w:t>
            </w:r>
          </w:p>
        </w:tc>
        <w:tc>
          <w:tcPr>
            <w:tcW w:type="pct" w:w="33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مدمج</w:t>
            </w:r>
          </w:p>
        </w:tc>
        <w:tc>
          <w:tcPr>
            <w:tcW w:type="pct" w:w="33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market-data/helius-rpc.ts, discovery/clients/helius.client.ts</w:t>
            </w:r>
          </w:p>
        </w:tc>
      </w:tr>
      <w:tr>
        <w:trPr>
          <w:cantSplit/>
        </w:trP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Twitter/X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مدمج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discovery/clients/twitter.client.ts</w:t>
            </w:r>
          </w:p>
        </w:tc>
      </w:tr>
      <w:tr>
        <w:trPr>
          <w:cantSplit/>
        </w:trPr>
        <w:tc>
          <w:tcPr>
            <w:tcW w:type="pct" w:w="33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Mobula</w:t>
            </w:r>
          </w:p>
        </w:tc>
        <w:tc>
          <w:tcPr>
            <w:tcW w:type="pct" w:w="33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مدمج</w:t>
            </w:r>
          </w:p>
        </w:tc>
        <w:tc>
          <w:tcPr>
            <w:tcW w:type="pct" w:w="33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discovery/clients/mobula.client.ts</w:t>
            </w:r>
          </w:p>
        </w:tc>
      </w:tr>
      <w:tr>
        <w:trPr>
          <w:cantSplit/>
        </w:trP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Binance WS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مدمج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market-data/binance-ws.ts</w:t>
            </w:r>
          </w:p>
        </w:tc>
      </w:tr>
      <w:tr>
        <w:trPr>
          <w:cantSplit/>
        </w:trPr>
        <w:tc>
          <w:tcPr>
            <w:tcW w:type="pct" w:w="33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TwelveData</w:t>
            </w:r>
          </w:p>
        </w:tc>
        <w:tc>
          <w:tcPr>
            <w:tcW w:type="pct" w:w="33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مدمج</w:t>
            </w:r>
          </w:p>
        </w:tc>
        <w:tc>
          <w:tcPr>
            <w:tcW w:type="pct" w:w="33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market/server/twelvedata.ts</w:t>
            </w:r>
          </w:p>
        </w:tc>
      </w:tr>
      <w:tr>
        <w:trPr>
          <w:cantSplit/>
        </w:trP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Vercel AI SDK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مدمج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moxi/, debate/, chart-intelligence/, experiment/</w:t>
            </w:r>
          </w:p>
        </w:tc>
      </w:tr>
      <w:tr>
        <w:trPr>
          <w:cantSplit/>
        </w:trPr>
        <w:tc>
          <w:tcPr>
            <w:tcW w:type="pct" w:w="33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shadcn/ui + Radix</w:t>
            </w:r>
          </w:p>
        </w:tc>
        <w:tc>
          <w:tcPr>
            <w:tcW w:type="pct" w:w="33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مدمج</w:t>
            </w:r>
          </w:p>
        </w:tc>
        <w:tc>
          <w:tcPr>
            <w:tcW w:type="pct" w:w="33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components/ui/ (45), components/vixor/ (44)</w:t>
            </w:r>
          </w:p>
        </w:tc>
      </w:tr>
    </w:tbl>
    <w:p>
      <w:pPr>
        <w:pStyle w:val="Heading2"/>
        <w:spacing w:after="160" w:before="4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B = محول/خدمة (3 مشاريع)</w:t>
      </w:r>
    </w:p>
    <w:tbl>
      <w:tblPr>
        <w:tblW w:type="pct" w:w="100%"/>
        <w:tblBorders>
          <w:top w:val="single" w:color="5B6B7D" w:sz="4"/>
          <w:left w:val="single" w:color="5B6B7D" w:sz="4"/>
          <w:bottom w:val="single" w:color="5B6B7D" w:sz="4"/>
          <w:right w:val="single" w:color="5B6B7D" w:sz="4"/>
          <w:insideH w:val="single" w:color="5B6B7D" w:sz="4"/>
          <w:insideV w:val="single" w:color="5B6B7D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1B6B7A" w:val="clear"/>
          </w:tcPr>
          <w:p>
            <w:pPr>
              <w:spacing w:after="50" w:before="50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المشروع</w:t>
            </w:r>
          </w:p>
        </w:tc>
        <w:tc>
          <w:tcPr>
            <w:tcW w:type="pct" w:w="25%"/>
            <w:shd w:fill="1B6B7A" w:val="clear"/>
          </w:tcPr>
          <w:p>
            <w:pPr>
              <w:spacing w:after="50" w:before="50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الإضافة</w:t>
            </w:r>
          </w:p>
        </w:tc>
        <w:tc>
          <w:tcPr>
            <w:tcW w:type="pct" w:w="25%"/>
            <w:shd w:fill="1B6B7A" w:val="clear"/>
          </w:tcPr>
          <w:p>
            <w:pPr>
              <w:spacing w:after="50" w:before="50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الملف الجديد</w:t>
            </w:r>
          </w:p>
        </w:tc>
        <w:tc>
          <w:tcPr>
            <w:tcW w:type="pct" w:w="25%"/>
            <w:shd w:fill="1B6B7A" w:val="clear"/>
          </w:tcPr>
          <w:p>
            <w:pPr>
              <w:spacing w:after="50" w:before="50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الصفحات المستفيدة</w:t>
            </w:r>
          </w:p>
        </w:tc>
      </w:tr>
      <w:tr>
        <w:trPr>
          <w:cantSplit/>
        </w:trP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DeFiLlama SDK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TVL/yield data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shared/market-data/defillama.client.ts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yield.tsx, curves.tsx, portfolio.tsx</w:t>
            </w:r>
          </w:p>
        </w:tc>
      </w:tr>
      <w:tr>
        <w:trPr>
          <w:cantSplit/>
        </w:trPr>
        <w:tc>
          <w:tcPr>
            <w:tcW w:type="pct" w:w="25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tulip node</w:t>
            </w:r>
          </w:p>
        </w:tc>
        <w:tc>
          <w:tcPr>
            <w:tcW w:type="pct" w:w="25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مؤشرات تقنية</w:t>
            </w:r>
          </w:p>
        </w:tc>
        <w:tc>
          <w:tcPr>
            <w:tcW w:type="pct" w:w="25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analysis/engine/indicators/tulip-adapter.ts</w:t>
            </w:r>
          </w:p>
        </w:tc>
        <w:tc>
          <w:tcPr>
            <w:tcW w:type="pct" w:w="25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analyze.tsx, analysis.$id.tsx</w:t>
            </w:r>
          </w:p>
        </w:tc>
      </w:tr>
      <w:tr>
        <w:trPr>
          <w:cantSplit/>
        </w:trP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Mastra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AI agent framework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moxi/mastra-adapter.ts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copilot, moxi agents</w:t>
            </w:r>
          </w:p>
        </w:tc>
      </w:tr>
    </w:tbl>
    <w:p>
      <w:pPr>
        <w:pStyle w:val="Heading2"/>
        <w:spacing w:after="160" w:before="4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C = مرجع هيكلي (4 مشاريع)</w:t>
      </w:r>
    </w:p>
    <w:tbl>
      <w:tblPr>
        <w:tblW w:type="pct" w:w="100%"/>
        <w:tblBorders>
          <w:top w:val="single" w:color="5B6B7D" w:sz="4"/>
          <w:left w:val="single" w:color="5B6B7D" w:sz="4"/>
          <w:bottom w:val="single" w:color="5B6B7D" w:sz="4"/>
          <w:right w:val="single" w:color="5B6B7D" w:sz="4"/>
          <w:insideH w:val="single" w:color="5B6B7D" w:sz="4"/>
          <w:insideV w:val="single" w:color="5B6B7D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</w:tcPr>
          <w:p>
            <w:pPr>
              <w:spacing w:after="50" w:before="50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المشروع</w:t>
            </w:r>
          </w:p>
        </w:tc>
        <w:tc>
          <w:tcPr>
            <w:tcW w:type="pct" w:w="33%"/>
            <w:shd w:fill="1B6B7A" w:val="clear"/>
          </w:tcPr>
          <w:p>
            <w:pPr>
              <w:spacing w:after="50" w:before="50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الاستلهام</w:t>
            </w:r>
          </w:p>
        </w:tc>
        <w:tc>
          <w:tcPr>
            <w:tcW w:type="pct" w:w="33%"/>
            <w:shd w:fill="1B6B7A" w:val="clear"/>
          </w:tcPr>
          <w:p>
            <w:pPr>
              <w:spacing w:after="50" w:before="50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الملفات المستفيدة</w:t>
            </w:r>
          </w:p>
        </w:tc>
      </w:tr>
      <w:tr>
        <w:trPr>
          <w:cantSplit/>
        </w:trP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Hummingbot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pure-function strategies, Connector pattern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arbitrage/strategies/base.ts, trading/gateway/adapters/</w:t>
            </w:r>
          </w:p>
        </w:tc>
      </w:tr>
      <w:tr>
        <w:trPr>
          <w:cantSplit/>
        </w:trPr>
        <w:tc>
          <w:tcPr>
            <w:tcW w:type="pct" w:w="33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FreqTrade</w:t>
            </w:r>
          </w:p>
        </w:tc>
        <w:tc>
          <w:tcPr>
            <w:tcW w:type="pct" w:w="33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backtesting architecture, strategy lifecycle</w:t>
            </w:r>
          </w:p>
        </w:tc>
        <w:tc>
          <w:tcPr>
            <w:tcW w:type="pct" w:w="33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backtest/engine/*, strategy/runtime/*</w:t>
            </w:r>
          </w:p>
        </w:tc>
      </w:tr>
      <w:tr>
        <w:trPr>
          <w:cantSplit/>
        </w:trP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Backtrader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Analyzer, Sizer, Observer patterns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backtest/engine/metrics.ts, analysis/engine/risk/risk-reward.ts</w:t>
            </w:r>
          </w:p>
        </w:tc>
      </w:tr>
      <w:tr>
        <w:trPr>
          <w:cantSplit/>
        </w:trPr>
        <w:tc>
          <w:tcPr>
            <w:tcW w:type="pct" w:w="33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CrewAI</w:t>
            </w:r>
          </w:p>
        </w:tc>
        <w:tc>
          <w:tcPr>
            <w:tcW w:type="pct" w:w="33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multi-agent, role dispatch</w:t>
            </w:r>
          </w:p>
        </w:tc>
        <w:tc>
          <w:tcPr>
            <w:tcW w:type="pct" w:w="33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debate/engine/debate.engine.ts, moxi/agents.ts</w:t>
            </w:r>
          </w:p>
        </w:tc>
      </w:tr>
    </w:tbl>
    <w:p>
      <w:pPr>
        <w:pStyle w:val="Heading2"/>
        <w:spacing w:after="160" w:before="4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D = مرجع UX (1 مشروع)</w:t>
      </w:r>
    </w:p>
    <w:tbl>
      <w:tblPr>
        <w:tblW w:type="pct" w:w="100%"/>
        <w:tblBorders>
          <w:top w:val="single" w:color="5B6B7D" w:sz="4"/>
          <w:left w:val="single" w:color="5B6B7D" w:sz="4"/>
          <w:bottom w:val="single" w:color="5B6B7D" w:sz="4"/>
          <w:right w:val="single" w:color="5B6B7D" w:sz="4"/>
          <w:insideH w:val="single" w:color="5B6B7D" w:sz="4"/>
          <w:insideV w:val="single" w:color="5B6B7D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</w:tcPr>
          <w:p>
            <w:pPr>
              <w:spacing w:after="50" w:before="50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المشروع</w:t>
            </w:r>
          </w:p>
        </w:tc>
        <w:tc>
          <w:tcPr>
            <w:tcW w:type="pct" w:w="33%"/>
            <w:shd w:fill="1B6B7A" w:val="clear"/>
          </w:tcPr>
          <w:p>
            <w:pPr>
              <w:spacing w:after="50" w:before="50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الاستلهام</w:t>
            </w:r>
          </w:p>
        </w:tc>
        <w:tc>
          <w:tcPr>
            <w:tcW w:type="pct" w:w="33%"/>
            <w:shd w:fill="1B6B7A" w:val="clear"/>
          </w:tcPr>
          <w:p>
            <w:pPr>
              <w:spacing w:after="50" w:before="50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الصفحات</w:t>
            </w:r>
          </w:p>
        </w:tc>
      </w:tr>
      <w:tr>
        <w:trPr>
          <w:cantSplit/>
        </w:trPr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ECharts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heatmap, treemap, sankey, radar</w:t>
            </w:r>
          </w:p>
        </w:tc>
        <w:tc>
          <w:tcPr>
            <w:tcW w:type="pct" w:w="33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radar.tsx, pnl.tsx, portfolio.tsx, whale.tsx</w:t>
            </w:r>
          </w:p>
        </w:tc>
      </w:tr>
    </w:tbl>
    <w:p>
      <w:pPr>
        <w:pStyle w:val="Heading2"/>
        <w:spacing w:after="160" w:before="4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E = لا يُستخدم (2 مشروع)</w:t>
      </w:r>
    </w:p>
    <w:tbl>
      <w:tblPr>
        <w:tblW w:type="pct" w:w="100%"/>
        <w:tblBorders>
          <w:top w:val="single" w:color="5B6B7D" w:sz="4"/>
          <w:left w:val="single" w:color="5B6B7D" w:sz="4"/>
          <w:bottom w:val="single" w:color="5B6B7D" w:sz="4"/>
          <w:right w:val="single" w:color="5B6B7D" w:sz="4"/>
          <w:insideH w:val="single" w:color="5B6B7D" w:sz="4"/>
          <w:insideV w:val="single" w:color="5B6B7D" w:sz="4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1B6B7A" w:val="clear"/>
          </w:tcPr>
          <w:p>
            <w:pPr>
              <w:spacing w:after="50" w:before="50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المشروع</w:t>
            </w:r>
          </w:p>
        </w:tc>
        <w:tc>
          <w:tcPr>
            <w:tcW w:type="pct" w:w="50%"/>
            <w:shd w:fill="1B6B7A" w:val="clear"/>
          </w:tcPr>
          <w:p>
            <w:pPr>
              <w:spacing w:after="50" w:before="50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السبب</w:t>
            </w:r>
          </w:p>
        </w:tc>
      </w:tr>
      <w:tr>
        <w:trPr>
          <w:cantSplit/>
        </w:trP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Tremor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shadcn/ui + Recharts يغطيان كل احتياج. إضافة مزدوجة للحزمة.</w:t>
            </w:r>
          </w:p>
        </w:tc>
      </w:tr>
      <w:tr>
        <w:trPr>
          <w:cantSplit/>
        </w:trPr>
        <w:tc>
          <w:tcPr>
            <w:tcW w:type="pct" w:w="50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LangChain</w:t>
            </w:r>
          </w:p>
        </w:tc>
        <w:tc>
          <w:tcPr>
            <w:tcW w:type="pct" w:w="50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معقد جداً. Vercel AI SDK + Mastra أبسط وTypeScript-native.</w:t>
            </w:r>
          </w:p>
        </w:tc>
      </w:tr>
    </w:tbl>
    <w:p>
      <w:r>
        <w:br w:type="page"/>
      </w:r>
    </w:p>
    <w:p>
      <w:pPr>
        <w:pStyle w:val="Heading1"/>
        <w:spacing w:after="200" w:before="500"/>
      </w:pPr>
      <w:r>
        <w:rPr>
          <w:rFonts w:ascii="Calibri" w:eastAsia="SimHei"/>
          <w:b/>
          <w:bCs/>
          <w:color w:val="0F172A"/>
          <w:sz w:val="32"/>
          <w:szCs w:val="32"/>
        </w:rPr>
        <w:t xml:space="preserve">القطرية الثالثة: الهيكل الجديد (Architecture V2)</w:t>
      </w:r>
    </w:p>
    <w:p>
      <w:pPr>
        <w:spacing w:after="100" w:line="312"/>
        <w:jc w:val="left"/>
      </w:pPr>
      <w:r>
        <w:rPr>
          <w:rFonts w:ascii="Calibri" w:eastAsia="Microsoft YaHei"/>
          <w:color w:val="1C2A3D"/>
          <w:sz w:val="22"/>
          <w:szCs w:val="22"/>
        </w:rPr>
        <w:t xml:space="preserve">هيكل VIXOR المقترح مع نقاط تكامل OSS. الهيكل الحالي: TanStack Start (SSR) + React 19 + Supabase + Vercel AI SDK. الهيكل V2 يضيف 3 طبقات جديدة.</w:t>
      </w:r>
    </w:p>
    <w:p>
      <w:pPr>
        <w:pStyle w:val="Heading2"/>
        <w:spacing w:after="160" w:before="4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الطبقة 1: Presentation (غير متغيرة)</w:t>
      </w:r>
    </w:p>
    <w:p>
      <w:pPr>
        <w:spacing w:after="100" w:line="312"/>
        <w:jc w:val="left"/>
      </w:pPr>
      <w:r>
        <w:rPr>
          <w:rFonts w:ascii="Calibri" w:eastAsia="Microsoft YaHei"/>
          <w:color w:val="1C2A3D"/>
          <w:sz w:val="22"/>
          <w:szCs w:val="22"/>
        </w:rPr>
        <w:t xml:space="preserve">Routes (41 file) + Components (44 vixor + 45 shadcn) + Hooks. لا تغيير هيكلي. التحسينات المقترحة: ECharts للداشبوردات المتقدمة (radar, pnl, whale).</w:t>
      </w:r>
    </w:p>
    <w:p>
      <w:pPr>
        <w:pStyle w:val="Heading2"/>
        <w:spacing w:after="160" w:before="4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الطبقة 2: Domain Logic (تحسين محدود)</w:t>
      </w:r>
    </w:p>
    <w:p>
      <w:pPr>
        <w:spacing w:after="100" w:line="312"/>
        <w:jc w:val="left"/>
      </w:pPr>
      <w:r>
        <w:rPr>
          <w:rFonts w:ascii="Calibri" w:eastAsia="Microsoft YaHei"/>
          <w:color w:val="1C2A3D"/>
          <w:sz w:val="22"/>
          <w:szCs w:val="22"/>
        </w:rPr>
        <w:t xml:space="preserve">18 domain موجودة. التغيير الأساسي: تحليل/engine/indicators/ يستخدم tulip-node بدل المؤشرات المخصصة. backtest/engine/ يستلهم Observer/Analyzer/Sizer من Backtrader.</w:t>
      </w:r>
    </w:p>
    <w:p>
      <w:pPr>
        <w:pStyle w:val="Heading2"/>
        <w:spacing w:after="160" w:before="4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الطبقة 3: Data &amp; Market (توسيع)</w:t>
      </w:r>
    </w:p>
    <w:p>
      <w:pPr>
        <w:spacing w:after="100" w:line="312"/>
        <w:jc w:val="left"/>
      </w:pPr>
      <w:r>
        <w:rPr>
          <w:rFonts w:ascii="Calibri" w:eastAsia="Microsoft YaHei"/>
          <w:color w:val="1C2A3D"/>
          <w:sz w:val="22"/>
          <w:szCs w:val="22"/>
        </w:rPr>
        <w:t xml:space="preserve">إضافة DeFiLlama client في shared/market-data/ لبيانات TVL/yield. تحسين price-resolver.ts ليدعم DeFiLlama كمصدر 7 لـ DeFi data. المصادر الحالية: Binance WS, DexScreener WS/REST, Helius RPC, Alchemy RPC, Finnhub, TwelveData.</w:t>
      </w:r>
    </w:p>
    <w:p>
      <w:pPr>
        <w:pStyle w:val="Heading2"/>
        <w:spacing w:after="160" w:before="4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الطبقة 4: Intelligence (تحسين MOXI)</w:t>
      </w:r>
    </w:p>
    <w:p>
      <w:pPr>
        <w:spacing w:after="100" w:line="312"/>
        <w:jc w:val="left"/>
      </w:pPr>
      <w:r>
        <w:rPr>
          <w:rFonts w:ascii="Calibri" w:eastAsia="Microsoft YaHei"/>
          <w:color w:val="1C2A3D"/>
          <w:sz w:val="22"/>
          <w:szCs w:val="22"/>
        </w:rPr>
        <w:t xml:space="preserve">تقييم Mastra كإطار multi-agent لـ MOXI. الملفات المتأثرة: moxi/agents.ts (agent registry), moxi/server/*.agent.ts (4 agents), debate/engine/ (multi-round debate). Mastra يوفر tool-use متكامل + memory + workflow مما يقلل الكود المخصص.</w:t>
      </w:r>
    </w:p>
    <w:p>
      <w:pPr>
        <w:pStyle w:val="Heading2"/>
        <w:spacing w:after="160" w:before="4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الطبقة 5: Infrastructure (غير متغيرة)</w:t>
      </w:r>
    </w:p>
    <w:p>
      <w:pPr>
        <w:spacing w:after="100" w:line="312"/>
        <w:jc w:val="left"/>
      </w:pPr>
      <w:r>
        <w:rPr>
          <w:rFonts w:ascii="Calibri" w:eastAsia="Microsoft YaHei"/>
          <w:color w:val="1C2A3D"/>
          <w:sz w:val="22"/>
          <w:szCs w:val="22"/>
        </w:rPr>
        <w:t xml:space="preserve">Supabase (DB+Auth+RLS), Upstash Redis (cache), Sentry (monitoring), Mixpanel (analytics), Vercel (deploy). لا تغيير. الملفات: shared/supabase/*, shared/cache.ts, shared/sentry.ts, shared/analytics.ts.</w:t>
      </w:r>
    </w:p>
    <w:p>
      <w:pPr>
        <w:pStyle w:val="Heading2"/>
        <w:spacing w:after="160" w:before="4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تدفق البيانات المقترح</w:t>
      </w:r>
    </w:p>
    <w:p>
      <w:pPr>
        <w:spacing w:after="100" w:line="312"/>
        <w:jc w:val="left"/>
      </w:pPr>
      <w:r>
        <w:rPr>
          <w:rFonts w:ascii="Calibri" w:eastAsia="Microsoft YaHei"/>
          <w:color w:val="1C2A3D"/>
          <w:sz w:val="22"/>
          <w:szCs w:val="22"/>
        </w:rPr>
        <w:t xml:space="preserve">التدفق الحالي: Client → TanStack Router → Server Functions (domain/) → Supabase. التدفق V2: نفس التدفق + Market Data Layer (shared/market-data/ + DeFiLlama) → Intelligence Layer (MOXI + Mastra).</w:t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Calibri" w:eastAsia="SimHei"/>
          <w:b/>
          <w:bCs/>
          <w:color w:val="0F172A"/>
          <w:sz w:val="32"/>
          <w:szCs w:val="32"/>
        </w:rPr>
        <w:t xml:space="preserve">القطرية الرابعة: هيكل الصفحات (Page Architecture V2)</w:t>
      </w:r>
    </w:p>
    <w:p>
      <w:pPr>
        <w:spacing w:after="100" w:line="312"/>
        <w:jc w:val="left"/>
      </w:pPr>
      <w:r>
        <w:rPr>
          <w:rFonts w:ascii="Calibri" w:eastAsia="Microsoft YaHei"/>
          <w:color w:val="1C2A3D"/>
          <w:sz w:val="22"/>
          <w:szCs w:val="22"/>
        </w:rPr>
        <w:t xml:space="preserve">تفصيل تكامل OSS لكل صفحة من 41 صفحة. فقط الصفحات المتأثرة بالتكامل الجديد.</w:t>
      </w:r>
    </w:p>
    <w:tbl>
      <w:tblPr>
        <w:tblW w:type="pct" w:w="100%"/>
        <w:tblBorders>
          <w:top w:val="single" w:color="5B6B7D" w:sz="4"/>
          <w:left w:val="single" w:color="5B6B7D" w:sz="4"/>
          <w:bottom w:val="single" w:color="5B6B7D" w:sz="4"/>
          <w:right w:val="single" w:color="5B6B7D" w:sz="4"/>
          <w:insideH w:val="single" w:color="5B6B7D" w:sz="4"/>
          <w:insideV w:val="single" w:color="5B6B7D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B6B7A" w:val="clear"/>
          </w:tcPr>
          <w:p>
            <w:pPr>
              <w:spacing w:after="50" w:before="50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الصفحة</w:t>
            </w:r>
          </w:p>
        </w:tc>
        <w:tc>
          <w:tcPr>
            <w:tcW w:type="pct" w:w="20%"/>
            <w:shd w:fill="1B6B7A" w:val="clear"/>
          </w:tcPr>
          <w:p>
            <w:pPr>
              <w:spacing w:after="50" w:before="50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الملف</w:t>
            </w:r>
          </w:p>
        </w:tc>
        <w:tc>
          <w:tcPr>
            <w:tcW w:type="pct" w:w="20%"/>
            <w:shd w:fill="1B6B7A" w:val="clear"/>
          </w:tcPr>
          <w:p>
            <w:pPr>
              <w:spacing w:after="50" w:before="50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OSS الحالي</w:t>
            </w:r>
          </w:p>
        </w:tc>
        <w:tc>
          <w:tcPr>
            <w:tcW w:type="pct" w:w="20%"/>
            <w:shd w:fill="1B6B7A" w:val="clear"/>
          </w:tcPr>
          <w:p>
            <w:pPr>
              <w:spacing w:after="50" w:before="50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OSS الجديد</w:t>
            </w:r>
          </w:p>
        </w:tc>
        <w:tc>
          <w:tcPr>
            <w:tcW w:type="pct" w:w="20%"/>
            <w:shd w:fill="1B6B7A" w:val="clear"/>
          </w:tcPr>
          <w:p>
            <w:pPr>
              <w:spacing w:after="50" w:before="50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التأثير</w:t>
            </w:r>
          </w:p>
        </w:tc>
      </w:tr>
      <w:tr>
        <w:trPr>
          <w:cantSplit/>
        </w:trP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discover.tsx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routes/_authenticated/discover.tsx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Birdeye, DexScreener, LunarCrush, Mobula, Twitter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DeFiLlama (TVL)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إضافة TVL/yield لكل token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token.$symbol.tsx</w:t>
            </w:r>
          </w:p>
        </w:tc>
        <w:tc>
          <w:tcPr>
            <w:tcW w:type="pct" w:w="20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routes/_authenticated/token.$symbol.tsx</w:t>
            </w:r>
          </w:p>
        </w:tc>
        <w:tc>
          <w:tcPr>
            <w:tcW w:type="pct" w:w="20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Lightweight Charts, DexScreener WS</w:t>
            </w:r>
          </w:p>
        </w:tc>
        <w:tc>
          <w:tcPr>
            <w:tcW w:type="pct" w:w="20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tulip-node (indicators)</w:t>
            </w:r>
          </w:p>
        </w:tc>
        <w:tc>
          <w:tcPr>
            <w:tcW w:type="pct" w:w="20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مؤشرات أكثر دقة</w:t>
            </w:r>
          </w:p>
        </w:tc>
      </w:tr>
      <w:tr>
        <w:trPr>
          <w:cantSplit/>
        </w:trP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charts.tsx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routes/_authenticated/charts.tsx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TradingView Widgets, TwelveData, Lightweight Charts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لا يوجد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مستقر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radar.tsx</w:t>
            </w:r>
          </w:p>
        </w:tc>
        <w:tc>
          <w:tcPr>
            <w:tcW w:type="pct" w:w="20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routes/_authenticated/radar.tsx</w:t>
            </w:r>
          </w:p>
        </w:tc>
        <w:tc>
          <w:tcPr>
            <w:tcW w:type="pct" w:w="20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Binance WS, DexScreener WS, TradingViewMiniChart</w:t>
            </w:r>
          </w:p>
        </w:tc>
        <w:tc>
          <w:tcPr>
            <w:tcW w:type="pct" w:w="20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ECharts (heatmap)</w:t>
            </w:r>
          </w:p>
        </w:tc>
        <w:tc>
          <w:tcPr>
            <w:tcW w:type="pct" w:w="20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داشبورد حرارة السوق</w:t>
            </w:r>
          </w:p>
        </w:tc>
      </w:tr>
      <w:tr>
        <w:trPr>
          <w:cantSplit/>
        </w:trP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yield.tsx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routes/_authenticated/yield.tsx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لا يوجد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DeFiLlama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بيانات TVL + yields + fees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portfolio.tsx</w:t>
            </w:r>
          </w:p>
        </w:tc>
        <w:tc>
          <w:tcPr>
            <w:tcW w:type="pct" w:w="20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routes/_authenticated/portfolio.tsx</w:t>
            </w:r>
          </w:p>
        </w:tc>
        <w:tc>
          <w:tcPr>
            <w:tcW w:type="pct" w:w="20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Recharts (EquityChart)</w:t>
            </w:r>
          </w:p>
        </w:tc>
        <w:tc>
          <w:tcPr>
            <w:tcW w:type="pct" w:w="20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ECharts (treemap), DeFiLlama</w:t>
            </w:r>
          </w:p>
        </w:tc>
        <w:tc>
          <w:tcPr>
            <w:tcW w:type="pct" w:w="20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توزيع + TVL لكل position</w:t>
            </w:r>
          </w:p>
        </w:tc>
      </w:tr>
      <w:tr>
        <w:trPr>
          <w:cantSplit/>
        </w:trP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pnl.tsx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routes/_authenticated/pnl.tsx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Recharts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ECharts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رسوم أعمق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whale.tsx</w:t>
            </w:r>
          </w:p>
        </w:tc>
        <w:tc>
          <w:tcPr>
            <w:tcW w:type="pct" w:w="20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routes/_authenticated/whale.tsx</w:t>
            </w:r>
          </w:p>
        </w:tc>
        <w:tc>
          <w:tcPr>
            <w:tcW w:type="pct" w:w="20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Helius RPC</w:t>
            </w:r>
          </w:p>
        </w:tc>
        <w:tc>
          <w:tcPr>
            <w:tcW w:type="pct" w:w="20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ECharts (network graph)</w:t>
            </w:r>
          </w:p>
        </w:tc>
        <w:tc>
          <w:tcPr>
            <w:tcW w:type="pct" w:w="20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رسم علاقات الحوام</w:t>
            </w:r>
          </w:p>
        </w:tc>
      </w:tr>
      <w:tr>
        <w:trPr>
          <w:cantSplit/>
        </w:trP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backtest.tsx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routes/_authenticated/backtest.tsx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Backtest Engine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Backtrader patterns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تحسين metrics + analyzers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analyze.tsx</w:t>
            </w:r>
          </w:p>
        </w:tc>
        <w:tc>
          <w:tcPr>
            <w:tcW w:type="pct" w:w="20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routes/_authenticated/analyze.tsx</w:t>
            </w:r>
          </w:p>
        </w:tc>
        <w:tc>
          <w:tcPr>
            <w:tcW w:type="pct" w:w="20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Analysis Engine, TwelveData</w:t>
            </w:r>
          </w:p>
        </w:tc>
        <w:tc>
          <w:tcPr>
            <w:tcW w:type="pct" w:w="20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tulip-node</w:t>
            </w:r>
          </w:p>
        </w:tc>
        <w:tc>
          <w:tcPr>
            <w:tcW w:type="pct" w:w="20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مؤشرات 100+ بدل 5</w:t>
            </w:r>
          </w:p>
        </w:tc>
      </w:tr>
      <w:tr>
        <w:trPr>
          <w:cantSplit/>
        </w:trP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signals.tsx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routes/_authenticated/signals.tsx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Signal Tracking, Binance WS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لا يوجد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مستقر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trade-desk.tsx</w:t>
            </w:r>
          </w:p>
        </w:tc>
        <w:tc>
          <w:tcPr>
            <w:tcW w:type="pct" w:w="20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routes/_authenticated/trade-desk.tsx</w:t>
            </w:r>
          </w:p>
        </w:tc>
        <w:tc>
          <w:tcPr>
            <w:tcW w:type="pct" w:w="20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CCXT, TradingView</w:t>
            </w:r>
          </w:p>
        </w:tc>
        <w:tc>
          <w:tcPr>
            <w:tcW w:type="pct" w:w="20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لا يوجد</w:t>
            </w:r>
          </w:p>
        </w:tc>
        <w:tc>
          <w:tcPr>
            <w:tcW w:type="pct" w:w="20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مستقر</w:t>
            </w:r>
          </w:p>
        </w:tc>
      </w:tr>
      <w:tr>
        <w:trPr>
          <w:cantSplit/>
        </w:trP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curves.tsx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routes/_authenticated/curves.tsx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لا يوجد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DeFiLlama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ييلد بيانات من صفر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vision.tsx</w:t>
            </w:r>
          </w:p>
        </w:tc>
        <w:tc>
          <w:tcPr>
            <w:tcW w:type="pct" w:w="20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routes/_authenticated/vision.tsx</w:t>
            </w:r>
          </w:p>
        </w:tc>
        <w:tc>
          <w:tcPr>
            <w:tcW w:type="pct" w:w="20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Chart Intelligence, Vercel AI SDK</w:t>
            </w:r>
          </w:p>
        </w:tc>
        <w:tc>
          <w:tcPr>
            <w:tcW w:type="pct" w:w="20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Mastra</w:t>
            </w:r>
          </w:p>
        </w:tc>
        <w:tc>
          <w:tcPr>
            <w:tcW w:type="pct" w:w="20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تحسين AI vision pipeline</w:t>
            </w:r>
          </w:p>
        </w:tc>
      </w:tr>
      <w:tr>
        <w:trPr>
          <w:cantSplit/>
        </w:trP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Copilot (global)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components/vixor/CopilotDrawer.tsx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Vercel AI SDK, MOXI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Mastra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تحسين tool-use + memory</w:t>
            </w:r>
          </w:p>
        </w:tc>
      </w:tr>
    </w:tbl>
    <w:p>
      <w:r>
        <w:br w:type="page"/>
      </w:r>
    </w:p>
    <w:p>
      <w:pPr>
        <w:pStyle w:val="Heading1"/>
        <w:spacing w:after="200" w:before="500"/>
      </w:pPr>
      <w:r>
        <w:rPr>
          <w:rFonts w:ascii="Calibri" w:eastAsia="SimHei"/>
          <w:b/>
          <w:bCs/>
          <w:color w:val="0F172A"/>
          <w:sz w:val="32"/>
          <w:szCs w:val="32"/>
        </w:rPr>
        <w:t xml:space="preserve">القطرية الخامسة: استراتيجية التحويل (Migration Strategy)</w:t>
      </w:r>
    </w:p>
    <w:p>
      <w:pPr>
        <w:spacing w:after="100" w:line="312"/>
        <w:jc w:val="left"/>
      </w:pPr>
      <w:r>
        <w:rPr>
          <w:rFonts w:ascii="Calibri" w:eastAsia="Microsoft YaHei"/>
          <w:color w:val="1C2A3D"/>
          <w:sz w:val="22"/>
          <w:szCs w:val="22"/>
        </w:rPr>
        <w:t xml:space="preserve">خطة تحويل لكل مكون OSS جديد (B فقط). المكونات A مدمجة أصلاً ولا تحتاج تحويل. C/D مراجع فقط.</w:t>
      </w:r>
    </w:p>
    <w:p>
      <w:pPr>
        <w:pStyle w:val="Heading2"/>
        <w:spacing w:after="160" w:before="4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المرحلة 1: DeFiLlama SDK</w:t>
      </w:r>
    </w:p>
    <w:p>
      <w:pPr>
        <w:spacing w:after="100" w:line="312"/>
        <w:jc w:val="left"/>
      </w:pPr>
      <w:r>
        <w:rPr>
          <w:rFonts w:ascii="Calibri" w:eastAsia="Microsoft YaHei"/>
          <w:b/>
          <w:bCs/>
          <w:color w:val="0F172A"/>
          <w:sz w:val="22"/>
          <w:szCs w:val="22"/>
        </w:rPr>
        <w:t xml:space="preserve">الهدف: </w:t>
      </w:r>
      <w:r>
        <w:rPr>
          <w:rFonts w:ascii="Calibri" w:eastAsia="Microsoft YaHei"/>
          <w:color w:val="1C2A3D"/>
          <w:sz w:val="22"/>
          <w:szCs w:val="22"/>
        </w:rPr>
        <w:t xml:space="preserve">إضافة TVL, yields, fees لصفحات yield.tsx, curves.tsx, portfolio.tsx</w:t>
      </w:r>
    </w:p>
    <w:p>
      <w:pPr>
        <w:spacing w:after="100" w:line="312"/>
        <w:jc w:val="left"/>
      </w:pPr>
      <w:r>
        <w:rPr>
          <w:rFonts w:ascii="Calibri" w:eastAsia="Microsoft YaHei"/>
          <w:b/>
          <w:bCs/>
          <w:color w:val="0F172A"/>
          <w:sz w:val="22"/>
          <w:szCs w:val="22"/>
        </w:rPr>
        <w:t xml:space="preserve">الملف الجديد: </w:t>
      </w:r>
      <w:r>
        <w:rPr>
          <w:rFonts w:ascii="Calibri" w:eastAsia="Microsoft YaHei"/>
          <w:color w:val="1C2A3D"/>
          <w:sz w:val="22"/>
          <w:szCs w:val="22"/>
        </w:rPr>
        <w:t xml:space="preserve">src/shared/market-data/defillama.client.ts</w:t>
      </w:r>
    </w:p>
    <w:p>
      <w:pPr>
        <w:spacing w:after="100" w:line="312"/>
        <w:jc w:val="left"/>
      </w:pPr>
      <w:r>
        <w:rPr>
          <w:rFonts w:ascii="Calibri" w:eastAsia="Microsoft YaHei"/>
          <w:b/>
          <w:bCs/>
          <w:color w:val="0F172A"/>
          <w:sz w:val="22"/>
          <w:szCs w:val="22"/>
        </w:rPr>
        <w:t xml:space="preserve">التعديلات: </w:t>
      </w:r>
      <w:r>
        <w:rPr>
          <w:rFonts w:ascii="Calibri" w:eastAsia="Microsoft YaHei"/>
          <w:color w:val="1C2A3D"/>
          <w:sz w:val="22"/>
          <w:szCs w:val="22"/>
        </w:rPr>
        <w:t xml:space="preserve">1) إنشاء defillama.client.ts (fetch TVL, yields, fees, token prices). 2) تعديل price-resolver.ts ليضيف DeFiLlama كمصدر backup. 3) تعديل yield.tsx لعرض TVL data. 4) تعديل portfolio.tsx لعرض DeFi positions. 5) إضافة caching في shared/cache.ts</w:t>
      </w:r>
    </w:p>
    <w:p>
      <w:pPr>
        <w:spacing w:after="100" w:line="312"/>
        <w:jc w:val="left"/>
      </w:pPr>
      <w:r>
        <w:rPr>
          <w:rFonts w:ascii="Calibri" w:eastAsia="Microsoft YaHei"/>
          <w:b/>
          <w:bCs/>
          <w:color w:val="0F172A"/>
          <w:sz w:val="22"/>
          <w:szCs w:val="22"/>
        </w:rPr>
        <w:t xml:space="preserve">المخاطر: </w:t>
      </w:r>
      <w:r>
        <w:rPr>
          <w:rFonts w:ascii="Calibri" w:eastAsia="Microsoft YaHei"/>
          <w:color w:val="1C2A3D"/>
          <w:sz w:val="22"/>
          <w:szCs w:val="22"/>
        </w:rPr>
        <w:t xml:space="preserve">منخفضة. API مجاني بدون rate limit. إضافة مستقلة لا تؤثر على مكونات أخرى.</w:t>
      </w:r>
    </w:p>
    <w:p>
      <w:pPr>
        <w:pStyle w:val="Heading2"/>
        <w:spacing w:after="160" w:before="4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المرحلة 2: tulip node</w:t>
      </w:r>
    </w:p>
    <w:p>
      <w:pPr>
        <w:spacing w:after="100" w:line="312"/>
        <w:jc w:val="left"/>
      </w:pPr>
      <w:r>
        <w:rPr>
          <w:rFonts w:ascii="Calibri" w:eastAsia="Microsoft YaHei"/>
          <w:b/>
          <w:bCs/>
          <w:color w:val="0F172A"/>
          <w:sz w:val="22"/>
          <w:szCs w:val="22"/>
        </w:rPr>
        <w:t xml:space="preserve">الهدف: </w:t>
      </w:r>
      <w:r>
        <w:rPr>
          <w:rFonts w:ascii="Calibri" w:eastAsia="Microsoft YaHei"/>
          <w:color w:val="1C2A3D"/>
          <w:sz w:val="22"/>
          <w:szCs w:val="22"/>
        </w:rPr>
        <w:t xml:space="preserve">استبدال المؤشرات المخصصة بـ tulip-node (100+ مؤشر مقارنة بـ 5)</w:t>
      </w:r>
    </w:p>
    <w:p>
      <w:pPr>
        <w:spacing w:after="100" w:line="312"/>
        <w:jc w:val="left"/>
      </w:pPr>
      <w:r>
        <w:rPr>
          <w:rFonts w:ascii="Calibri" w:eastAsia="Microsoft YaHei"/>
          <w:b/>
          <w:bCs/>
          <w:color w:val="0F172A"/>
          <w:sz w:val="22"/>
          <w:szCs w:val="22"/>
        </w:rPr>
        <w:t xml:space="preserve">الملفات المتأثرة: </w:t>
      </w:r>
      <w:r>
        <w:rPr>
          <w:rFonts w:ascii="Calibri" w:eastAsia="Microsoft YaHei"/>
          <w:color w:val="1C2A3D"/>
          <w:sz w:val="22"/>
          <w:szCs w:val="22"/>
        </w:rPr>
        <w:t xml:space="preserve">analysis/engine/indicators/index.ts, indicator-math.ts, regime-detector.ts, strategy-scorer.ts</w:t>
      </w:r>
    </w:p>
    <w:p>
      <w:pPr>
        <w:spacing w:after="100" w:line="312"/>
        <w:jc w:val="left"/>
      </w:pPr>
      <w:r>
        <w:rPr>
          <w:rFonts w:ascii="Calibri" w:eastAsia="Microsoft YaHei"/>
          <w:b/>
          <w:bCs/>
          <w:color w:val="0F172A"/>
          <w:sz w:val="22"/>
          <w:szCs w:val="22"/>
        </w:rPr>
        <w:t xml:space="preserve">التعديلات: </w:t>
      </w:r>
      <w:r>
        <w:rPr>
          <w:rFonts w:ascii="Calibri" w:eastAsia="Microsoft YaHei"/>
          <w:color w:val="1C2A3D"/>
          <w:sz w:val="22"/>
          <w:szCs w:val="22"/>
        </w:rPr>
        <w:t xml:space="preserve">1) إضافة tulip-node كتبعية. 2) إنشاء tulip-adapter.ts يغلف tulip بواجهة VIXOR. 3) تعديل indicator-math.ts ليستخدم tulip داخلياً. 4) تحديث الاختبارات. 5) تحقق من أن النتائج مطابقة (regime-detector.test.ts, scoring.test.ts)</w:t>
      </w:r>
    </w:p>
    <w:p>
      <w:pPr>
        <w:spacing w:after="100" w:line="312"/>
        <w:jc w:val="left"/>
      </w:pPr>
      <w:r>
        <w:rPr>
          <w:rFonts w:ascii="Calibri" w:eastAsia="Microsoft YaHei"/>
          <w:b/>
          <w:bCs/>
          <w:color w:val="0F172A"/>
          <w:sz w:val="22"/>
          <w:szCs w:val="22"/>
        </w:rPr>
        <w:t xml:space="preserve">المخاطر: </w:t>
      </w:r>
      <w:r>
        <w:rPr>
          <w:rFonts w:ascii="Calibri" w:eastAsia="Microsoft YaHei"/>
          <w:color w:val="1C2A3D"/>
          <w:sz w:val="22"/>
          <w:szCs w:val="22"/>
        </w:rPr>
        <w:t xml:space="preserve">متوسطة. يجب التأكد من أن النتائج مطابقة للمؤشرات الحالية. regression tests مطلوبة.</w:t>
      </w:r>
    </w:p>
    <w:p>
      <w:pPr>
        <w:pStyle w:val="Heading2"/>
        <w:spacing w:after="160" w:before="4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المرحلة 3: Mastra (تقييم)</w:t>
      </w:r>
    </w:p>
    <w:p>
      <w:pPr>
        <w:spacing w:after="100" w:line="312"/>
        <w:jc w:val="left"/>
      </w:pPr>
      <w:r>
        <w:rPr>
          <w:rFonts w:ascii="Calibri" w:eastAsia="Microsoft YaHei"/>
          <w:b/>
          <w:bCs/>
          <w:color w:val="0F172A"/>
          <w:sz w:val="22"/>
          <w:szCs w:val="22"/>
        </w:rPr>
        <w:t xml:space="preserve">الهدف: </w:t>
      </w:r>
      <w:r>
        <w:rPr>
          <w:rFonts w:ascii="Calibri" w:eastAsia="Microsoft YaHei"/>
          <w:color w:val="1C2A3D"/>
          <w:sz w:val="22"/>
          <w:szCs w:val="22"/>
        </w:rPr>
        <w:t xml:space="preserve">تحسين MOXI agents بـ tool-use متكامل + workflow engine</w:t>
      </w:r>
    </w:p>
    <w:p>
      <w:pPr>
        <w:spacing w:after="100" w:line="312"/>
        <w:jc w:val="left"/>
      </w:pPr>
      <w:r>
        <w:rPr>
          <w:rFonts w:ascii="Calibri" w:eastAsia="Microsoft YaHei"/>
          <w:b/>
          <w:bCs/>
          <w:color w:val="0F172A"/>
          <w:sz w:val="22"/>
          <w:szCs w:val="22"/>
        </w:rPr>
        <w:t xml:space="preserve">الملفات المتأثرة: </w:t>
      </w:r>
      <w:r>
        <w:rPr>
          <w:rFonts w:ascii="Calibri" w:eastAsia="Microsoft YaHei"/>
          <w:color w:val="1C2A3D"/>
          <w:sz w:val="22"/>
          <w:szCs w:val="22"/>
        </w:rPr>
        <w:t xml:space="preserve">moxi/agents.ts, moxi/server/agent.ts, moxi/server/*.agent.ts, debate/engine/debate.engine.ts</w:t>
      </w:r>
    </w:p>
    <w:p>
      <w:pPr>
        <w:spacing w:after="100" w:line="312"/>
        <w:jc w:val="left"/>
      </w:pPr>
      <w:r>
        <w:rPr>
          <w:rFonts w:ascii="Calibri" w:eastAsia="Microsoft YaHei"/>
          <w:b/>
          <w:bCs/>
          <w:color w:val="0F172A"/>
          <w:sz w:val="22"/>
          <w:szCs w:val="22"/>
        </w:rPr>
        <w:t xml:space="preserve">التعديلات: </w:t>
      </w:r>
      <w:r>
        <w:rPr>
          <w:rFonts w:ascii="Calibri" w:eastAsia="Microsoft YaHei"/>
          <w:color w:val="1C2A3D"/>
          <w:sz w:val="22"/>
          <w:szCs w:val="22"/>
        </w:rPr>
        <w:t xml:space="preserve">1) تقييم Mastra كما هو (POC في branch منفصل). 2) إنشاء moxi/mastra-adapter.ts يغلف Mastra agents بواجهة VIXOR. 3) نقل tool definitions من moxi/tools.ts إلى Mastra format. 4) تحديث debate engine ليستخدم Mastra workflow. 5) A/B testing مع Vercel AI SDK الحالي</w:t>
      </w:r>
    </w:p>
    <w:p>
      <w:pPr>
        <w:spacing w:after="100" w:line="312"/>
        <w:jc w:val="left"/>
      </w:pPr>
      <w:r>
        <w:rPr>
          <w:rFonts w:ascii="Calibri" w:eastAsia="Microsoft YaHei"/>
          <w:b/>
          <w:bCs/>
          <w:color w:val="0F172A"/>
          <w:sz w:val="22"/>
          <w:szCs w:val="22"/>
        </w:rPr>
        <w:t xml:space="preserve">المخاطر: </w:t>
      </w:r>
      <w:r>
        <w:rPr>
          <w:rFonts w:ascii="Calibri" w:eastAsia="Microsoft YaHei"/>
          <w:color w:val="1C2A3D"/>
          <w:sz w:val="22"/>
          <w:szCs w:val="22"/>
        </w:rPr>
        <w:t xml:space="preserve">عالية. تغيير أساسي في MOXI. يجب POC أولاً. لا يُطلب في Task 2-7. يُقيم بعد FULL SYSTEM TEST.</w:t>
      </w:r>
    </w:p>
    <w:p>
      <w:pPr>
        <w:pStyle w:val="Heading2"/>
        <w:spacing w:after="160" w:before="4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ملخص التحويل</w:t>
      </w:r>
    </w:p>
    <w:tbl>
      <w:tblPr>
        <w:tblW w:type="pct" w:w="100%"/>
        <w:tblBorders>
          <w:top w:val="single" w:color="5B6B7D" w:sz="4"/>
          <w:left w:val="single" w:color="5B6B7D" w:sz="4"/>
          <w:bottom w:val="single" w:color="5B6B7D" w:sz="4"/>
          <w:right w:val="single" w:color="5B6B7D" w:sz="4"/>
          <w:insideH w:val="single" w:color="5B6B7D" w:sz="4"/>
          <w:insideV w:val="single" w:color="5B6B7D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B6B7A" w:val="clear"/>
          </w:tcPr>
          <w:p>
            <w:pPr>
              <w:spacing w:after="50" w:before="50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المرحلة</w:t>
            </w:r>
          </w:p>
        </w:tc>
        <w:tc>
          <w:tcPr>
            <w:tcW w:type="pct" w:w="20%"/>
            <w:shd w:fill="1B6B7A" w:val="clear"/>
          </w:tcPr>
          <w:p>
            <w:pPr>
              <w:spacing w:after="50" w:before="50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المكون</w:t>
            </w:r>
          </w:p>
        </w:tc>
        <w:tc>
          <w:tcPr>
            <w:tcW w:type="pct" w:w="20%"/>
            <w:shd w:fill="1B6B7A" w:val="clear"/>
          </w:tcPr>
          <w:p>
            <w:pPr>
              <w:spacing w:after="50" w:before="50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الأولوية</w:t>
            </w:r>
          </w:p>
        </w:tc>
        <w:tc>
          <w:tcPr>
            <w:tcW w:type="pct" w:w="20%"/>
            <w:shd w:fill="1B6B7A" w:val="clear"/>
          </w:tcPr>
          <w:p>
            <w:pPr>
              <w:spacing w:after="50" w:before="50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المخاطر</w:t>
            </w:r>
          </w:p>
        </w:tc>
        <w:tc>
          <w:tcPr>
            <w:tcW w:type="pct" w:w="20%"/>
            <w:shd w:fill="1B6B7A" w:val="clear"/>
          </w:tcPr>
          <w:p>
            <w:pPr>
              <w:spacing w:after="50" w:before="50"/>
            </w:pPr>
            <w:r>
              <w:rPr>
                <w:rFonts w:ascii="Calibri" w:eastAsia="SimHei"/>
                <w:b/>
                <w:bCs/>
                <w:color w:val="FFFFFF"/>
                <w:sz w:val="18"/>
                <w:szCs w:val="18"/>
              </w:rPr>
              <w:t xml:space="preserve">التوقيت</w:t>
            </w:r>
          </w:p>
        </w:tc>
      </w:tr>
      <w:tr>
        <w:trPr>
          <w:cantSplit/>
        </w:trP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DeFiLlama SDK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متوسطة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منخفضة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بعد Task 2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2</w:t>
            </w:r>
          </w:p>
        </w:tc>
        <w:tc>
          <w:tcPr>
            <w:tcW w:type="pct" w:w="20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tulip node</w:t>
            </w:r>
          </w:p>
        </w:tc>
        <w:tc>
          <w:tcPr>
            <w:tcW w:type="pct" w:w="20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عالية</w:t>
            </w:r>
          </w:p>
        </w:tc>
        <w:tc>
          <w:tcPr>
            <w:tcW w:type="pct" w:w="20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متوسطة</w:t>
            </w:r>
          </w:p>
        </w:tc>
        <w:tc>
          <w:tcPr>
            <w:tcW w:type="pct" w:w="20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بعد Task 4</w:t>
            </w:r>
          </w:p>
        </w:tc>
      </w:tr>
      <w:tr>
        <w:trPr>
          <w:cantSplit/>
        </w:trP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3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Mastra (POC)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منخفضة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عالية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بعح FULL SYSTEM TEST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-</w:t>
            </w:r>
          </w:p>
        </w:tc>
        <w:tc>
          <w:tcPr>
            <w:tcW w:type="pct" w:w="20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ECharts (D)</w:t>
            </w:r>
          </w:p>
        </w:tc>
        <w:tc>
          <w:tcPr>
            <w:tcW w:type="pct" w:w="20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منخفضة</w:t>
            </w:r>
          </w:p>
        </w:tc>
        <w:tc>
          <w:tcPr>
            <w:tcW w:type="pct" w:w="20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منخفضة</w:t>
            </w:r>
          </w:p>
        </w:tc>
        <w:tc>
          <w:tcPr>
            <w:tcW w:type="pct" w:w="20%"/>
            <w:shd w:fill="EDF3F5" w:val="clear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عند الطلب</w:t>
            </w:r>
          </w:p>
        </w:tc>
      </w:tr>
      <w:tr>
        <w:trPr>
          <w:cantSplit/>
        </w:trP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-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C references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منخفضة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لا توجد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eastAsia="Microsoft YaHei"/>
                <w:color w:val="1C2A3D"/>
                <w:sz w:val="18"/>
                <w:szCs w:val="18"/>
              </w:rPr>
              <w:t xml:space="preserve">تعديلات تدريجية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/>
        <w:color w:val="808080"/>
        <w:sz w:val="16"/>
        <w:szCs w:val="16"/>
      </w:rPr>
      <w:t xml:space="preserve">VIXOR Architecture V2 — OSS Research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C2A3D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eastAsia="SimHei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eastAsia="SimHei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eastAsia="SimHei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2026-08-09T02:18:41.931Z</dcterms:created>
  <dcterms:modified xsi:type="dcterms:W3CDTF">2026-08-09T02:18:41.931Z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