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pPr>
      <w:r>
        <w:rPr>
          <w:rFonts w:ascii="Calibri"/>
          <w:b/>
          <w:bCs/>
          <w:color w:val="0A1628"/>
          <w:sz w:val="52"/>
          <w:szCs w:val="52"/>
        </w:rPr>
        <w:t xml:space="preserve">VIXOR V2 — PHASE 2</w:t>
      </w:r>
    </w:p>
    <w:p>
      <w:pPr>
        <w:spacing w:after="200"/>
      </w:pPr>
      <w:r>
        <w:rPr>
          <w:rFonts w:ascii="Calibri"/>
          <w:color w:val="5B8DB8"/>
          <w:sz w:val="36"/>
          <w:szCs w:val="36"/>
        </w:rPr>
        <w:t xml:space="preserve">FOUNDATION &amp; DATA AUTHORITY</w:t>
      </w:r>
    </w:p>
    <w:p>
      <w:pPr>
        <w:pBdr>
          <w:bottom w:val="single" w:color="6878A0" w:sz="1"/>
        </w:pBdr>
        <w:spacing w:after="120" w:before="120"/>
      </w:pPr>
    </w:p>
    <w:p>
      <w:pPr>
        <w:spacing w:after="60"/>
      </w:pPr>
      <w:r>
        <w:rPr>
          <w:rFonts w:ascii="Calibri"/>
          <w:color w:val="6878A0"/>
          <w:sz w:val="24"/>
          <w:szCs w:val="24"/>
        </w:rPr>
        <w:t xml:space="preserve">Implementation Report</w:t>
      </w:r>
    </w:p>
    <w:p>
      <w:r>
        <w:rPr>
          <w:rFonts w:ascii="Calibri"/>
          <w:color w:val="6878A0"/>
          <w:sz w:val="20"/>
          <w:szCs w:val="20"/>
        </w:rPr>
        <w:t xml:space="preserve">2026-08-10  |  CONFIDENTIAL</w:t>
      </w:r>
    </w:p>
    <w:p>
      <w:pPr>
        <w:spacing w:before="600"/>
      </w:pPr>
    </w:p>
    <w:p>
      <w:r>
        <w:rPr>
          <w:rFonts w:ascii="Calibri"/>
          <w:color w:val="6878A0"/>
          <w:sz w:val="18"/>
          <w:szCs w:val="18"/>
        </w:rPr>
        <w:t xml:space="preserve">Baseline: 32bbf147 (main)  |  Tests: 307 → 327  |  Zero Regressions</w:t>
      </w:r>
    </w:p>
    <w:p>
      <w:pPr>
        <w:sectPr>
          <w:pgSz w:w="11906" w:h="16838" w:orient="portrait"/>
          <w:pgMar w:top="1440" w:right="1417" w:bottom="1440" w:left="1701" w:header="708" w:footer="708" w:gutter="0"/>
          <w:pgNumType/>
          <w:docGrid w:linePitch="360"/>
        </w:sectPr>
      </w:pPr>
    </w:p>
    <w:p>
      <w:pPr>
        <w:spacing w:after="200"/>
      </w:pPr>
      <w:r>
        <w:rPr>
          <w:rFonts w:ascii="Calibri"/>
          <w:b/>
          <w:bCs/>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Baseline Before Changes</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3. Files Changed</w:t>
            </w:r>
            <w:r>
              <w:tab/>
            </w:r>
            <w:r>
              <w:fldChar w:fldCharType="begin"/>
            </w:r>
            <w:r>
              <w:instrText xml:space="preserve"> PAGEREF _Toc100002 \h </w:instrText>
            </w:r>
            <w:r>
              <w:fldChar w:fldCharType="separate"/>
            </w:r>
            <w:r>
              <w:t>4</w:t>
            </w:r>
            <w:r>
              <w:fldChar w:fldCharType="end"/>
            </w:r>
          </w:hyperlink>
        </w:p>
        <w:p>
          <w:pPr>
            <w:pStyle w:val="9"/>
            <w:tabs>
              <w:tab w:val="right" w:leader="dot" w:pos="9026"/>
            </w:tabs>
            <w:spacing w:before="120" w:after="60"/>
          </w:pPr>
          <w:hyperlink w:anchor="_Toc100003" w:history="1">
            <w:r>
              <w:rPr>
                <w:rStyle w:val="Hyperlink"/>
              </w:rPr>
              <w:t>4. Files Added</w:t>
            </w:r>
            <w:r>
              <w:tab/>
            </w:r>
            <w:r>
              <w:fldChar w:fldCharType="begin"/>
            </w:r>
            <w:r>
              <w:instrText xml:space="preserve"> PAGEREF _Toc100003 \h </w:instrText>
            </w:r>
            <w:r>
              <w:fldChar w:fldCharType="separate"/>
            </w:r>
            <w:r>
              <w:t>5</w:t>
            </w:r>
            <w:r>
              <w:fldChar w:fldCharType="end"/>
            </w:r>
          </w:hyperlink>
        </w:p>
        <w:p>
          <w:pPr>
            <w:pStyle w:val="9"/>
            <w:tabs>
              <w:tab w:val="right" w:leader="dot" w:pos="9026"/>
            </w:tabs>
            <w:spacing w:before="120" w:after="60"/>
          </w:pPr>
          <w:hyperlink w:anchor="_Toc100004" w:history="1">
            <w:r>
              <w:rPr>
                <w:rStyle w:val="Hyperlink"/>
              </w:rPr>
              <w:t>5. Files Removed</w:t>
            </w:r>
            <w:r>
              <w:tab/>
            </w:r>
            <w:r>
              <w:fldChar w:fldCharType="begin"/>
            </w:r>
            <w:r>
              <w:instrText xml:space="preserve"> PAGEREF _Toc100004 \h </w:instrText>
            </w:r>
            <w:r>
              <w:fldChar w:fldCharType="separate"/>
            </w:r>
            <w:r>
              <w:t>6</w:t>
            </w:r>
            <w:r>
              <w:fldChar w:fldCharType="end"/>
            </w:r>
          </w:hyperlink>
        </w:p>
        <w:p>
          <w:pPr>
            <w:pStyle w:val="9"/>
            <w:tabs>
              <w:tab w:val="right" w:leader="dot" w:pos="9026"/>
            </w:tabs>
            <w:spacing w:before="120" w:after="60"/>
          </w:pPr>
          <w:hyperlink w:anchor="_Toc100005" w:history="1">
            <w:r>
              <w:rPr>
                <w:rStyle w:val="Hyperlink"/>
              </w:rPr>
              <w:t>6. Canonical Models</w:t>
            </w:r>
            <w:r>
              <w:tab/>
            </w:r>
            <w:r>
              <w:fldChar w:fldCharType="begin"/>
            </w:r>
            <w:r>
              <w:instrText xml:space="preserve"> PAGEREF _Toc100005 \h </w:instrText>
            </w:r>
            <w:r>
              <w:fldChar w:fldCharType="separate"/>
            </w:r>
            <w:r>
              <w:t>6</w:t>
            </w:r>
            <w:r>
              <w:fldChar w:fldCharType="end"/>
            </w:r>
          </w:hyperlink>
        </w:p>
        <w:p>
          <w:pPr>
            <w:pStyle w:val="11"/>
            <w:ind w:left="360"/>
            <w:tabs>
              <w:tab w:val="right" w:leader="dot" w:pos="9026"/>
            </w:tabs>
            <w:spacing w:before="120" w:after="60"/>
          </w:pPr>
          <w:hyperlink w:anchor="_Toc100006" w:history="1">
            <w:r>
              <w:rPr>
                <w:rStyle w:val="Hyperlink"/>
              </w:rPr>
              <w:t>6.1 Market Data Layer</w:t>
            </w:r>
            <w:r>
              <w:tab/>
            </w:r>
            <w:r>
              <w:fldChar w:fldCharType="begin"/>
            </w:r>
            <w:r>
              <w:instrText xml:space="preserve"> PAGEREF _Toc100006 \h </w:instrText>
            </w:r>
            <w:r>
              <w:fldChar w:fldCharType="separate"/>
            </w:r>
            <w:r>
              <w:t>7</w:t>
            </w:r>
            <w:r>
              <w:fldChar w:fldCharType="end"/>
            </w:r>
          </w:hyperlink>
        </w:p>
        <w:p>
          <w:pPr>
            <w:pStyle w:val="11"/>
            <w:ind w:left="360"/>
            <w:tabs>
              <w:tab w:val="right" w:leader="dot" w:pos="9026"/>
            </w:tabs>
            <w:spacing w:before="120" w:after="60"/>
          </w:pPr>
          <w:hyperlink w:anchor="_Toc100007" w:history="1">
            <w:r>
              <w:rPr>
                <w:rStyle w:val="Hyperlink"/>
              </w:rPr>
              <w:t>6.2 NormalizerAdapter Contract</w:t>
            </w:r>
            <w:r>
              <w:tab/>
            </w:r>
            <w:r>
              <w:fldChar w:fldCharType="begin"/>
            </w:r>
            <w:r>
              <w:instrText xml:space="preserve"> PAGEREF _Toc100007 \h </w:instrText>
            </w:r>
            <w:r>
              <w:fldChar w:fldCharType="separate"/>
            </w:r>
            <w:r>
              <w:t>7</w:t>
            </w:r>
            <w:r>
              <w:fldChar w:fldCharType="end"/>
            </w:r>
          </w:hyperlink>
        </w:p>
        <w:p>
          <w:pPr>
            <w:pStyle w:val="9"/>
            <w:tabs>
              <w:tab w:val="right" w:leader="dot" w:pos="9026"/>
            </w:tabs>
            <w:spacing w:before="120" w:after="60"/>
          </w:pPr>
          <w:hyperlink w:anchor="_Toc100008" w:history="1">
            <w:r>
              <w:rPr>
                <w:rStyle w:val="Hyperlink"/>
              </w:rPr>
              <w:t>7. Database/Types Changes</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8. createTrade Root Cause</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9. createTrade Fix</w:t>
            </w:r>
            <w:r>
              <w:tab/>
            </w:r>
            <w:r>
              <w:fldChar w:fldCharType="begin"/>
            </w:r>
            <w:r>
              <w:instrText xml:space="preserve"> PAGEREF _Toc100010 \h </w:instrText>
            </w:r>
            <w:r>
              <w:fldChar w:fldCharType="separate"/>
            </w:r>
            <w:r>
              <w:t>9</w:t>
            </w:r>
            <w:r>
              <w:fldChar w:fldCharType="end"/>
            </w:r>
          </w:hyperlink>
        </w:p>
        <w:p>
          <w:pPr>
            <w:pStyle w:val="9"/>
            <w:tabs>
              <w:tab w:val="right" w:leader="dot" w:pos="9026"/>
            </w:tabs>
            <w:spacing w:before="120" w:after="60"/>
          </w:pPr>
          <w:hyperlink w:anchor="_Toc100011" w:history="1">
            <w:r>
              <w:rPr>
                <w:rStyle w:val="Hyperlink"/>
              </w:rPr>
              <w:t>10. Server Authority Changes</w:t>
            </w:r>
            <w:r>
              <w:tab/>
            </w:r>
            <w:r>
              <w:fldChar w:fldCharType="begin"/>
            </w:r>
            <w:r>
              <w:instrText xml:space="preserve"> PAGEREF _Toc100011 \h </w:instrText>
            </w:r>
            <w:r>
              <w:fldChar w:fldCharType="separate"/>
            </w:r>
            <w:r>
              <w:t>9</w:t>
            </w:r>
            <w:r>
              <w:fldChar w:fldCharType="end"/>
            </w:r>
          </w:hyperlink>
        </w:p>
        <w:p>
          <w:pPr>
            <w:pStyle w:val="9"/>
            <w:tabs>
              <w:tab w:val="right" w:leader="dot" w:pos="9026"/>
            </w:tabs>
            <w:spacing w:before="120" w:after="60"/>
          </w:pPr>
          <w:hyperlink w:anchor="_Toc100012" w:history="1">
            <w:r>
              <w:rPr>
                <w:rStyle w:val="Hyperlink"/>
              </w:rPr>
              <w:t>11. Validation Changes</w:t>
            </w:r>
            <w:r>
              <w:tab/>
            </w:r>
            <w:r>
              <w:fldChar w:fldCharType="begin"/>
            </w:r>
            <w:r>
              <w:instrText xml:space="preserve"> PAGEREF _Toc100012 \h </w:instrText>
            </w:r>
            <w:r>
              <w:fldChar w:fldCharType="separate"/>
            </w:r>
            <w:r>
              <w:t>10</w:t>
            </w:r>
            <w:r>
              <w:fldChar w:fldCharType="end"/>
            </w:r>
          </w:hyperlink>
        </w:p>
        <w:p>
          <w:pPr>
            <w:pStyle w:val="9"/>
            <w:tabs>
              <w:tab w:val="right" w:leader="dot" w:pos="9026"/>
            </w:tabs>
            <w:spacing w:before="120" w:after="60"/>
          </w:pPr>
          <w:hyperlink w:anchor="_Toc100013" w:history="1">
            <w:r>
              <w:rPr>
                <w:rStyle w:val="Hyperlink"/>
              </w:rPr>
              <w:t>12. Normalization Changes</w:t>
            </w:r>
            <w:r>
              <w:tab/>
            </w:r>
            <w:r>
              <w:fldChar w:fldCharType="begin"/>
            </w:r>
            <w:r>
              <w:instrText xml:space="preserve"> PAGEREF _Toc100013 \h </w:instrText>
            </w:r>
            <w:r>
              <w:fldChar w:fldCharType="separate"/>
            </w:r>
            <w:r>
              <w:t>10</w:t>
            </w:r>
            <w:r>
              <w:fldChar w:fldCharType="end"/>
            </w:r>
          </w:hyperlink>
        </w:p>
        <w:p>
          <w:pPr>
            <w:pStyle w:val="9"/>
            <w:tabs>
              <w:tab w:val="right" w:leader="dot" w:pos="9026"/>
            </w:tabs>
            <w:spacing w:before="120" w:after="60"/>
          </w:pPr>
          <w:hyperlink w:anchor="_Toc100014" w:history="1">
            <w:r>
              <w:rPr>
                <w:rStyle w:val="Hyperlink"/>
              </w:rPr>
              <w:t>13. Ownership/Security Changes</w:t>
            </w:r>
            <w:r>
              <w:tab/>
            </w:r>
            <w:r>
              <w:fldChar w:fldCharType="begin"/>
            </w:r>
            <w:r>
              <w:instrText xml:space="preserve"> PAGEREF _Toc100014 \h </w:instrText>
            </w:r>
            <w:r>
              <w:fldChar w:fldCharType="separate"/>
            </w:r>
            <w:r>
              <w:t>11</w:t>
            </w:r>
            <w:r>
              <w:fldChar w:fldCharType="end"/>
            </w:r>
          </w:hyperlink>
        </w:p>
        <w:p>
          <w:pPr>
            <w:pStyle w:val="9"/>
            <w:tabs>
              <w:tab w:val="right" w:leader="dot" w:pos="9026"/>
            </w:tabs>
            <w:spacing w:before="120" w:after="60"/>
          </w:pPr>
          <w:hyperlink w:anchor="_Toc100015" w:history="1">
            <w:r>
              <w:rPr>
                <w:rStyle w:val="Hyperlink"/>
              </w:rPr>
              <w:t>14. Idempotency Changes</w:t>
            </w:r>
            <w:r>
              <w:tab/>
            </w:r>
            <w:r>
              <w:fldChar w:fldCharType="begin"/>
            </w:r>
            <w:r>
              <w:instrText xml:space="preserve"> PAGEREF _Toc100015 \h </w:instrText>
            </w:r>
            <w:r>
              <w:fldChar w:fldCharType="separate"/>
            </w:r>
            <w:r>
              <w:t>11</w:t>
            </w:r>
            <w:r>
              <w:fldChar w:fldCharType="end"/>
            </w:r>
          </w:hyperlink>
        </w:p>
        <w:p>
          <w:pPr>
            <w:pStyle w:val="9"/>
            <w:tabs>
              <w:tab w:val="right" w:leader="dot" w:pos="9026"/>
            </w:tabs>
            <w:spacing w:before="120" w:after="60"/>
          </w:pPr>
          <w:hyperlink w:anchor="_Toc100016" w:history="1">
            <w:r>
              <w:rPr>
                <w:rStyle w:val="Hyperlink"/>
              </w:rPr>
              <w:t>15. Duplicate Implementations</w:t>
            </w:r>
            <w:r>
              <w:tab/>
            </w:r>
            <w:r>
              <w:fldChar w:fldCharType="begin"/>
            </w:r>
            <w:r>
              <w:instrText xml:space="preserve"> PAGEREF _Toc100016 \h </w:instrText>
            </w:r>
            <w:r>
              <w:fldChar w:fldCharType="separate"/>
            </w:r>
            <w:r>
              <w:t>12</w:t>
            </w:r>
            <w:r>
              <w:fldChar w:fldCharType="end"/>
            </w:r>
          </w:hyperlink>
        </w:p>
        <w:p>
          <w:pPr>
            <w:pStyle w:val="9"/>
            <w:tabs>
              <w:tab w:val="right" w:leader="dot" w:pos="9026"/>
            </w:tabs>
            <w:spacing w:before="120" w:after="60"/>
          </w:pPr>
          <w:hyperlink w:anchor="_Toc100017" w:history="1">
            <w:r>
              <w:rPr>
                <w:rStyle w:val="Hyperlink"/>
              </w:rPr>
              <w:t>16. Tests Added</w:t>
            </w:r>
            <w:r>
              <w:tab/>
            </w:r>
            <w:r>
              <w:fldChar w:fldCharType="begin"/>
            </w:r>
            <w:r>
              <w:instrText xml:space="preserve"> PAGEREF _Toc100017 \h </w:instrText>
            </w:r>
            <w:r>
              <w:fldChar w:fldCharType="separate"/>
            </w:r>
            <w:r>
              <w:t>12</w:t>
            </w:r>
            <w:r>
              <w:fldChar w:fldCharType="end"/>
            </w:r>
          </w:hyperlink>
        </w:p>
        <w:p>
          <w:pPr>
            <w:pStyle w:val="9"/>
            <w:tabs>
              <w:tab w:val="right" w:leader="dot" w:pos="9026"/>
            </w:tabs>
            <w:spacing w:before="120" w:after="60"/>
          </w:pPr>
          <w:hyperlink w:anchor="_Toc100018" w:history="1">
            <w:r>
              <w:rPr>
                <w:rStyle w:val="Hyperlink"/>
              </w:rPr>
              <w:t>17. Tests Before</w:t>
            </w:r>
            <w:r>
              <w:tab/>
            </w:r>
            <w:r>
              <w:fldChar w:fldCharType="begin"/>
            </w:r>
            <w:r>
              <w:instrText xml:space="preserve"> PAGEREF _Toc100018 \h </w:instrText>
            </w:r>
            <w:r>
              <w:fldChar w:fldCharType="separate"/>
            </w:r>
            <w:r>
              <w:t>13</w:t>
            </w:r>
            <w:r>
              <w:fldChar w:fldCharType="end"/>
            </w:r>
          </w:hyperlink>
        </w:p>
        <w:p>
          <w:pPr>
            <w:pStyle w:val="9"/>
            <w:tabs>
              <w:tab w:val="right" w:leader="dot" w:pos="9026"/>
            </w:tabs>
            <w:spacing w:before="120" w:after="60"/>
          </w:pPr>
          <w:hyperlink w:anchor="_Toc100019" w:history="1">
            <w:r>
              <w:rPr>
                <w:rStyle w:val="Hyperlink"/>
              </w:rPr>
              <w:t>18. Tests After</w:t>
            </w:r>
            <w:r>
              <w:tab/>
            </w:r>
            <w:r>
              <w:fldChar w:fldCharType="begin"/>
            </w:r>
            <w:r>
              <w:instrText xml:space="preserve"> PAGEREF _Toc100019 \h </w:instrText>
            </w:r>
            <w:r>
              <w:fldChar w:fldCharType="separate"/>
            </w:r>
            <w:r>
              <w:t>14</w:t>
            </w:r>
            <w:r>
              <w:fldChar w:fldCharType="end"/>
            </w:r>
          </w:hyperlink>
        </w:p>
        <w:p>
          <w:pPr>
            <w:pStyle w:val="9"/>
            <w:tabs>
              <w:tab w:val="right" w:leader="dot" w:pos="9026"/>
            </w:tabs>
            <w:spacing w:before="120" w:after="60"/>
          </w:pPr>
          <w:hyperlink w:anchor="_Toc100020" w:history="1">
            <w:r>
              <w:rPr>
                <w:rStyle w:val="Hyperlink"/>
              </w:rPr>
              <w:t>19. Typecheck Result</w:t>
            </w:r>
            <w:r>
              <w:tab/>
            </w:r>
            <w:r>
              <w:fldChar w:fldCharType="begin"/>
            </w:r>
            <w:r>
              <w:instrText xml:space="preserve"> PAGEREF _Toc100020 \h </w:instrText>
            </w:r>
            <w:r>
              <w:fldChar w:fldCharType="separate"/>
            </w:r>
            <w:r>
              <w:t>15</w:t>
            </w:r>
            <w:r>
              <w:fldChar w:fldCharType="end"/>
            </w:r>
          </w:hyperlink>
        </w:p>
        <w:p>
          <w:pPr>
            <w:pStyle w:val="9"/>
            <w:tabs>
              <w:tab w:val="right" w:leader="dot" w:pos="9026"/>
            </w:tabs>
            <w:spacing w:before="120" w:after="60"/>
          </w:pPr>
          <w:hyperlink w:anchor="_Toc100021" w:history="1">
            <w:r>
              <w:rPr>
                <w:rStyle w:val="Hyperlink"/>
              </w:rPr>
              <w:t>20. Build Result</w:t>
            </w:r>
            <w:r>
              <w:tab/>
            </w:r>
            <w:r>
              <w:fldChar w:fldCharType="begin"/>
            </w:r>
            <w:r>
              <w:instrText xml:space="preserve"> PAGEREF _Toc100021 \h </w:instrText>
            </w:r>
            <w:r>
              <w:fldChar w:fldCharType="separate"/>
            </w:r>
            <w:r>
              <w:t>15</w:t>
            </w:r>
            <w:r>
              <w:fldChar w:fldCharType="end"/>
            </w:r>
          </w:hyperlink>
        </w:p>
        <w:p>
          <w:pPr>
            <w:pStyle w:val="9"/>
            <w:tabs>
              <w:tab w:val="right" w:leader="dot" w:pos="9026"/>
            </w:tabs>
            <w:spacing w:before="120" w:after="60"/>
          </w:pPr>
          <w:hyperlink w:anchor="_Toc100022" w:history="1">
            <w:r>
              <w:rPr>
                <w:rStyle w:val="Hyperlink"/>
              </w:rPr>
              <w:t>21. Remaining Findings</w:t>
            </w:r>
            <w:r>
              <w:tab/>
            </w:r>
            <w:r>
              <w:fldChar w:fldCharType="begin"/>
            </w:r>
            <w:r>
              <w:instrText xml:space="preserve"> PAGEREF _Toc100022 \h </w:instrText>
            </w:r>
            <w:r>
              <w:fldChar w:fldCharType="separate"/>
            </w:r>
            <w:r>
              <w:t>15</w:t>
            </w:r>
            <w:r>
              <w:fldChar w:fldCharType="end"/>
            </w:r>
          </w:hyperlink>
        </w:p>
        <w:p>
          <w:pPr>
            <w:pStyle w:val="9"/>
            <w:tabs>
              <w:tab w:val="right" w:leader="dot" w:pos="9026"/>
            </w:tabs>
            <w:spacing w:before="120" w:after="60"/>
          </w:pPr>
          <w:hyperlink w:anchor="_Toc100023" w:history="1">
            <w:r>
              <w:rPr>
                <w:rStyle w:val="Hyperlink"/>
              </w:rPr>
              <w:t>22. Deferred Work</w:t>
            </w:r>
            <w:r>
              <w:tab/>
            </w:r>
            <w:r>
              <w:fldChar w:fldCharType="begin"/>
            </w:r>
            <w:r>
              <w:instrText xml:space="preserve"> PAGEREF _Toc100023 \h </w:instrText>
            </w:r>
            <w:r>
              <w:fldChar w:fldCharType="separate"/>
            </w:r>
            <w:r>
              <w:t>17</w:t>
            </w:r>
            <w:r>
              <w:fldChar w:fldCharType="end"/>
            </w:r>
          </w:hyperlink>
        </w:p>
        <w:p>
          <w:pPr>
            <w:pStyle w:val="9"/>
            <w:tabs>
              <w:tab w:val="right" w:leader="dot" w:pos="9026"/>
            </w:tabs>
            <w:spacing w:before="120" w:after="60"/>
          </w:pPr>
          <w:hyperlink w:anchor="_Toc100024" w:history="1">
            <w:r>
              <w:rPr>
                <w:rStyle w:val="Hyperlink"/>
              </w:rPr>
              <w:t>23. Architecture Deviations</w:t>
            </w:r>
            <w:r>
              <w:tab/>
            </w:r>
            <w:r>
              <w:fldChar w:fldCharType="begin"/>
            </w:r>
            <w:r>
              <w:instrText xml:space="preserve"> PAGEREF _Toc100024 \h </w:instrText>
            </w:r>
            <w:r>
              <w:fldChar w:fldCharType="separate"/>
            </w:r>
            <w:r>
              <w:t>19</w:t>
            </w:r>
            <w:r>
              <w:fldChar w:fldCharType="end"/>
            </w:r>
          </w:hyperlink>
        </w:p>
        <w:p>
          <w:pPr>
            <w:pStyle w:val="9"/>
            <w:tabs>
              <w:tab w:val="right" w:leader="dot" w:pos="9026"/>
            </w:tabs>
            <w:spacing w:before="120" w:after="60"/>
          </w:pPr>
          <w:hyperlink w:anchor="_Toc100025" w:history="1">
            <w:r>
              <w:rPr>
                <w:rStyle w:val="Hyperlink"/>
              </w:rPr>
              <w:t>24. Risks</w:t>
            </w:r>
            <w:r>
              <w:tab/>
            </w:r>
            <w:r>
              <w:fldChar w:fldCharType="begin"/>
            </w:r>
            <w:r>
              <w:instrText xml:space="preserve"> PAGEREF _Toc100025 \h </w:instrText>
            </w:r>
            <w:r>
              <w:fldChar w:fldCharType="separate"/>
            </w:r>
            <w:r>
              <w:t>19</w:t>
            </w:r>
            <w:r>
              <w:fldChar w:fldCharType="end"/>
            </w:r>
          </w:hyperlink>
        </w:p>
        <w:p>
          <w:pPr>
            <w:pStyle w:val="9"/>
            <w:tabs>
              <w:tab w:val="right" w:leader="dot" w:pos="9026"/>
            </w:tabs>
            <w:spacing w:before="120" w:after="60"/>
          </w:pPr>
          <w:hyperlink w:anchor="_Toc100026" w:history="1">
            <w:r>
              <w:rPr>
                <w:rStyle w:val="Hyperlink"/>
              </w:rPr>
              <w:t>25. Phase 3 Readiness</w:t>
            </w:r>
            <w:r>
              <w:tab/>
            </w:r>
            <w:r>
              <w:fldChar w:fldCharType="begin"/>
            </w:r>
            <w:r>
              <w:instrText xml:space="preserve"> PAGEREF _Toc100026 \h </w:instrText>
            </w:r>
            <w:r>
              <w:fldChar w:fldCharType="separate"/>
            </w:r>
            <w:r>
              <w:t>20</w:t>
            </w:r>
            <w:r>
              <w:fldChar w:fldCharType="end"/>
            </w:r>
          </w:hyperlink>
        </w:p>
        <w:p>
          <w:r>
            <w:fldChar w:fldCharType="end"/>
          </w:r>
        </w:p>
      </w:sdtContent>
    </w:sdt>
    <w:p>
      <w:pPr>
        <w:spacing w:before="120"/>
      </w:pPr>
      <w:r>
        <w:rPr>
          <w:rFonts w:ascii="Calibri"/>
          <w:i/>
          <w:iCs/>
          <w:color w:val="6878A0"/>
          <w:sz w:val="18"/>
          <w:szCs w:val="18"/>
        </w:rPr>
        <w:t xml:space="preserve">(Right-click the TOC and select "Update Field" to refresh page numbers)</w:t>
      </w:r>
    </w:p>
    <w:p>
      <w:r>
        <w:br w:type="page"/>
      </w:r>
    </w:p>
    <w:p>
      <w:pPr>
        <w:sectPr>
          <w:pgSz w:w="11906" w:h="16838" w:orient="portrait"/>
          <w:pgMar w:top="1440" w:right="1417" w:bottom="1440" w:left="1701" w:header="708" w:footer="708" w:gutter="0"/>
          <w:pgNumType w:start="1"/>
          <w:docGrid w:linePitch="360"/>
        </w:sectPr>
      </w:pPr>
    </w:p>
    <w:p>
      <w:pPr>
        <w:pStyle w:val="Heading1"/>
        <w:spacing w:after="120" w:before="360"/>
      </w:pPr>
      <w:bookmarkStart w:id="100000" w:name="_Toc100000"/>
      <w:r>
        <w:rPr>
          <w:rFonts w:ascii="Calibri" w:eastAsia="Microsoft YaHei"/>
          <w:b/>
          <w:bCs/>
          <w:color w:val="0A1628"/>
          <w:sz w:val="32"/>
          <w:szCs w:val="32"/>
        </w:rPr>
        <w:t xml:space="preserve">1. Executive Summary</w:t>
      </w:r>
      <w:bookmarkEnd w:id="100000"/>
    </w:p>
    <w:p>
      <w:pPr>
        <w:spacing w:line="312"/>
        <w:jc w:val="both"/>
      </w:pPr>
      <w:r>
        <w:rPr>
          <w:rFonts w:ascii="Calibri" w:eastAsia="Microsoft YaHei"/>
          <w:color w:val="1A2B40"/>
          <w:sz w:val="22"/>
          <w:szCs w:val="22"/>
        </w:rPr>
        <w:t xml:space="preserve">Phase 2 (Foundation &amp; Data Authority) establishes a trustworthy canonical foundation so every future VIXOR capability can rely on the same source of truth. This phase fixed the most critical bug in the codebase (F1: createTrade dropping validated fields), synchronized 18 missing database table type definitions (F3, F12), introduced canonical data normalization types, established server authority for trade mutations, created a domain error model, and removed proven dead code (F5, F15). All changes maintain backward compatibility with existing consumers, and the test suite grew from 307 to 327 tests with zero failures.</w:t>
      </w:r>
    </w:p>
    <w:p>
      <w:pPr>
        <w:spacing w:line="312"/>
        <w:jc w:val="both"/>
      </w:pPr>
      <w:r>
        <w:rPr>
          <w:rFonts w:ascii="Calibri" w:eastAsia="Microsoft YaHei"/>
          <w:color w:val="1A2B40"/>
          <w:sz w:val="22"/>
          <w:szCs w:val="22"/>
        </w:rPr>
        <w:t xml:space="preserve">The phase was executed against the actual repository at commit 32bbf147 on branch main, following the approved Architecture Decision Freeze V2 document as the authoritative specification. No architectural deviations were introduced. No OSS decisions were revisited. No speculative features were added.</w:t>
      </w:r>
    </w:p>
    <w:p>
      <w:pPr>
        <w:pStyle w:val="Heading1"/>
        <w:spacing w:after="120" w:before="360"/>
      </w:pPr>
      <w:bookmarkStart w:id="100001" w:name="_Toc100001"/>
      <w:r>
        <w:rPr>
          <w:rFonts w:ascii="Calibri" w:eastAsia="Microsoft YaHei"/>
          <w:b/>
          <w:bCs/>
          <w:color w:val="0A1628"/>
          <w:sz w:val="32"/>
          <w:szCs w:val="32"/>
        </w:rPr>
        <w:t xml:space="preserve">2. Baseline Before Changes</w:t>
      </w:r>
      <w:bookmarkEnd w:id="100001"/>
    </w:p>
    <w:p>
      <w:pPr>
        <w:spacing w:line="312"/>
      </w:pPr>
      <w:r>
        <w:rPr>
          <w:rFonts w:ascii="Calibri"/>
          <w:b/>
          <w:bCs/>
          <w:color w:val="0A1628"/>
          <w:sz w:val="22"/>
          <w:szCs w:val="22"/>
        </w:rPr>
        <w:t xml:space="preserve">Commit: </w:t>
      </w:r>
      <w:r>
        <w:rPr>
          <w:rFonts w:ascii="Calibri"/>
          <w:color w:val="1A2B40"/>
          <w:sz w:val="22"/>
          <w:szCs w:val="22"/>
        </w:rPr>
        <w:t xml:space="preserve">32bbf147a30e2448a5c89d504fd7ef5ec3143bac</w:t>
      </w:r>
    </w:p>
    <w:p>
      <w:pPr>
        <w:spacing w:line="312"/>
      </w:pPr>
      <w:r>
        <w:rPr>
          <w:rFonts w:ascii="Calibri"/>
          <w:b/>
          <w:bCs/>
          <w:color w:val="0A1628"/>
          <w:sz w:val="22"/>
          <w:szCs w:val="22"/>
        </w:rPr>
        <w:t xml:space="preserve">Branch: </w:t>
      </w:r>
      <w:r>
        <w:rPr>
          <w:rFonts w:ascii="Calibri"/>
          <w:color w:val="1A2B40"/>
          <w:sz w:val="22"/>
          <w:szCs w:val="22"/>
        </w:rPr>
        <w:t xml:space="preserve">main</w:t>
      </w:r>
    </w:p>
    <w:p>
      <w:pPr>
        <w:spacing w:line="312"/>
      </w:pPr>
      <w:r>
        <w:rPr>
          <w:rFonts w:ascii="Calibri"/>
          <w:b/>
          <w:bCs/>
          <w:color w:val="0A1628"/>
          <w:sz w:val="22"/>
          <w:szCs w:val="22"/>
        </w:rPr>
        <w:t xml:space="preserve">Working Tree: </w:t>
      </w:r>
      <w:r>
        <w:rPr>
          <w:rFonts w:ascii="Calibri"/>
          <w:color w:val="1A2B40"/>
          <w:sz w:val="22"/>
          <w:szCs w:val="22"/>
        </w:rPr>
        <w:t xml:space="preserve">Modified (Phase 0/1 documents + Task 1.2C files staged)</w:t>
      </w:r>
    </w:p>
    <w:p>
      <w:pPr>
        <w:spacing w:line="312"/>
      </w:pPr>
      <w:r>
        <w:rPr>
          <w:rFonts w:ascii="Calibri"/>
          <w:b/>
          <w:bCs/>
          <w:color w:val="0A1628"/>
          <w:sz w:val="22"/>
          <w:szCs w:val="22"/>
        </w:rPr>
        <w:t xml:space="preserve">Tests: </w:t>
      </w:r>
      <w:r>
        <w:rPr>
          <w:rFonts w:ascii="Calibri"/>
          <w:color w:val="1A2B40"/>
          <w:sz w:val="22"/>
          <w:szCs w:val="22"/>
        </w:rPr>
        <w:t xml:space="preserve">307/307 passing, 0 failing, 0 skipped (18 test files)</w:t>
      </w:r>
    </w:p>
    <w:p>
      <w:pPr>
        <w:spacing w:line="312"/>
      </w:pPr>
      <w:r>
        <w:rPr>
          <w:rFonts w:ascii="Calibri"/>
          <w:b/>
          <w:bCs/>
          <w:color w:val="0A1628"/>
          <w:sz w:val="22"/>
          <w:szCs w:val="22"/>
        </w:rPr>
        <w:t xml:space="preserve">TypeCheck: </w:t>
      </w:r>
      <w:r>
        <w:rPr>
          <w:rFonts w:ascii="Calibri"/>
          <w:color w:val="1A2B40"/>
          <w:sz w:val="22"/>
          <w:szCs w:val="22"/>
        </w:rPr>
        <w:t xml:space="preserve">PASS (zero errors)</w:t>
      </w:r>
    </w:p>
    <w:p>
      <w:pPr>
        <w:spacing w:line="312"/>
      </w:pPr>
      <w:r>
        <w:rPr>
          <w:rFonts w:ascii="Calibri"/>
          <w:b/>
          <w:bCs/>
          <w:color w:val="0A1628"/>
          <w:sz w:val="22"/>
          <w:szCs w:val="22"/>
        </w:rPr>
        <w:t xml:space="preserve">Build: </w:t>
      </w:r>
      <w:r>
        <w:rPr>
          <w:rFonts w:ascii="Calibri"/>
          <w:color w:val="1A2B40"/>
          <w:sz w:val="22"/>
          <w:szCs w:val="22"/>
        </w:rPr>
        <w:t xml:space="preserve">PASS (27.09s, Vite + Nitro)</w:t>
      </w:r>
    </w:p>
    <w:p>
      <w:pPr>
        <w:spacing w:line="312"/>
      </w:pPr>
      <w:r>
        <w:rPr>
          <w:rFonts w:ascii="Calibri"/>
          <w:b/>
          <w:bCs/>
          <w:color w:val="0A1628"/>
          <w:sz w:val="22"/>
          <w:szCs w:val="22"/>
        </w:rPr>
        <w:t xml:space="preserve">Framework: </w:t>
      </w:r>
      <w:r>
        <w:rPr>
          <w:rFonts w:ascii="Calibri"/>
          <w:color w:val="1A2B40"/>
          <w:sz w:val="22"/>
          <w:szCs w:val="22"/>
        </w:rPr>
        <w:t xml:space="preserve">TanStack Start 1.168.25 + React 19.2.0 + Vite 7.3.1</w:t>
      </w:r>
    </w:p>
    <w:p>
      <w:pPr>
        <w:spacing w:line="312"/>
      </w:pPr>
      <w:r>
        <w:rPr>
          <w:rFonts w:ascii="Calibri"/>
          <w:b/>
          <w:bCs/>
          <w:color w:val="0A1628"/>
          <w:sz w:val="22"/>
          <w:szCs w:val="22"/>
        </w:rPr>
        <w:t xml:space="preserve">Database: </w:t>
      </w:r>
      <w:r>
        <w:rPr>
          <w:rFonts w:ascii="Calibri"/>
          <w:color w:val="1A2B40"/>
          <w:sz w:val="22"/>
          <w:szCs w:val="22"/>
        </w:rPr>
        <w:t xml:space="preserve">Supabase (47 tables, 26 migrations)</w:t>
      </w:r>
    </w:p>
    <w:p>
      <w:pPr>
        <w:spacing w:line="312"/>
      </w:pPr>
      <w:r>
        <w:rPr>
          <w:rFonts w:ascii="Calibri"/>
          <w:b/>
          <w:bCs/>
          <w:color w:val="0A1628"/>
          <w:sz w:val="22"/>
          <w:szCs w:val="22"/>
        </w:rPr>
        <w:t xml:space="preserve">Package Manager: </w:t>
      </w:r>
      <w:r>
        <w:rPr>
          <w:rFonts w:ascii="Calibri"/>
          <w:color w:val="1A2B40"/>
          <w:sz w:val="22"/>
          <w:szCs w:val="22"/>
        </w:rPr>
        <w:t xml:space="preserve">pnpm 9.15.0</w:t>
      </w:r>
    </w:p>
    <w:p>
      <w:pPr>
        <w:pStyle w:val="Heading1"/>
        <w:spacing w:after="120" w:before="360"/>
      </w:pPr>
      <w:bookmarkStart w:id="100002" w:name="_Toc100002"/>
      <w:r>
        <w:rPr>
          <w:rFonts w:ascii="Calibri" w:eastAsia="Microsoft YaHei"/>
          <w:b/>
          <w:bCs/>
          <w:color w:val="0A1628"/>
          <w:sz w:val="32"/>
          <w:szCs w:val="32"/>
        </w:rPr>
        <w:t xml:space="preserve">3. Files Changed</w:t>
      </w:r>
      <w:bookmarkEnd w:id="100002"/>
    </w:p>
    <w:p>
      <w:pPr>
        <w:spacing w:line="312"/>
        <w:jc w:val="both"/>
      </w:pPr>
      <w:r>
        <w:rPr>
          <w:rFonts w:ascii="Calibri" w:eastAsia="Microsoft YaHei"/>
          <w:color w:val="1A2B40"/>
          <w:sz w:val="22"/>
          <w:szCs w:val="22"/>
        </w:rPr>
        <w:t xml:space="preserve">The following existing files were modified during Phase 2. Each change is documented with the specific function or section affected, the old behavior, the new behavior, and the justification.</w:t>
      </w:r>
    </w:p>
    <w:p>
      <w:pPr>
        <w:spacing w:line="312"/>
      </w:pPr>
      <w:r>
        <w:rPr>
          <w:rFonts w:ascii="Calibri"/>
          <w:b/>
          <w:bCs/>
          <w:color w:val="0A1628"/>
          <w:sz w:val="22"/>
          <w:szCs w:val="22"/>
        </w:rPr>
        <w:t xml:space="preserve">src/shared/supabase/types.ts</w:t>
      </w:r>
      <w:r>
        <w:rPr>
          <w:rFonts w:ascii="Calibri"/>
          <w:color w:val="1A2B40"/>
          <w:sz w:val="22"/>
          <w:szCs w:val="22"/>
        </w:rPr>
        <w:t xml:space="preserve"> (F3, F12)</w:t>
      </w:r>
    </w:p>
    <w:p>
      <w:pPr>
        <w:spacing w:line="312"/>
        <w:jc w:val="both"/>
      </w:pPr>
      <w:r>
        <w:rPr>
          <w:rFonts w:ascii="Calibri" w:eastAsia="Microsoft YaHei"/>
          <w:color w:val="1A2B40"/>
          <w:sz w:val="22"/>
          <w:szCs w:val="22"/>
        </w:rPr>
        <w:t xml:space="preserve">Added 18 missing database table type definitions (moxi_conversations, moxi_messages, wallet_sessions, web3_transactions, nft_badges, arbitrage_opportunities, arbitrage_executions, arbitrage_bot_stats, memecoin_discoveries, social_signals, pairs, news_cache, price_history, strategies, paper_trades, charts, moxi_personas, broker_connections). Fixed the signal_status enum type union to include 'invalidated' (was only in the Constants array but missing from the type definition). This resolved findings F3 and F12 from the Reality Baseline.</w:t>
      </w:r>
    </w:p>
    <w:p>
      <w:pPr>
        <w:spacing w:line="312"/>
      </w:pPr>
      <w:r>
        <w:rPr>
          <w:rFonts w:ascii="Calibri"/>
          <w:b/>
          <w:bCs/>
          <w:color w:val="0A1628"/>
          <w:sz w:val="22"/>
          <w:szCs w:val="22"/>
        </w:rPr>
        <w:t xml:space="preserve">src/domains/trades/types.ts</w:t>
      </w:r>
      <w:r>
        <w:rPr>
          <w:rFonts w:ascii="Calibri"/>
          <w:color w:val="1A2B40"/>
          <w:sz w:val="22"/>
          <w:szCs w:val="22"/>
        </w:rPr>
        <w:t xml:space="preserve"> (F1)</w:t>
      </w:r>
    </w:p>
    <w:p>
      <w:pPr>
        <w:spacing w:line="312"/>
        <w:jc w:val="both"/>
      </w:pPr>
      <w:r>
        <w:rPr>
          <w:rFonts w:ascii="Calibri" w:eastAsia="Microsoft YaHei"/>
          <w:color w:val="1A2B40"/>
          <w:sz w:val="22"/>
          <w:szCs w:val="22"/>
        </w:rPr>
        <w:t xml:space="preserve">Completely rewritten to align with the actual database schema (migration 20260610010000_add_trades.sql). The old Trade interface had fields that do not exist in the database (current_price, amount, leverage) and was missing database columns (exit_price, exit_date, pnl_pips, r_multiple, notes, tags, strategy, analysis_id, updated_at). The TradeStatus type was expanded to include 'cancelled' to match the DB CHECK constraint. Generated columns (pnl, pnl_pips, r_multiple) are now explicitly documented as read-only.</w:t>
      </w:r>
    </w:p>
    <w:p>
      <w:pPr>
        <w:spacing w:line="312"/>
      </w:pPr>
      <w:r>
        <w:rPr>
          <w:rFonts w:ascii="Calibri"/>
          <w:b/>
          <w:bCs/>
          <w:color w:val="0A1628"/>
          <w:sz w:val="22"/>
          <w:szCs w:val="22"/>
        </w:rPr>
        <w:t xml:space="preserve">src/domains/trades/functions.ts</w:t>
      </w:r>
      <w:r>
        <w:rPr>
          <w:rFonts w:ascii="Calibri"/>
          <w:color w:val="1A2B40"/>
          <w:sz w:val="22"/>
          <w:szCs w:val="22"/>
        </w:rPr>
        <w:t xml:space="preserve"> (F1, CRITICAL)</w:t>
      </w:r>
    </w:p>
    <w:p>
      <w:pPr>
        <w:spacing w:line="312"/>
        <w:jc w:val="both"/>
      </w:pPr>
      <w:r>
        <w:rPr>
          <w:rFonts w:ascii="Calibri" w:eastAsia="Microsoft YaHei"/>
          <w:color w:val="1A2B40"/>
          <w:sz w:val="22"/>
          <w:szCs w:val="22"/>
        </w:rPr>
        <w:t xml:space="preserve">Complete rewrite of the trades server functions. The createTrade handler was the most critical fix: previously it only passed { entry_date, quantity } to the database insert, silently dropping all validated fields (pair, direction, entry_price, stop_loss, take_profit) via an 'as any' cast. Now all validated fields are persisted. Added explicit Zod validation schemas with error messages. Added updateTrade with ownership verification. Added deleteTrade. Added getTradeStats. All mutations use server-authoritative user_id from the authenticated session.</w:t>
      </w:r>
    </w:p>
    <w:p>
      <w:pPr>
        <w:spacing w:line="312"/>
      </w:pPr>
      <w:r>
        <w:rPr>
          <w:rFonts w:ascii="Calibri"/>
          <w:b/>
          <w:bCs/>
          <w:color w:val="0A1628"/>
          <w:sz w:val="22"/>
          <w:szCs w:val="22"/>
        </w:rPr>
        <w:t xml:space="preserve">src/domains/debate/index.ts</w:t>
      </w:r>
      <w:r>
        <w:rPr>
          <w:rFonts w:ascii="Calibri"/>
          <w:color w:val="1A2B40"/>
          <w:sz w:val="22"/>
          <w:szCs w:val="22"/>
        </w:rPr>
        <w:t xml:space="preserve"> (F15)</w:t>
      </w:r>
    </w:p>
    <w:p>
      <w:pPr>
        <w:spacing w:line="312"/>
        <w:jc w:val="both"/>
      </w:pPr>
      <w:r>
        <w:rPr>
          <w:rFonts w:ascii="Calibri" w:eastAsia="Microsoft YaHei"/>
          <w:color w:val="1A2B40"/>
          <w:sz w:val="22"/>
          <w:szCs w:val="22"/>
        </w:rPr>
        <w:t xml:space="preserve">Removed the dead DebateEngine class (42 lines of keyword-counting stub code). Preserved the DebateResult type interface which is imported by the risk-governor domain. The real debate engine implementation is in debate/engine.ts.</w:t>
      </w:r>
    </w:p>
    <w:p>
      <w:pPr>
        <w:pStyle w:val="Heading1"/>
        <w:spacing w:after="120" w:before="360"/>
      </w:pPr>
      <w:bookmarkStart w:id="100003" w:name="_Toc100003"/>
      <w:r>
        <w:rPr>
          <w:rFonts w:ascii="Calibri" w:eastAsia="Microsoft YaHei"/>
          <w:b/>
          <w:bCs/>
          <w:color w:val="0A1628"/>
          <w:sz w:val="32"/>
          <w:szCs w:val="32"/>
        </w:rPr>
        <w:t xml:space="preserve">4. Files Added</w:t>
      </w:r>
      <w:bookmarkEnd w:id="100003"/>
    </w:p>
    <w:p>
      <w:pPr>
        <w:spacing w:line="312"/>
      </w:pPr>
      <w:r>
        <w:rPr>
          <w:rFonts w:ascii="Calibri"/>
          <w:b/>
          <w:bCs/>
          <w:color w:val="0A1628"/>
          <w:sz w:val="22"/>
          <w:szCs w:val="22"/>
        </w:rPr>
        <w:t xml:space="preserve">src/shared/normalization/types.ts</w:t>
      </w:r>
      <w:r>
        <w:rPr>
          <w:rFonts w:ascii="Calibri"/>
          <w:color w:val="1A2B40"/>
          <w:sz w:val="22"/>
          <w:szCs w:val="22"/>
        </w:rPr>
        <w:t xml:space="preserve"> (Task 2.5: Data Normalization Foundation)</w:t>
      </w:r>
    </w:p>
    <w:p>
      <w:pPr>
        <w:spacing w:line="312"/>
        <w:jc w:val="both"/>
      </w:pPr>
      <w:r>
        <w:rPr>
          <w:rFonts w:ascii="Calibri" w:eastAsia="Microsoft YaHei"/>
          <w:color w:val="1A2B40"/>
          <w:sz w:val="22"/>
          <w:szCs w:val="22"/>
        </w:rPr>
        <w:t xml:space="preserve">Canonical data model types for the provider normalization boundary. Defines CanonicalAsset, CanonicalPair, CanonicalCandle, CanonicalTicker, the NormalizerAdapter interface contract, and a computeConfidence utility function. These types enforce the architecture rule that provider-specific structures must not leak past the normalization layer into domain engines.</w:t>
      </w:r>
    </w:p>
    <w:p>
      <w:pPr>
        <w:spacing w:line="312"/>
      </w:pPr>
      <w:r>
        <w:rPr>
          <w:rFonts w:ascii="Calibri"/>
          <w:b/>
          <w:bCs/>
          <w:color w:val="0A1628"/>
          <w:sz w:val="22"/>
          <w:szCs w:val="22"/>
        </w:rPr>
        <w:t xml:space="preserve">src/shared/errors.ts</w:t>
      </w:r>
      <w:r>
        <w:rPr>
          <w:rFonts w:ascii="Calibri"/>
          <w:color w:val="1A2B40"/>
          <w:sz w:val="22"/>
          <w:szCs w:val="22"/>
        </w:rPr>
        <w:t xml:space="preserve"> (Task 2.7: Error Model)</w:t>
      </w:r>
    </w:p>
    <w:p>
      <w:pPr>
        <w:spacing w:line="312"/>
        <w:jc w:val="both"/>
      </w:pPr>
      <w:r>
        <w:rPr>
          <w:rFonts w:ascii="Calibri" w:eastAsia="Microsoft YaHei"/>
          <w:color w:val="1A2B40"/>
          <w:sz w:val="22"/>
          <w:szCs w:val="22"/>
        </w:rPr>
        <w:t xml:space="preserve">Minimal domain error classification system. Defines DomainError (base), ValidationError, NotFoundError, UnauthorizedError, ForbiddenError, ConflictError, and ProviderError. Includes a fromSupabaseError utility that maps Supabase error codes to domain errors without leaking internal details. Uses a small class hierarchy rather than a heavy framework, per the Minimum Powerful Stack principle.</w:t>
      </w:r>
    </w:p>
    <w:p>
      <w:pPr>
        <w:spacing w:line="312"/>
      </w:pPr>
      <w:r>
        <w:rPr>
          <w:rFonts w:ascii="Calibri"/>
          <w:b/>
          <w:bCs/>
          <w:color w:val="0A1628"/>
          <w:sz w:val="22"/>
          <w:szCs w:val="22"/>
        </w:rPr>
        <w:t xml:space="preserve">src/domains/trades/trades.test.ts</w:t>
      </w:r>
      <w:r>
        <w:rPr>
          <w:rFonts w:ascii="Calibri"/>
          <w:color w:val="1A2B40"/>
          <w:sz w:val="22"/>
          <w:szCs w:val="22"/>
        </w:rPr>
        <w:t xml:space="preserve"> (Task 2.3: Regression Tests)</w:t>
      </w:r>
    </w:p>
    <w:p>
      <w:pPr>
        <w:spacing w:line="312"/>
        <w:jc w:val="both"/>
      </w:pPr>
      <w:r>
        <w:rPr>
          <w:rFonts w:ascii="Calibri" w:eastAsia="Microsoft YaHei"/>
          <w:color w:val="1A2B40"/>
          <w:sz w:val="22"/>
          <w:szCs w:val="22"/>
        </w:rPr>
        <w:t xml:space="preserve">20 regression tests covering: validation schema correctness (valid/invalid inputs, edge cases), insert row construction (all fields present, amount-to-quantity mapping, optional fields as null, no generated columns), and server authority invariants (user_id not in validator, status not client-controllable, pnl not client-controllable). These tests ensure the F1 bug cannot reoccur.</w:t>
      </w:r>
    </w:p>
    <w:p>
      <w:pPr>
        <w:pStyle w:val="Heading1"/>
        <w:spacing w:after="120" w:before="360"/>
      </w:pPr>
      <w:bookmarkStart w:id="100004" w:name="_Toc100004"/>
      <w:r>
        <w:rPr>
          <w:rFonts w:ascii="Calibri" w:eastAsia="Microsoft YaHei"/>
          <w:b/>
          <w:bCs/>
          <w:color w:val="0A1628"/>
          <w:sz w:val="32"/>
          <w:szCs w:val="32"/>
        </w:rPr>
        <w:t xml:space="preserve">5. Files Removed</w:t>
      </w:r>
      <w:bookmarkEnd w:id="100004"/>
    </w:p>
    <w:p>
      <w:pPr>
        <w:spacing w:line="312"/>
      </w:pPr>
      <w:r>
        <w:rPr>
          <w:rFonts w:ascii="Calibri"/>
          <w:b/>
          <w:bCs/>
          <w:color w:val="0A1628"/>
          <w:sz w:val="22"/>
          <w:szCs w:val="22"/>
        </w:rPr>
        <w:t xml:space="preserve">src/shared/market-data/alchemy-rpc.ts</w:t>
      </w:r>
      <w:r>
        <w:rPr>
          <w:rFonts w:ascii="Calibri"/>
          <w:color w:val="1A2B40"/>
          <w:sz w:val="22"/>
          <w:szCs w:val="22"/>
        </w:rPr>
        <w:t xml:space="preserve"> (F5)</w:t>
      </w:r>
    </w:p>
    <w:p>
      <w:pPr>
        <w:spacing w:line="312"/>
        <w:jc w:val="both"/>
      </w:pPr>
      <w:r>
        <w:rPr>
          <w:rFonts w:ascii="Calibri" w:eastAsia="Microsoft YaHei"/>
          <w:color w:val="1A2B40"/>
          <w:sz w:val="22"/>
          <w:szCs w:val="22"/>
        </w:rPr>
        <w:t xml:space="preserve">Confirmed dead code with zero imports anywhere in the codebase. Shadowed by domain-specific clients. No provider integration existed. Removal verified by ripgrep search across all src/ files and confirmed no compilation errors after removal.</w:t>
      </w:r>
    </w:p>
    <w:p>
      <w:pPr>
        <w:pStyle w:val="Heading1"/>
        <w:spacing w:after="120" w:before="360"/>
      </w:pPr>
      <w:bookmarkStart w:id="100005" w:name="_Toc100005"/>
      <w:r>
        <w:rPr>
          <w:rFonts w:ascii="Calibri" w:eastAsia="Microsoft YaHei"/>
          <w:b/>
          <w:bCs/>
          <w:color w:val="0A1628"/>
          <w:sz w:val="32"/>
          <w:szCs w:val="32"/>
        </w:rPr>
        <w:t xml:space="preserve">6. Canonical Models</w:t>
      </w:r>
      <w:bookmarkEnd w:id="100005"/>
    </w:p>
    <w:p>
      <w:pPr>
        <w:spacing w:line="312"/>
        <w:jc w:val="both"/>
      </w:pPr>
      <w:r>
        <w:rPr>
          <w:rFonts w:ascii="Calibri" w:eastAsia="Microsoft YaHei"/>
          <w:color w:val="1A2B40"/>
          <w:sz w:val="22"/>
          <w:szCs w:val="22"/>
        </w:rPr>
        <w:t xml:space="preserve">Phase 2 introduces canonical data model types in src/shared/normalization/types.ts. These models define the provider-agnostic representations for market data flowing through VIXOR. Every provider adapter must normalize its output to these types before data reaches domain engines.</w:t>
      </w:r>
    </w:p>
    <w:p>
      <w:pPr>
        <w:pStyle w:val="Heading2"/>
        <w:spacing w:after="100" w:before="280"/>
      </w:pPr>
      <w:bookmarkStart w:id="100006" w:name="_Toc100006"/>
      <w:r>
        <w:rPr>
          <w:rFonts w:ascii="Calibri" w:eastAsia="Microsoft YaHei"/>
          <w:b/>
          <w:bCs/>
          <w:color w:val="0A1628"/>
          <w:sz w:val="26"/>
          <w:szCs w:val="26"/>
        </w:rPr>
        <w:t xml:space="preserve">6.1 Market Data Layer</w:t>
      </w:r>
      <w:bookmarkEnd w:id="100006"/>
    </w:p>
    <w:p>
      <w:pPr>
        <w:spacing w:line="312"/>
        <w:jc w:val="both"/>
      </w:pPr>
      <w:r>
        <w:rPr>
          <w:rFonts w:ascii="Calibri" w:eastAsia="Microsoft YaHei"/>
          <w:color w:val="1A2B40"/>
          <w:sz w:val="22"/>
          <w:szCs w:val="22"/>
        </w:rPr>
        <w:t xml:space="preserve">CanonicalAsset: Represents a tradeable asset with symbol, name, type (crypto/forex/commodity/etf/stock/index), active status, and provider metadata. The source of truth is the Supabase assets table (when implemented). Read authority is all authenticated users; write authority is server-only.</w:t>
      </w:r>
    </w:p>
    <w:p>
      <w:pPr>
        <w:spacing w:line="312"/>
        <w:jc w:val="both"/>
      </w:pPr>
      <w:r>
        <w:rPr>
          <w:rFonts w:ascii="Calibri" w:eastAsia="Microsoft YaHei"/>
          <w:color w:val="1A2B40"/>
          <w:sz w:val="22"/>
          <w:szCs w:val="22"/>
        </w:rPr>
        <w:t xml:space="preserve">CanonicalPair: Represents a tradeable pair (e.g. BTC/USDT) with base/quote symbols, category (spot/perpetual), exchange, and decimal precision. Source of truth is the Supabase pairs table.</w:t>
      </w:r>
    </w:p>
    <w:p>
      <w:pPr>
        <w:spacing w:line="312"/>
        <w:jc w:val="both"/>
      </w:pPr>
      <w:r>
        <w:rPr>
          <w:rFonts w:ascii="Calibri" w:eastAsia="Microsoft YaHei"/>
          <w:color w:val="1A2B40"/>
          <w:sz w:val="22"/>
          <w:szCs w:val="22"/>
        </w:rPr>
        <w:t xml:space="preserve">CanonicalCandle: Represents an OHLCV candle with pair, interval (1m to 1w), timestamp, OHLCV values, provider identity, source timestamp, and normalization timestamp. This is the universal candle format that all chart components and analysis engines will consume.</w:t>
      </w:r>
    </w:p>
    <w:p>
      <w:pPr>
        <w:spacing w:line="312"/>
        <w:jc w:val="both"/>
      </w:pPr>
      <w:r>
        <w:rPr>
          <w:rFonts w:ascii="Calibri" w:eastAsia="Microsoft YaHei"/>
          <w:color w:val="1A2B40"/>
          <w:sz w:val="22"/>
          <w:szCs w:val="22"/>
        </w:rPr>
        <w:t xml:space="preserve">CanonicalTicker: Represents a real-time price tick with price, 24h change/volume/high/low, bid/ask, provider identity, and tick timestamp. This is the universal ticker format for all live price displays.</w:t>
      </w:r>
    </w:p>
    <w:p>
      <w:pPr>
        <w:pStyle w:val="Heading2"/>
        <w:spacing w:after="100" w:before="280"/>
      </w:pPr>
      <w:bookmarkStart w:id="100007" w:name="_Toc100007"/>
      <w:r>
        <w:rPr>
          <w:rFonts w:ascii="Calibri" w:eastAsia="Microsoft YaHei"/>
          <w:b/>
          <w:bCs/>
          <w:color w:val="0A1628"/>
          <w:sz w:val="26"/>
          <w:szCs w:val="26"/>
        </w:rPr>
        <w:t xml:space="preserve">6.2 NormalizerAdapter Contract</w:t>
      </w:r>
      <w:bookmarkEnd w:id="100007"/>
    </w:p>
    <w:p>
      <w:pPr>
        <w:spacing w:line="312"/>
        <w:jc w:val="both"/>
      </w:pPr>
      <w:r>
        <w:rPr>
          <w:rFonts w:ascii="Calibri" w:eastAsia="Microsoft YaHei"/>
          <w:color w:val="1A2B40"/>
          <w:sz w:val="22"/>
          <w:szCs w:val="22"/>
        </w:rPr>
        <w:t xml:space="preserve">Every provider adapter must implement the NormalizerAdapter&lt;TProviderRaw, TCanonical&gt; interface. The adapter is responsible for: (1) mapping provider-specific field names to canonical fields, (2) converting units/precisions, (3) attaching provider identity and source timestamps, (4) validating required fields, (5) returning null when data cannot be normalized. The data flow is enforced as: PROVIDER → ADAPTER → NORMALIZER → CANONICAL MODEL → DOMAIN.</w:t>
      </w:r>
    </w:p>
    <w:p>
      <w:pPr>
        <w:pStyle w:val="Heading1"/>
        <w:spacing w:after="120" w:before="360"/>
      </w:pPr>
      <w:bookmarkStart w:id="100008" w:name="_Toc100008"/>
      <w:r>
        <w:rPr>
          <w:rFonts w:ascii="Calibri" w:eastAsia="Microsoft YaHei"/>
          <w:b/>
          <w:bCs/>
          <w:color w:val="0A1628"/>
          <w:sz w:val="32"/>
          <w:szCs w:val="32"/>
        </w:rPr>
        <w:t xml:space="preserve">7. Database/Types Changes</w:t>
      </w:r>
      <w:bookmarkEnd w:id="100008"/>
    </w:p>
    <w:p>
      <w:pPr>
        <w:spacing w:line="312"/>
        <w:jc w:val="both"/>
      </w:pPr>
      <w:r>
        <w:rPr>
          <w:rFonts w:ascii="Calibri" w:eastAsia="Microsoft YaHei"/>
          <w:color w:val="1A2B40"/>
          <w:sz w:val="22"/>
          <w:szCs w:val="22"/>
        </w:rPr>
        <w:t xml:space="preserve">The most significant type system change in Phase 2 is the addition of 18 missing database table type definitions to src/shared/supabase/types.ts. This file is the Supabase-generated type definition that provides auto-completion and type safety for all database queries. When tables exist in migrations but lack type definitions, developers lose type safety and auto-completion when querying those tables.</w:t>
      </w:r>
    </w:p>
    <w:p>
      <w:pPr>
        <w:spacing w:line="312"/>
        <w:jc w:val="both"/>
      </w:pPr>
      <w:r>
        <w:rPr>
          <w:rFonts w:ascii="Calibri" w:eastAsia="Microsoft YaHei"/>
          <w:color w:val="1A2B40"/>
          <w:sz w:val="22"/>
          <w:szCs w:val="22"/>
        </w:rPr>
        <w:t xml:space="preserve">The 18 tables added are organized by domain: MOXI (moxi_conversations, moxi_messages), Wallet (wallet_sessions, web3_transactions, nft_badges), Arbitrage (arbitrage_opportunities, arbitrage_executions, arbitrage_bot_stats), Discovery (memecoin_discoveries, social_signals), Data Layer (pairs, news_cache, price_history, strategies), Paper Trading (paper_trades), Commerce (charts), User (moxi_personas, broker_connections). Each table definition includes Row, Insert, Update, and Relationships sections matching the exact schema from their respective migration files.</w:t>
      </w:r>
    </w:p>
    <w:p>
      <w:pPr>
        <w:spacing w:line="312"/>
        <w:jc w:val="both"/>
      </w:pPr>
      <w:r>
        <w:rPr>
          <w:rFonts w:ascii="Calibri" w:eastAsia="Microsoft YaHei"/>
          <w:color w:val="1A2B40"/>
          <w:sz w:val="22"/>
          <w:szCs w:val="22"/>
        </w:rPr>
        <w:t xml:space="preserve">Additionally, the signal_status enum type union was fixed to include 'invalidated' (F12). The Constants array already had it, but the TypeScript type union was missing it, causing type errors when code reads invalidated status rows from the database.</w:t>
      </w:r>
    </w:p>
    <w:p>
      <w:pPr>
        <w:spacing w:line="312"/>
        <w:jc w:val="both"/>
      </w:pPr>
      <w:r>
        <w:rPr>
          <w:rFonts w:ascii="Calibri" w:eastAsia="Microsoft YaHei"/>
          <w:color w:val="1A2B40"/>
          <w:sz w:val="22"/>
          <w:szCs w:val="22"/>
        </w:rPr>
        <w:t xml:space="preserve">The trades table type in types.ts was already correct (it was generated from the database). The mismatch was in the domain-level Trade interface in trades/types.ts, which has now been aligned.</w:t>
      </w:r>
    </w:p>
    <w:p>
      <w:pPr>
        <w:pStyle w:val="Heading1"/>
        <w:spacing w:after="120" w:before="360"/>
      </w:pPr>
      <w:bookmarkStart w:id="100009" w:name="_Toc100009"/>
      <w:r>
        <w:rPr>
          <w:rFonts w:ascii="Calibri" w:eastAsia="Microsoft YaHei"/>
          <w:b/>
          <w:bCs/>
          <w:color w:val="0A1628"/>
          <w:sz w:val="32"/>
          <w:szCs w:val="32"/>
        </w:rPr>
        <w:t xml:space="preserve">8. createTrade Root Cause</w:t>
      </w:r>
      <w:bookmarkEnd w:id="100009"/>
    </w:p>
    <w:p>
      <w:pPr>
        <w:spacing w:line="312"/>
        <w:jc w:val="both"/>
      </w:pPr>
      <w:r>
        <w:rPr>
          <w:rFonts w:ascii="Calibri" w:eastAsia="Microsoft YaHei"/>
          <w:color w:val="1A2B40"/>
          <w:sz w:val="22"/>
          <w:szCs w:val="22"/>
        </w:rPr>
        <w:t xml:space="preserve">The createTrade server function at src/domains/trades/functions.ts had a critical bug classified as F1 (CRITICAL severity) in the Phase 0 Reality Baseline. The root cause was a combination of two problems:</w:t>
      </w:r>
    </w:p>
    <w:p>
      <w:pPr>
        <w:spacing w:line="312"/>
        <w:jc w:val="both"/>
      </w:pPr>
      <w:r>
        <w:rPr>
          <w:rFonts w:ascii="Calibri" w:eastAsia="Microsoft YaHei"/>
          <w:color w:val="1A2B40"/>
          <w:sz w:val="22"/>
          <w:szCs w:val="22"/>
        </w:rPr>
        <w:t xml:space="preserve">First, the insert statement only passed two fields to the database: { entry_date: new Date().toISOString(), quantity: data.amount }. All other validated fields (pair, direction, entry_price, stop_loss, take_profit) were silently dropped. The 'as any' type assertion on the insert call bypassed TypeScript's type checking, allowing this data loss to go undetected at compile time.</w:t>
      </w:r>
    </w:p>
    <w:p>
      <w:pPr>
        <w:spacing w:line="312"/>
        <w:jc w:val="both"/>
      </w:pPr>
      <w:r>
        <w:rPr>
          <w:rFonts w:ascii="Calibri" w:eastAsia="Microsoft YaHei"/>
          <w:color w:val="1A2B40"/>
          <w:sz w:val="22"/>
          <w:szCs w:val="22"/>
        </w:rPr>
        <w:t xml:space="preserve">Second, the domain Trade type in trades/types.ts had fields that do not exist in the database (current_price, amount, leverage) and was missing database columns (exit_price, exit_date, pnl_pips, r_multiple, notes, tags, strategy, analysis_id). This type mismatch meant there was no compile-time alignment between what the code thought it was inserting and what the database actually expected.</w:t>
      </w:r>
    </w:p>
    <w:p>
      <w:pPr>
        <w:spacing w:line="312"/>
        <w:jc w:val="both"/>
      </w:pPr>
      <w:r>
        <w:rPr>
          <w:rFonts w:ascii="Calibri" w:eastAsia="Microsoft YaHei"/>
          <w:color w:val="1A2B40"/>
          <w:sz w:val="22"/>
          <w:szCs w:val="22"/>
        </w:rPr>
        <w:t xml:space="preserve">The complete lifecycle trace is: UI (trade-desk.tsx) sends { pair, direction, entry_price, amount, stop_loss } → server validator validates all fields → handler constructs insert with only { entry_date, quantity } → database inserts the row → response is cast to Trade type (which has fields the DB row doesn't have) → UI receives a row with null/undefined trade-critical data.</w:t>
      </w:r>
    </w:p>
    <w:p>
      <w:pPr>
        <w:pStyle w:val="Heading1"/>
        <w:spacing w:after="120" w:before="360"/>
      </w:pPr>
      <w:bookmarkStart w:id="100010" w:name="_Toc100010"/>
      <w:r>
        <w:rPr>
          <w:rFonts w:ascii="Calibri" w:eastAsia="Microsoft YaHei"/>
          <w:b/>
          <w:bCs/>
          <w:color w:val="0A1628"/>
          <w:sz w:val="32"/>
          <w:szCs w:val="32"/>
        </w:rPr>
        <w:t xml:space="preserve">9. createTrade Fix</w:t>
      </w:r>
      <w:bookmarkEnd w:id="100010"/>
    </w:p>
    <w:p>
      <w:pPr>
        <w:spacing w:line="312"/>
        <w:jc w:val="both"/>
      </w:pPr>
      <w:r>
        <w:rPr>
          <w:rFonts w:ascii="Calibri" w:eastAsia="Microsoft YaHei"/>
          <w:color w:val="1A2B40"/>
          <w:sz w:val="22"/>
          <w:szCs w:val="22"/>
        </w:rPr>
        <w:t xml:space="preserve">The fix involved three coordinated changes across two files:</w:t>
      </w:r>
    </w:p>
    <w:p>
      <w:pPr>
        <w:spacing w:line="312"/>
      </w:pPr>
      <w:r>
        <w:rPr>
          <w:rFonts w:ascii="Calibri"/>
          <w:b/>
          <w:bCs/>
          <w:color w:val="0A1628"/>
          <w:sz w:val="22"/>
          <w:szCs w:val="22"/>
        </w:rPr>
        <w:t xml:space="preserve">1. trades/types.ts: </w:t>
      </w:r>
      <w:r>
        <w:rPr>
          <w:rFonts w:ascii="Calibri"/>
          <w:color w:val="1A2B40"/>
          <w:sz w:val="22"/>
          <w:szCs w:val="22"/>
        </w:rPr>
        <w:t xml:space="preserve">Rewrote the Trade interface to match the database schema exactly. Removed phantom fields (current_price, amount, leverage). Added missing DB columns (exit_price, exit_date, pnl_pips, r_multiple, notes, tags, strategy, analysis_id, updated_at). Documented generated columns as read-only. Expanded TradeStatus to include 'cancelled'.</w:t>
      </w:r>
    </w:p>
    <w:p>
      <w:pPr>
        <w:spacing w:line="312"/>
      </w:pPr>
      <w:r>
        <w:rPr>
          <w:rFonts w:ascii="Calibri"/>
          <w:b/>
          <w:bCs/>
          <w:color w:val="0A1628"/>
          <w:sz w:val="22"/>
          <w:szCs w:val="22"/>
        </w:rPr>
        <w:t xml:space="preserve">2. trades/functions.ts: </w:t>
      </w:r>
      <w:r>
        <w:rPr>
          <w:rFonts w:ascii="Calibri"/>
          <w:color w:val="1A2B40"/>
          <w:sz w:val="22"/>
          <w:szCs w:val="22"/>
        </w:rPr>
        <w:t xml:space="preserve">Complete rewrite of all trade server functions. The createTrade handler now: (a) uses an explicit Zod validation schema with error messages, (b) constructs the insert row from ALL validated fields, (c) derives user_id from the authenticated session (server-authoritative), (d) maps UI 'amount' to DB 'quantity', (e) uses TablesInsert&lt;'trades'&gt; type for compile-time alignment with the database, (f) removes the 'as any' cast entirely. Added updateTrade with ownership verification, deleteTrade, and getTradeStats.</w:t>
      </w:r>
    </w:p>
    <w:p>
      <w:pPr>
        <w:spacing w:line="312"/>
      </w:pPr>
      <w:r>
        <w:rPr>
          <w:rFonts w:ascii="Calibri"/>
          <w:b/>
          <w:bCs/>
          <w:color w:val="0A1628"/>
          <w:sz w:val="22"/>
          <w:szCs w:val="22"/>
        </w:rPr>
        <w:t xml:space="preserve">3. trades/trades.test.ts: </w:t>
      </w:r>
      <w:r>
        <w:rPr>
          <w:rFonts w:ascii="Calibri"/>
          <w:color w:val="1A2B40"/>
          <w:sz w:val="22"/>
          <w:szCs w:val="22"/>
        </w:rPr>
        <w:t xml:space="preserve">20 regression tests that verify: validation accepts valid inputs, rejects invalid inputs, insert row contains all validated fields, amount maps to quantity, optional fields become null, user_id comes from server session, generated columns are not in insert, and client cannot control user_id/status/pnl.</w:t>
      </w:r>
    </w:p>
    <w:p>
      <w:pPr>
        <w:pStyle w:val="Heading1"/>
        <w:spacing w:after="120" w:before="360"/>
      </w:pPr>
      <w:bookmarkStart w:id="100011" w:name="_Toc100011"/>
      <w:r>
        <w:rPr>
          <w:rFonts w:ascii="Calibri" w:eastAsia="Microsoft YaHei"/>
          <w:b/>
          <w:bCs/>
          <w:color w:val="0A1628"/>
          <w:sz w:val="32"/>
          <w:szCs w:val="32"/>
        </w:rPr>
        <w:t xml:space="preserve">10. Server Authority Changes</w:t>
      </w:r>
      <w:bookmarkEnd w:id="100011"/>
    </w:p>
    <w:p>
      <w:pPr>
        <w:spacing w:line="312"/>
        <w:jc w:val="both"/>
      </w:pPr>
      <w:r>
        <w:rPr>
          <w:rFonts w:ascii="Calibri" w:eastAsia="Microsoft YaHei"/>
          <w:color w:val="1A2B40"/>
          <w:sz w:val="22"/>
          <w:szCs w:val="22"/>
        </w:rPr>
        <w:t xml:space="preserve">Phase 2 establishes server authority for the trades domain. The key changes are:</w:t>
      </w:r>
    </w:p>
    <w:p>
      <w:pPr>
        <w:spacing w:line="312"/>
        <w:jc w:val="both"/>
      </w:pPr>
      <w:r>
        <w:rPr>
          <w:rFonts w:ascii="Calibri" w:eastAsia="Microsoft YaHei"/>
          <w:color w:val="1A2B40"/>
          <w:sz w:val="22"/>
          <w:szCs w:val="22"/>
        </w:rPr>
        <w:t xml:space="preserve">user_id is now taken exclusively from the authenticated session (context.userId via requireSupabaseAuth middleware), never from the client request body. The createTrade Zod validator does not include a user_id field, so even if a malicious client sends one, it is stripped by validation.</w:t>
      </w:r>
    </w:p>
    <w:p>
      <w:pPr>
        <w:spacing w:line="312"/>
        <w:jc w:val="both"/>
      </w:pPr>
      <w:r>
        <w:rPr>
          <w:rFonts w:ascii="Calibri" w:eastAsia="Microsoft YaHei"/>
          <w:color w:val="1A2B40"/>
          <w:sz w:val="22"/>
          <w:szCs w:val="22"/>
        </w:rPr>
        <w:t xml:space="preserve">The updateTrade function verifies ownership before allowing any mutation. It fetches the existing trade, compares user_id with the authenticated session, and throws a ForbiddenError if they do not match. The database query also includes .eq('user_id', context.userId) as a defense-in-depth measure.</w:t>
      </w:r>
    </w:p>
    <w:p>
      <w:pPr>
        <w:spacing w:line="312"/>
        <w:jc w:val="both"/>
      </w:pPr>
      <w:r>
        <w:rPr>
          <w:rFonts w:ascii="Calibri" w:eastAsia="Microsoft YaHei"/>
          <w:color w:val="1A2B40"/>
          <w:sz w:val="22"/>
          <w:szCs w:val="22"/>
        </w:rPr>
        <w:t xml:space="preserve">The createTrade validator does not accept status, pnl, pnl_pips, or r_multiple from the client. These are either DB-generated (pnl, pnl_pips, r_multiple) or have a database default (status defaults to 'open'). This prevents clients from manufacturing authoritative state.</w:t>
      </w:r>
    </w:p>
    <w:p>
      <w:pPr>
        <w:pStyle w:val="Heading1"/>
        <w:spacing w:after="120" w:before="360"/>
      </w:pPr>
      <w:bookmarkStart w:id="100012" w:name="_Toc100012"/>
      <w:r>
        <w:rPr>
          <w:rFonts w:ascii="Calibri" w:eastAsia="Microsoft YaHei"/>
          <w:b/>
          <w:bCs/>
          <w:color w:val="0A1628"/>
          <w:sz w:val="32"/>
          <w:szCs w:val="32"/>
        </w:rPr>
        <w:t xml:space="preserve">11. Validation Changes</w:t>
      </w:r>
      <w:bookmarkEnd w:id="100012"/>
    </w:p>
    <w:p>
      <w:pPr>
        <w:spacing w:line="312"/>
        <w:jc w:val="both"/>
      </w:pPr>
      <w:r>
        <w:rPr>
          <w:rFonts w:ascii="Calibri" w:eastAsia="Microsoft YaHei"/>
          <w:color w:val="1A2B40"/>
          <w:sz w:val="22"/>
          <w:szCs w:val="22"/>
        </w:rPr>
        <w:t xml:space="preserve">Phase 2 introduces explicit Zod validation schemas for trade creation and updates. Previously, the createTrade validator accepted fields but the handler ignored them. Now the validation schema and the handler are tightly coupled: every field accepted by the validator is guaranteed to be passed to the database insert.</w:t>
      </w:r>
    </w:p>
    <w:p>
      <w:pPr>
        <w:spacing w:line="312"/>
        <w:jc w:val="both"/>
      </w:pPr>
      <w:r>
        <w:rPr>
          <w:rFonts w:ascii="Calibri" w:eastAsia="Microsoft YaHei"/>
          <w:color w:val="1A2B40"/>
          <w:sz w:val="22"/>
          <w:szCs w:val="22"/>
        </w:rPr>
        <w:t xml:space="preserve">The createTradeSchema requires: pair (non-empty string), direction (long|short enum), entry_price (positive number), amount (positive number), and optionally stop_loss, take_profit (positive numbers), leverage (min 1, defaults to 1), notes (max 5000 chars), strategy (max 255 chars). The listTradesSchema validates status (open|closed|cancelled) and limit (1-200, defaults to 50). The updateTradeSchema requires tradeId (UUID format) and optionally any mutable field.</w:t>
      </w:r>
    </w:p>
    <w:p>
      <w:pPr>
        <w:pStyle w:val="Heading1"/>
        <w:spacing w:after="120" w:before="360"/>
      </w:pPr>
      <w:bookmarkStart w:id="100013" w:name="_Toc100013"/>
      <w:r>
        <w:rPr>
          <w:rFonts w:ascii="Calibri" w:eastAsia="Microsoft YaHei"/>
          <w:b/>
          <w:bCs/>
          <w:color w:val="0A1628"/>
          <w:sz w:val="32"/>
          <w:szCs w:val="32"/>
        </w:rPr>
        <w:t xml:space="preserve">12. Normalization Changes</w:t>
      </w:r>
      <w:bookmarkEnd w:id="100013"/>
    </w:p>
    <w:p>
      <w:pPr>
        <w:spacing w:line="312"/>
        <w:jc w:val="both"/>
      </w:pPr>
      <w:r>
        <w:rPr>
          <w:rFonts w:ascii="Calibri" w:eastAsia="Microsoft YaHei"/>
          <w:color w:val="1A2B40"/>
          <w:sz w:val="22"/>
          <w:szCs w:val="22"/>
        </w:rPr>
        <w:t xml:space="preserve">Phase 2 creates the normalization boundary types in src/shared/normalization/types.ts. This establishes the architectural contract that all provider adapters must follow: PROVIDER → ADAPTER → NORMALIZER → CANONICAL MODEL → DOMAIN. Provider-specific structures are not allowed to leak into domain engines.</w:t>
      </w:r>
    </w:p>
    <w:p>
      <w:pPr>
        <w:spacing w:line="312"/>
        <w:jc w:val="both"/>
      </w:pPr>
      <w:r>
        <w:rPr>
          <w:rFonts w:ascii="Calibri" w:eastAsia="Microsoft YaHei"/>
          <w:color w:val="1A2B40"/>
          <w:sz w:val="22"/>
          <w:szCs w:val="22"/>
        </w:rPr>
        <w:t xml:space="preserve">The NormalizerAdapter&lt;TProviderRaw, TCanonical&gt; interface defines the contract: every adapter has a provider identifier, a normalize() function that returns null on invalid input (never throws), and a normalizeBatch() that filters failed normalizations. The computeConfidence() utility scores data quality on a 0-1 scale based on provider reliability, data freshness, field completeness, and primary/fallback provider status.</w:t>
      </w:r>
    </w:p>
    <w:p>
      <w:pPr>
        <w:spacing w:line="312"/>
        <w:jc w:val="both"/>
      </w:pPr>
      <w:r>
        <w:rPr>
          <w:rFonts w:ascii="Calibri" w:eastAsia="Microsoft YaHei"/>
          <w:color w:val="1A2B40"/>
          <w:sz w:val="22"/>
          <w:szCs w:val="22"/>
        </w:rPr>
        <w:t xml:space="preserve">This is a foundation for Phase 5 (Intelligence &amp; Opportunity Engine) and future provider migration work. Existing provider integrations are preserved; they will be gradually wrapped with adapters in later phases.</w:t>
      </w:r>
    </w:p>
    <w:p>
      <w:pPr>
        <w:pStyle w:val="Heading1"/>
        <w:spacing w:after="120" w:before="360"/>
      </w:pPr>
      <w:bookmarkStart w:id="100014" w:name="_Toc100014"/>
      <w:r>
        <w:rPr>
          <w:rFonts w:ascii="Calibri" w:eastAsia="Microsoft YaHei"/>
          <w:b/>
          <w:bCs/>
          <w:color w:val="0A1628"/>
          <w:sz w:val="32"/>
          <w:szCs w:val="32"/>
        </w:rPr>
        <w:t xml:space="preserve">13. Ownership/Security Changes</w:t>
      </w:r>
      <w:bookmarkEnd w:id="100014"/>
    </w:p>
    <w:p>
      <w:pPr>
        <w:spacing w:line="312"/>
        <w:jc w:val="both"/>
      </w:pPr>
      <w:r>
        <w:rPr>
          <w:rFonts w:ascii="Calibri" w:eastAsia="Microsoft YaHei"/>
          <w:color w:val="1A2B40"/>
          <w:sz w:val="22"/>
          <w:szCs w:val="22"/>
        </w:rPr>
        <w:t xml:space="preserve">The primary security change in Phase 2 is the addition of ownership verification to the updateTrade function. Before this change, any authenticated user could potentially update any trade by knowing its UUID. Now the handler fetches the trade, verifies user_id matches the session, and rejects unauthorized updates with a clear error message.</w:t>
      </w:r>
    </w:p>
    <w:p>
      <w:pPr>
        <w:spacing w:line="312"/>
        <w:jc w:val="both"/>
      </w:pPr>
      <w:r>
        <w:rPr>
          <w:rFonts w:ascii="Calibri" w:eastAsia="Microsoft YaHei"/>
          <w:color w:val="1A2B40"/>
          <w:sz w:val="22"/>
          <w:szCs w:val="22"/>
        </w:rPr>
        <w:t xml:space="preserve">The deleteTrade function also verifies ownership by including user_id in the WHERE clause. The createTrade function cannot be exploited for ownership injection because user_id comes from the server session, not the client request. The database RLS policies provide an additional layer of protection.</w:t>
      </w:r>
    </w:p>
    <w:p>
      <w:pPr>
        <w:spacing w:line="312"/>
        <w:jc w:val="both"/>
      </w:pPr>
      <w:r>
        <w:rPr>
          <w:rFonts w:ascii="Calibri" w:eastAsia="Microsoft YaHei"/>
          <w:color w:val="1A2B40"/>
          <w:sz w:val="22"/>
          <w:szCs w:val="22"/>
        </w:rPr>
        <w:t xml:space="preserve">The error model (src/shared/errors.ts) ensures that internal details (database error codes, messages) are never exposed to clients. The fromSupabaseError utility maps specific error codes to user-safe error categories.</w:t>
      </w:r>
    </w:p>
    <w:p>
      <w:pPr>
        <w:pStyle w:val="Heading1"/>
        <w:spacing w:after="120" w:before="360"/>
      </w:pPr>
      <w:bookmarkStart w:id="100015" w:name="_Toc100015"/>
      <w:r>
        <w:rPr>
          <w:rFonts w:ascii="Calibri" w:eastAsia="Microsoft YaHei"/>
          <w:b/>
          <w:bCs/>
          <w:color w:val="0A1628"/>
          <w:sz w:val="32"/>
          <w:szCs w:val="32"/>
        </w:rPr>
        <w:t xml:space="preserve">14. Idempotency Changes</w:t>
      </w:r>
      <w:bookmarkEnd w:id="100015"/>
    </w:p>
    <w:p>
      <w:pPr>
        <w:spacing w:line="312"/>
        <w:jc w:val="both"/>
      </w:pPr>
      <w:r>
        <w:rPr>
          <w:rFonts w:ascii="Calibri" w:eastAsia="Microsoft YaHei"/>
          <w:color w:val="1A2B40"/>
          <w:sz w:val="22"/>
          <w:szCs w:val="22"/>
        </w:rPr>
        <w:t xml:space="preserve">Phase 2 evaluated idempotency requirements for all affected mutations. For createTrade, idempotency is not required because: (a) the client does not provide the trade ID (it is DB-generated), (b) each submission represents a distinct trade journal entry, (c) duplicate submissions would create separate trades with different IDs, which is correct behavior for a trade journal. The database has a unique primary key constraint that prevents ID collisions.</w:t>
      </w:r>
    </w:p>
    <w:p>
      <w:pPr>
        <w:spacing w:line="312"/>
        <w:jc w:val="both"/>
      </w:pPr>
      <w:r>
        <w:rPr>
          <w:rFonts w:ascii="Calibri" w:eastAsia="Microsoft YaHei"/>
          <w:color w:val="1A2B40"/>
          <w:sz w:val="22"/>
          <w:szCs w:val="22"/>
        </w:rPr>
        <w:t xml:space="preserve">For updateTrade, the ownership verification + WHERE clause provides natural protection against concurrent updates from different users. Same-user concurrent updates could theoretically race, but the Signal domain (Phase 5) is where optimistic locking will be implemented per the Architecture Decision Freeze.</w:t>
      </w:r>
    </w:p>
    <w:p>
      <w:pPr>
        <w:pStyle w:val="Heading1"/>
        <w:spacing w:after="120" w:before="360"/>
      </w:pPr>
      <w:bookmarkStart w:id="100016" w:name="_Toc100016"/>
      <w:r>
        <w:rPr>
          <w:rFonts w:ascii="Calibri" w:eastAsia="Microsoft YaHei"/>
          <w:b/>
          <w:bCs/>
          <w:color w:val="0A1628"/>
          <w:sz w:val="32"/>
          <w:szCs w:val="32"/>
        </w:rPr>
        <w:t xml:space="preserve">15. Duplicate Implementations</w:t>
      </w:r>
      <w:bookmarkEnd w:id="100016"/>
    </w:p>
    <w:p>
      <w:pPr>
        <w:spacing w:line="312"/>
        <w:jc w:val="both"/>
      </w:pPr>
      <w:r>
        <w:rPr>
          <w:rFonts w:ascii="Calibri" w:eastAsia="Microsoft YaHei"/>
          <w:color w:val="1A2B40"/>
          <w:sz w:val="22"/>
          <w:szCs w:val="22"/>
        </w:rPr>
        <w:t xml:space="preserve">Phase 2 evaluated but did NOT consolidate the following duplicates (they are deferred to later phases per the Decision Freeze):</w:t>
      </w:r>
    </w:p>
    <w:p>
      <w:pPr>
        <w:spacing w:line="312"/>
      </w:pPr>
      <w:r>
        <w:rPr>
          <w:rFonts w:ascii="Calibri"/>
          <w:b/>
          <w:bCs/>
          <w:color w:val="0A1628"/>
          <w:sz w:val="22"/>
          <w:szCs w:val="22"/>
        </w:rPr>
        <w:t xml:space="preserve">Chart components (F9): </w:t>
      </w:r>
      <w:r>
        <w:rPr>
          <w:rFonts w:ascii="Calibri"/>
          <w:color w:val="1A2B40"/>
          <w:sz w:val="22"/>
          <w:szCs w:val="22"/>
        </w:rPr>
        <w:t xml:space="preserve">CandlestickChart.tsx (454 lines) and DexChart.tsx (730 lines) share duplicated KlineBar type and chart setup patterns. Deferred to Phase 10 (UX V2) because consolidating them requires UI changes, which Phase 2 explicitly excludes.</w:t>
      </w:r>
    </w:p>
    <w:p>
      <w:pPr>
        <w:spacing w:line="312"/>
      </w:pPr>
      <w:r>
        <w:rPr>
          <w:rFonts w:ascii="Calibri"/>
          <w:b/>
          <w:bCs/>
          <w:color w:val="0A1628"/>
          <w:sz w:val="22"/>
          <w:szCs w:val="22"/>
        </w:rPr>
        <w:t xml:space="preserve">Agent panels (F8): </w:t>
      </w:r>
      <w:r>
        <w:rPr>
          <w:rFonts w:ascii="Calibri"/>
          <w:color w:val="1A2B40"/>
          <w:sz w:val="22"/>
          <w:szCs w:val="22"/>
        </w:rPr>
        <w:t xml:space="preserve">4 AI agent panels (Coach, Hunter, Governor, Analyst) have 80% duplicated code. Deferred to Phase 10 (UX V2).</w:t>
      </w:r>
    </w:p>
    <w:p>
      <w:pPr>
        <w:spacing w:line="312"/>
      </w:pPr>
      <w:r>
        <w:rPr>
          <w:rFonts w:ascii="Calibri"/>
          <w:b/>
          <w:bCs/>
          <w:color w:val="0A1628"/>
          <w:sz w:val="22"/>
          <w:szCs w:val="22"/>
        </w:rPr>
        <w:t xml:space="preserve">Telegram webhooks (F10): </w:t>
      </w:r>
      <w:r>
        <w:rPr>
          <w:rFonts w:ascii="Calibri"/>
          <w:color w:val="1A2B40"/>
          <w:sz w:val="22"/>
          <w:szCs w:val="22"/>
        </w:rPr>
        <w:t xml:space="preserve">telegram-webhook.ts and stars-webhook.ts have overlapping functionality but serve different payload formats. Classification: MERGE in a later phase. Not removed in Phase 2 because they handle different payment flows.</w:t>
      </w:r>
    </w:p>
    <w:p>
      <w:pPr>
        <w:spacing w:line="312"/>
        <w:jc w:val="both"/>
      </w:pPr>
      <w:r>
        <w:rPr>
          <w:rFonts w:ascii="Calibri" w:eastAsia="Microsoft YaHei"/>
          <w:color w:val="1A2B40"/>
          <w:sz w:val="22"/>
          <w:szCs w:val="22"/>
        </w:rPr>
        <w:t xml:space="preserve">The only duplicate removal in Phase 2 was the dead DebateEngine class in debate/index.ts (F15), where the stub keyword-counting engine was removed while preserving the used DebateResult type.</w:t>
      </w:r>
    </w:p>
    <w:p>
      <w:pPr>
        <w:pStyle w:val="Heading1"/>
        <w:spacing w:after="120" w:before="360"/>
      </w:pPr>
      <w:bookmarkStart w:id="100017" w:name="_Toc100017"/>
      <w:r>
        <w:rPr>
          <w:rFonts w:ascii="Calibri" w:eastAsia="Microsoft YaHei"/>
          <w:b/>
          <w:bCs/>
          <w:color w:val="0A1628"/>
          <w:sz w:val="32"/>
          <w:szCs w:val="32"/>
        </w:rPr>
        <w:t xml:space="preserve">16. Tests Added</w:t>
      </w:r>
      <w:bookmarkEnd w:id="100017"/>
    </w:p>
    <w:p>
      <w:pPr>
        <w:spacing w:line="312"/>
        <w:jc w:val="both"/>
      </w:pPr>
      <w:r>
        <w:rPr>
          <w:rFonts w:ascii="Calibri" w:eastAsia="Microsoft YaHei"/>
          <w:color w:val="1A2B40"/>
          <w:sz w:val="22"/>
          <w:szCs w:val="22"/>
        </w:rPr>
        <w:t xml:space="preserve">20 new tests in src/domains/trades/trades.test.ts covering:</w:t>
      </w:r>
    </w:p>
    <w:p>
      <w:pPr>
        <w:spacing w:line="312"/>
      </w:pPr>
      <w:r>
        <w:rPr>
          <w:rFonts w:ascii="Calibri"/>
          <w:b/>
          <w:bCs/>
          <w:color w:val="0A1628"/>
          <w:sz w:val="22"/>
          <w:szCs w:val="22"/>
        </w:rPr>
        <w:t xml:space="preserve">Validation schema (8 tests): </w:t>
      </w:r>
      <w:r>
        <w:rPr>
          <w:rFonts w:ascii="Calibri"/>
          <w:color w:val="1A2B40"/>
          <w:sz w:val="22"/>
          <w:szCs w:val="22"/>
        </w:rPr>
        <w:t xml:space="preserve">Valid trade with all fields, valid trade with required fields only, empty pair rejected, negative entry_price rejected, zero amount rejected, invalid direction rejected, negative stop_loss rejected, leverage defaults to 1.</w:t>
      </w:r>
    </w:p>
    <w:p>
      <w:pPr>
        <w:spacing w:line="312"/>
      </w:pPr>
      <w:r>
        <w:rPr>
          <w:rFonts w:ascii="Calibri"/>
          <w:b/>
          <w:bCs/>
          <w:color w:val="0A1628"/>
          <w:sz w:val="22"/>
          <w:szCs w:val="22"/>
        </w:rPr>
        <w:t xml:space="preserve">Insert row construction (5 tests): </w:t>
      </w:r>
      <w:r>
        <w:rPr>
          <w:rFonts w:ascii="Calibri"/>
          <w:color w:val="1A2B40"/>
          <w:sz w:val="22"/>
          <w:szCs w:val="22"/>
        </w:rPr>
        <w:t xml:space="preserve">All validated fields present, amount maps to quantity, optional fields become null, server-provided userId used, generated columns excluded, id/timestamps excluded.</w:t>
      </w:r>
    </w:p>
    <w:p>
      <w:pPr>
        <w:spacing w:line="312"/>
      </w:pPr>
      <w:r>
        <w:rPr>
          <w:rFonts w:ascii="Calibri"/>
          <w:b/>
          <w:bCs/>
          <w:color w:val="0A1628"/>
          <w:sz w:val="22"/>
          <w:szCs w:val="22"/>
        </w:rPr>
        <w:t xml:space="preserve">Server authority (4 tests): </w:t>
      </w:r>
      <w:r>
        <w:rPr>
          <w:rFonts w:ascii="Calibri"/>
          <w:color w:val="1A2B40"/>
          <w:sz w:val="22"/>
          <w:szCs w:val="22"/>
        </w:rPr>
        <w:t xml:space="preserve">user_id not in validator, status not client-controllable, pnl not client-controllable.</w:t>
      </w:r>
    </w:p>
    <w:p>
      <w:pPr>
        <w:spacing w:line="312"/>
      </w:pPr>
      <w:r>
        <w:rPr>
          <w:rFonts w:ascii="Calibri"/>
          <w:b/>
          <w:bCs/>
          <w:color w:val="0A1628"/>
          <w:sz w:val="22"/>
          <w:szCs w:val="22"/>
        </w:rPr>
        <w:t xml:space="preserve">Update validation (3 tests): </w:t>
      </w:r>
      <w:r>
        <w:rPr>
          <w:rFonts w:ascii="Calibri"/>
          <w:color w:val="1A2B40"/>
          <w:sz w:val="22"/>
          <w:szCs w:val="22"/>
        </w:rPr>
        <w:t xml:space="preserve">Valid update accepted, invalid tradeId rejected, invalid status rejected.</w:t>
      </w:r>
    </w:p>
    <w:p>
      <w:pPr>
        <w:pStyle w:val="Heading1"/>
        <w:spacing w:after="120" w:before="360"/>
      </w:pPr>
      <w:bookmarkStart w:id="100018" w:name="_Toc100018"/>
      <w:r>
        <w:rPr>
          <w:rFonts w:ascii="Calibri" w:eastAsia="Microsoft YaHei"/>
          <w:b/>
          <w:bCs/>
          <w:color w:val="0A1628"/>
          <w:sz w:val="32"/>
          <w:szCs w:val="32"/>
        </w:rPr>
        <w:t xml:space="preserve">17. Tests Before</w:t>
      </w:r>
      <w:bookmarkEnd w:id="100018"/>
    </w:p>
    <w:p>
      <w:pPr>
        <w:spacing w:line="312"/>
      </w:pPr>
      <w:r>
        <w:rPr>
          <w:rFonts w:ascii="Calibri"/>
          <w:b/>
          <w:bCs/>
          <w:color w:val="0A1628"/>
          <w:sz w:val="22"/>
          <w:szCs w:val="22"/>
        </w:rPr>
        <w:t xml:space="preserve">Count: </w:t>
      </w:r>
      <w:r>
        <w:rPr>
          <w:rFonts w:ascii="Calibri"/>
          <w:color w:val="1A2B40"/>
          <w:sz w:val="22"/>
          <w:szCs w:val="22"/>
        </w:rPr>
        <w:t xml:space="preserve">307</w:t>
      </w:r>
    </w:p>
    <w:p>
      <w:pPr>
        <w:spacing w:line="312"/>
      </w:pPr>
      <w:r>
        <w:rPr>
          <w:rFonts w:ascii="Calibri"/>
          <w:b/>
          <w:bCs/>
          <w:color w:val="0A1628"/>
          <w:sz w:val="22"/>
          <w:szCs w:val="22"/>
        </w:rPr>
        <w:t xml:space="preserve">Files: </w:t>
      </w:r>
      <w:r>
        <w:rPr>
          <w:rFonts w:ascii="Calibri"/>
          <w:color w:val="1A2B40"/>
          <w:sz w:val="22"/>
          <w:szCs w:val="22"/>
        </w:rPr>
        <w:t xml:space="preserve">18 test files</w:t>
      </w:r>
    </w:p>
    <w:p>
      <w:pPr>
        <w:spacing w:line="312"/>
      </w:pPr>
      <w:r>
        <w:rPr>
          <w:rFonts w:ascii="Calibri"/>
          <w:b/>
          <w:bCs/>
          <w:color w:val="0A1628"/>
          <w:sz w:val="22"/>
          <w:szCs w:val="22"/>
        </w:rPr>
        <w:t xml:space="preserve">Status: </w:t>
      </w:r>
      <w:r>
        <w:rPr>
          <w:rFonts w:ascii="Calibri"/>
          <w:color w:val="1A2B40"/>
          <w:sz w:val="22"/>
          <w:szCs w:val="22"/>
        </w:rPr>
        <w:t xml:space="preserve">All passing, zero failures, zero skips</w:t>
      </w:r>
    </w:p>
    <w:p>
      <w:pPr>
        <w:spacing w:line="312"/>
      </w:pPr>
      <w:r>
        <w:rPr>
          <w:rFonts w:ascii="Calibri"/>
          <w:b/>
          <w:bCs/>
          <w:color w:val="0A1628"/>
          <w:sz w:val="22"/>
          <w:szCs w:val="22"/>
        </w:rPr>
        <w:t xml:space="preserve">Runtime: </w:t>
      </w:r>
      <w:r>
        <w:rPr>
          <w:rFonts w:ascii="Calibri"/>
          <w:color w:val="1A2B40"/>
          <w:sz w:val="22"/>
          <w:szCs w:val="22"/>
        </w:rPr>
        <w:t xml:space="preserve">16.58s</w:t>
      </w:r>
    </w:p>
    <w:p>
      <w:pPr>
        <w:pStyle w:val="Heading1"/>
        <w:spacing w:after="120" w:before="360"/>
      </w:pPr>
      <w:bookmarkStart w:id="100019" w:name="_Toc100019"/>
      <w:r>
        <w:rPr>
          <w:rFonts w:ascii="Calibri" w:eastAsia="Microsoft YaHei"/>
          <w:b/>
          <w:bCs/>
          <w:color w:val="0A1628"/>
          <w:sz w:val="32"/>
          <w:szCs w:val="32"/>
        </w:rPr>
        <w:t xml:space="preserve">18. Tests After</w:t>
      </w:r>
      <w:bookmarkEnd w:id="100019"/>
    </w:p>
    <w:p>
      <w:pPr>
        <w:spacing w:line="312"/>
      </w:pPr>
      <w:r>
        <w:rPr>
          <w:rFonts w:ascii="Calibri"/>
          <w:b/>
          <w:bCs/>
          <w:color w:val="0A1628"/>
          <w:sz w:val="22"/>
          <w:szCs w:val="22"/>
        </w:rPr>
        <w:t xml:space="preserve">Count: </w:t>
      </w:r>
      <w:r>
        <w:rPr>
          <w:rFonts w:ascii="Calibri"/>
          <w:color w:val="1A2B40"/>
          <w:sz w:val="22"/>
          <w:szCs w:val="22"/>
        </w:rPr>
        <w:t xml:space="preserve">327 (307 existing + 20 new)</w:t>
      </w:r>
    </w:p>
    <w:p>
      <w:pPr>
        <w:spacing w:line="312"/>
      </w:pPr>
      <w:r>
        <w:rPr>
          <w:rFonts w:ascii="Calibri"/>
          <w:b/>
          <w:bCs/>
          <w:color w:val="0A1628"/>
          <w:sz w:val="22"/>
          <w:szCs w:val="22"/>
        </w:rPr>
        <w:t xml:space="preserve">Files: </w:t>
      </w:r>
      <w:r>
        <w:rPr>
          <w:rFonts w:ascii="Calibri"/>
          <w:color w:val="1A2B40"/>
          <w:sz w:val="22"/>
          <w:szCs w:val="22"/>
        </w:rPr>
        <w:t xml:space="preserve">19 test files</w:t>
      </w:r>
    </w:p>
    <w:p>
      <w:pPr>
        <w:spacing w:line="312"/>
      </w:pPr>
      <w:r>
        <w:rPr>
          <w:rFonts w:ascii="Calibri"/>
          <w:b/>
          <w:bCs/>
          <w:color w:val="0A1628"/>
          <w:sz w:val="22"/>
          <w:szCs w:val="22"/>
        </w:rPr>
        <w:t xml:space="preserve">Status: </w:t>
      </w:r>
      <w:r>
        <w:rPr>
          <w:rFonts w:ascii="Calibri"/>
          <w:color w:val="1A2B40"/>
          <w:sz w:val="22"/>
          <w:szCs w:val="22"/>
        </w:rPr>
        <w:t xml:space="preserve">All passing, zero failures, zero skips</w:t>
      </w:r>
    </w:p>
    <w:p>
      <w:pPr>
        <w:spacing w:line="312"/>
      </w:pPr>
      <w:r>
        <w:rPr>
          <w:rFonts w:ascii="Calibri"/>
          <w:b/>
          <w:bCs/>
          <w:color w:val="0A1628"/>
          <w:sz w:val="22"/>
          <w:szCs w:val="22"/>
        </w:rPr>
        <w:t xml:space="preserve">Runtime: </w:t>
      </w:r>
      <w:r>
        <w:rPr>
          <w:rFonts w:ascii="Calibri"/>
          <w:color w:val="1A2B40"/>
          <w:sz w:val="22"/>
          <w:szCs w:val="22"/>
        </w:rPr>
        <w:t xml:space="preserve">17.86s</w:t>
      </w:r>
    </w:p>
    <w:p>
      <w:pPr>
        <w:spacing w:line="312"/>
      </w:pPr>
      <w:r>
        <w:rPr>
          <w:rFonts w:ascii="Calibri"/>
          <w:b/>
          <w:bCs/>
          <w:color w:val="0A1628"/>
          <w:sz w:val="22"/>
          <w:szCs w:val="22"/>
        </w:rPr>
        <w:t xml:space="preserve">Regressions: </w:t>
      </w:r>
      <w:r>
        <w:rPr>
          <w:rFonts w:ascii="Calibri"/>
          <w:color w:val="1A2B40"/>
          <w:sz w:val="22"/>
          <w:szCs w:val="22"/>
        </w:rPr>
        <w:t xml:space="preserve">NONE. All 307 existing tests continue to pass.</w:t>
      </w:r>
    </w:p>
    <w:p>
      <w:pPr>
        <w:pStyle w:val="Heading1"/>
        <w:spacing w:after="120" w:before="360"/>
      </w:pPr>
      <w:bookmarkStart w:id="100020" w:name="_Toc100020"/>
      <w:r>
        <w:rPr>
          <w:rFonts w:ascii="Calibri" w:eastAsia="Microsoft YaHei"/>
          <w:b/>
          <w:bCs/>
          <w:color w:val="0A1628"/>
          <w:sz w:val="32"/>
          <w:szCs w:val="32"/>
        </w:rPr>
        <w:t xml:space="preserve">19. Typecheck Result</w:t>
      </w:r>
      <w:bookmarkEnd w:id="100020"/>
    </w:p>
    <w:p>
      <w:pPr>
        <w:spacing w:line="312"/>
      </w:pPr>
      <w:r>
        <w:rPr>
          <w:rFonts w:ascii="Calibri"/>
          <w:b/>
          <w:bCs/>
          <w:color w:val="0A1628"/>
          <w:sz w:val="22"/>
          <w:szCs w:val="22"/>
        </w:rPr>
        <w:t xml:space="preserve">Status: </w:t>
      </w:r>
      <w:r>
        <w:rPr>
          <w:rFonts w:ascii="Calibri"/>
          <w:color w:val="1A2B40"/>
          <w:sz w:val="22"/>
          <w:szCs w:val="22"/>
        </w:rPr>
        <w:t xml:space="preserve">PASS</w:t>
      </w:r>
    </w:p>
    <w:p>
      <w:pPr>
        <w:spacing w:line="312"/>
        <w:jc w:val="both"/>
      </w:pPr>
      <w:r>
        <w:rPr>
          <w:rFonts w:ascii="Calibri" w:eastAsia="Microsoft YaHei"/>
          <w:color w:val="1A2B40"/>
          <w:sz w:val="22"/>
          <w:szCs w:val="22"/>
        </w:rPr>
        <w:t xml:space="preserve">Zero TypeScript compilation errors after all Phase 2 changes. The typecheck command (tsc --noEmit) produces no output, indicating clean compilation. The 18 new table type definitions and the signal_status enum fix resolved all type gaps for the affected database tables.</w:t>
      </w:r>
    </w:p>
    <w:p>
      <w:pPr>
        <w:pStyle w:val="Heading1"/>
        <w:spacing w:after="120" w:before="360"/>
      </w:pPr>
      <w:bookmarkStart w:id="100021" w:name="_Toc100021"/>
      <w:r>
        <w:rPr>
          <w:rFonts w:ascii="Calibri" w:eastAsia="Microsoft YaHei"/>
          <w:b/>
          <w:bCs/>
          <w:color w:val="0A1628"/>
          <w:sz w:val="32"/>
          <w:szCs w:val="32"/>
        </w:rPr>
        <w:t xml:space="preserve">20. Build Result</w:t>
      </w:r>
      <w:bookmarkEnd w:id="100021"/>
    </w:p>
    <w:p>
      <w:pPr>
        <w:spacing w:line="312"/>
      </w:pPr>
      <w:r>
        <w:rPr>
          <w:rFonts w:ascii="Calibri"/>
          <w:b/>
          <w:bCs/>
          <w:color w:val="0A1628"/>
          <w:sz w:val="22"/>
          <w:szCs w:val="22"/>
        </w:rPr>
        <w:t xml:space="preserve">Status: </w:t>
      </w:r>
      <w:r>
        <w:rPr>
          <w:rFonts w:ascii="Calibri"/>
          <w:color w:val="1A2B40"/>
          <w:sz w:val="22"/>
          <w:szCs w:val="22"/>
        </w:rPr>
        <w:t xml:space="preserve">PASS</w:t>
      </w:r>
    </w:p>
    <w:p>
      <w:pPr>
        <w:spacing w:line="312"/>
      </w:pPr>
      <w:r>
        <w:rPr>
          <w:rFonts w:ascii="Calibri"/>
          <w:b/>
          <w:bCs/>
          <w:color w:val="0A1628"/>
          <w:sz w:val="22"/>
          <w:szCs w:val="22"/>
        </w:rPr>
        <w:t xml:space="preserve">Duration: </w:t>
      </w:r>
      <w:r>
        <w:rPr>
          <w:rFonts w:ascii="Calibri"/>
          <w:color w:val="1A2B40"/>
          <w:sz w:val="22"/>
          <w:szCs w:val="22"/>
        </w:rPr>
        <w:t xml:space="preserve">30.09s (up from 27.09s baseline, increase due to additional type definitions)</w:t>
      </w:r>
    </w:p>
    <w:p>
      <w:pPr>
        <w:spacing w:line="312"/>
        <w:jc w:val="both"/>
      </w:pPr>
      <w:r>
        <w:rPr>
          <w:rFonts w:ascii="Calibri" w:eastAsia="Microsoft YaHei"/>
          <w:color w:val="1A2B40"/>
          <w:sz w:val="22"/>
          <w:szCs w:val="22"/>
        </w:rPr>
        <w:t xml:space="preserve">The Vite build completes successfully with no errors. The small build time increase is expected due to the 18 additional table type definitions in types.ts. The output is a valid Nitro deployment bundle.</w:t>
      </w:r>
    </w:p>
    <w:p>
      <w:pPr>
        <w:pStyle w:val="Heading1"/>
        <w:spacing w:after="120" w:before="360"/>
      </w:pPr>
      <w:bookmarkStart w:id="100022" w:name="_Toc100022"/>
      <w:r>
        <w:rPr>
          <w:rFonts w:ascii="Calibri" w:eastAsia="Microsoft YaHei"/>
          <w:b/>
          <w:bCs/>
          <w:color w:val="0A1628"/>
          <w:sz w:val="32"/>
          <w:szCs w:val="32"/>
        </w:rPr>
        <w:t xml:space="preserve">21. Remaining Findings</w:t>
      </w:r>
      <w:bookmarkEnd w:id="100022"/>
    </w:p>
    <w:p>
      <w:pPr>
        <w:spacing w:line="312"/>
        <w:jc w:val="both"/>
      </w:pPr>
      <w:r>
        <w:rPr>
          <w:rFonts w:ascii="Calibri" w:eastAsia="Microsoft YaHei"/>
          <w:color w:val="1A2B40"/>
          <w:sz w:val="22"/>
          <w:szCs w:val="22"/>
        </w:rPr>
        <w:t xml:space="preserve">The following findings from the Phase 0 Reality Baseline are NOT addressed in Phase 2 and are deferred to their assigned phases:</w:t>
      </w:r>
    </w:p>
    <w:p>
      <w:pPr>
        <w:spacing w:line="312"/>
      </w:pPr>
      <w:r>
        <w:rPr>
          <w:rFonts w:ascii="Calibri"/>
          <w:b/>
          <w:bCs/>
          <w:color w:val="0A1628"/>
          <w:sz w:val="22"/>
          <w:szCs w:val="22"/>
        </w:rPr>
        <w:t xml:space="preserve">F2 (HIGH): </w:t>
      </w:r>
      <w:r>
        <w:rPr>
          <w:rFonts w:ascii="Calibri"/>
          <w:color w:val="1A2B40"/>
          <w:sz w:val="22"/>
          <w:szCs w:val="22"/>
        </w:rPr>
        <w:t xml:space="preserve">Signal transition engine exists but never invoked from server. Deferred to Phase 5 (Signal Engine).</w:t>
      </w:r>
    </w:p>
    <w:p>
      <w:pPr>
        <w:spacing w:line="312"/>
      </w:pPr>
      <w:r>
        <w:rPr>
          <w:rFonts w:ascii="Calibri"/>
          <w:b/>
          <w:bCs/>
          <w:color w:val="0A1628"/>
          <w:sz w:val="22"/>
          <w:szCs w:val="22"/>
        </w:rPr>
        <w:t xml:space="preserve">F4 (HIGH): </w:t>
      </w:r>
      <w:r>
        <w:rPr>
          <w:rFonts w:ascii="Calibri"/>
          <w:color w:val="1A2B40"/>
          <w:sz w:val="22"/>
          <w:szCs w:val="22"/>
        </w:rPr>
        <w:t xml:space="preserve">Event bus has 20 events defined, zero handlers. Deferred to Phase 7 (Background Jobs &amp; Events).</w:t>
      </w:r>
    </w:p>
    <w:p>
      <w:pPr>
        <w:spacing w:line="312"/>
      </w:pPr>
      <w:r>
        <w:rPr>
          <w:rFonts w:ascii="Calibri"/>
          <w:b/>
          <w:bCs/>
          <w:color w:val="0A1628"/>
          <w:sz w:val="22"/>
          <w:szCs w:val="22"/>
        </w:rPr>
        <w:t xml:space="preserve">F7 (MEDIUM): </w:t>
      </w:r>
      <w:r>
        <w:rPr>
          <w:rFonts w:ascii="Calibri"/>
          <w:color w:val="1A2B40"/>
          <w:sz w:val="22"/>
          <w:szCs w:val="22"/>
        </w:rPr>
        <w:t xml:space="preserve">Signal tracking: client-authoritative price evaluation. Deferred to Phase 5 (Signal Engine).</w:t>
      </w:r>
    </w:p>
    <w:p>
      <w:pPr>
        <w:spacing w:line="312"/>
      </w:pPr>
      <w:r>
        <w:rPr>
          <w:rFonts w:ascii="Calibri"/>
          <w:b/>
          <w:bCs/>
          <w:color w:val="0A1628"/>
          <w:sz w:val="22"/>
          <w:szCs w:val="22"/>
        </w:rPr>
        <w:t xml:space="preserve">F6 (MEDIUM): </w:t>
      </w:r>
      <w:r>
        <w:rPr>
          <w:rFonts w:ascii="Calibri"/>
          <w:color w:val="1A2B40"/>
          <w:sz w:val="22"/>
          <w:szCs w:val="22"/>
        </w:rPr>
        <w:t xml:space="preserve">10 unused npm dependencies. Partially addressed (alchemy-rpc removed). Remaining 9 deps deferred. Requires careful dependency audit before removal.</w:t>
      </w:r>
    </w:p>
    <w:p>
      <w:pPr>
        <w:spacing w:line="312"/>
      </w:pPr>
      <w:r>
        <w:rPr>
          <w:rFonts w:ascii="Calibri"/>
          <w:b/>
          <w:bCs/>
          <w:color w:val="0A1628"/>
          <w:sz w:val="22"/>
          <w:szCs w:val="22"/>
        </w:rPr>
        <w:t xml:space="preserve">F8 (MEDIUM): </w:t>
      </w:r>
      <w:r>
        <w:rPr>
          <w:rFonts w:ascii="Calibri"/>
          <w:color w:val="1A2B40"/>
          <w:sz w:val="22"/>
          <w:szCs w:val="22"/>
        </w:rPr>
        <w:t xml:space="preserve">4 AI agent panels with 80% duplicated code. Deferred to Phase 10 (UX V2).</w:t>
      </w:r>
    </w:p>
    <w:p>
      <w:pPr>
        <w:spacing w:line="312"/>
      </w:pPr>
      <w:r>
        <w:rPr>
          <w:rFonts w:ascii="Calibri"/>
          <w:b/>
          <w:bCs/>
          <w:color w:val="0A1628"/>
          <w:sz w:val="22"/>
          <w:szCs w:val="22"/>
        </w:rPr>
        <w:t xml:space="preserve">F9 (MEDIUM): </w:t>
      </w:r>
      <w:r>
        <w:rPr>
          <w:rFonts w:ascii="Calibri"/>
          <w:color w:val="1A2B40"/>
          <w:sz w:val="22"/>
          <w:szCs w:val="22"/>
        </w:rPr>
        <w:t xml:space="preserve">2 chart components with 80% duplicated code. Deferred to Phase 10 (UX V2).</w:t>
      </w:r>
    </w:p>
    <w:p>
      <w:pPr>
        <w:spacing w:line="312"/>
      </w:pPr>
      <w:r>
        <w:rPr>
          <w:rFonts w:ascii="Calibri"/>
          <w:b/>
          <w:bCs/>
          <w:color w:val="0A1628"/>
          <w:sz w:val="22"/>
          <w:szCs w:val="22"/>
        </w:rPr>
        <w:t xml:space="preserve">F10 (MEDIUM): </w:t>
      </w:r>
      <w:r>
        <w:rPr>
          <w:rFonts w:ascii="Calibri"/>
          <w:color w:val="1A2B40"/>
          <w:sz w:val="22"/>
          <w:szCs w:val="22"/>
        </w:rPr>
        <w:t xml:space="preserve">Duplicate Telegram webhooks. Not removed (different payload formats). May merge later.</w:t>
      </w:r>
    </w:p>
    <w:p>
      <w:pPr>
        <w:spacing w:line="312"/>
      </w:pPr>
      <w:r>
        <w:rPr>
          <w:rFonts w:ascii="Calibri"/>
          <w:b/>
          <w:bCs/>
          <w:color w:val="0A1628"/>
          <w:sz w:val="22"/>
          <w:szCs w:val="22"/>
        </w:rPr>
        <w:t xml:space="preserve">F11 (MEDIUM): </w:t>
      </w:r>
      <w:r>
        <w:rPr>
          <w:rFonts w:ascii="Calibri"/>
          <w:color w:val="1A2B40"/>
          <w:sz w:val="22"/>
          <w:szCs w:val="22"/>
        </w:rPr>
        <w:t xml:space="preserve">5 components hardcode strings (bypass i18n). Deferred to Phase 10 (UX V2).</w:t>
      </w:r>
    </w:p>
    <w:p>
      <w:pPr>
        <w:spacing w:line="312"/>
      </w:pPr>
      <w:r>
        <w:rPr>
          <w:rFonts w:ascii="Calibri"/>
          <w:b/>
          <w:bCs/>
          <w:color w:val="0A1628"/>
          <w:sz w:val="22"/>
          <w:szCs w:val="22"/>
        </w:rPr>
        <w:t xml:space="preserve">F13 (LOW): </w:t>
      </w:r>
      <w:r>
        <w:rPr>
          <w:rFonts w:ascii="Calibri"/>
          <w:color w:val="1A2B40"/>
          <w:sz w:val="22"/>
          <w:szCs w:val="22"/>
        </w:rPr>
        <w:t xml:space="preserve">.env.example incomplete. Deferred.</w:t>
      </w:r>
    </w:p>
    <w:p>
      <w:pPr>
        <w:spacing w:line="312"/>
      </w:pPr>
      <w:r>
        <w:rPr>
          <w:rFonts w:ascii="Calibri"/>
          <w:b/>
          <w:bCs/>
          <w:color w:val="0A1628"/>
          <w:sz w:val="22"/>
          <w:szCs w:val="22"/>
        </w:rPr>
        <w:t xml:space="preserve">F14 (LOW): </w:t>
      </w:r>
      <w:r>
        <w:rPr>
          <w:rFonts w:ascii="Calibri"/>
          <w:color w:val="1A2B40"/>
          <w:sz w:val="22"/>
          <w:szCs w:val="22"/>
        </w:rPr>
        <w:t xml:space="preserve">8 orphaned Storybook stories. Deferred.</w:t>
      </w:r>
    </w:p>
    <w:p>
      <w:pPr>
        <w:spacing w:line="312"/>
      </w:pPr>
      <w:r>
        <w:rPr>
          <w:rFonts w:ascii="Calibri"/>
          <w:b/>
          <w:bCs/>
          <w:color w:val="0A1628"/>
          <w:sz w:val="22"/>
          <w:szCs w:val="22"/>
        </w:rPr>
        <w:t xml:space="preserve">F16 (LOW): </w:t>
      </w:r>
      <w:r>
        <w:rPr>
          <w:rFonts w:ascii="Calibri"/>
          <w:color w:val="1A2B40"/>
          <w:sz w:val="22"/>
          <w:szCs w:val="22"/>
        </w:rPr>
        <w:t xml:space="preserve">2 orphaned routes. Deferred to Phase 9 (Route Consolidation).</w:t>
      </w:r>
    </w:p>
    <w:p>
      <w:pPr>
        <w:spacing w:line="312"/>
      </w:pPr>
      <w:r>
        <w:rPr>
          <w:rFonts w:ascii="Calibri"/>
          <w:b/>
          <w:bCs/>
          <w:color w:val="0A1628"/>
          <w:sz w:val="22"/>
          <w:szCs w:val="22"/>
        </w:rPr>
        <w:t xml:space="preserve">F17 (INFO): </w:t>
      </w:r>
      <w:r>
        <w:rPr>
          <w:rFonts w:ascii="Calibri"/>
          <w:color w:val="1A2B40"/>
          <w:sz w:val="22"/>
          <w:szCs w:val="22"/>
        </w:rPr>
        <w:t xml:space="preserve">3 lock files. package-lock.json and bunfig.toml should be removed. Deferred.</w:t>
      </w:r>
    </w:p>
    <w:p>
      <w:pPr>
        <w:spacing w:line="312"/>
      </w:pPr>
      <w:r>
        <w:rPr>
          <w:rFonts w:ascii="Calibri"/>
          <w:b/>
          <w:bCs/>
          <w:color w:val="0A1628"/>
          <w:sz w:val="22"/>
          <w:szCs w:val="22"/>
        </w:rPr>
        <w:t xml:space="preserve">F18 (INFO): </w:t>
      </w:r>
      <w:r>
        <w:rPr>
          <w:rFonts w:ascii="Calibri"/>
          <w:color w:val="1A2B40"/>
          <w:sz w:val="22"/>
          <w:szCs w:val="22"/>
        </w:rPr>
        <w:t xml:space="preserve">No CI pipeline. Deferred.</w:t>
      </w:r>
    </w:p>
    <w:p>
      <w:pPr>
        <w:pStyle w:val="Heading1"/>
        <w:spacing w:after="120" w:before="360"/>
      </w:pPr>
      <w:bookmarkStart w:id="100023" w:name="_Toc100023"/>
      <w:r>
        <w:rPr>
          <w:rFonts w:ascii="Calibri" w:eastAsia="Microsoft YaHei"/>
          <w:b/>
          <w:bCs/>
          <w:color w:val="0A1628"/>
          <w:sz w:val="32"/>
          <w:szCs w:val="32"/>
        </w:rPr>
        <w:t xml:space="preserve">22. Deferred Work</w:t>
      </w:r>
      <w:bookmarkEnd w:id="100023"/>
    </w:p>
    <w:p>
      <w:pPr>
        <w:spacing w:line="312"/>
        <w:jc w:val="both"/>
      </w:pPr>
      <w:r>
        <w:rPr>
          <w:rFonts w:ascii="Calibri" w:eastAsia="Microsoft YaHei"/>
          <w:color w:val="1A2B40"/>
          <w:sz w:val="22"/>
          <w:szCs w:val="22"/>
        </w:rPr>
        <w:t xml:space="preserve">The following items were evaluated during Phase 2 but explicitly deferred per the Architecture Decision Freeze and Phase 2 scope boundaries:</w:t>
      </w:r>
    </w:p>
    <w:p>
      <w:pPr>
        <w:spacing w:line="312"/>
        <w:jc w:val="both"/>
      </w:pPr>
      <w:r>
        <w:rPr>
          <w:rFonts w:ascii="Calibri" w:eastAsia="Microsoft YaHei"/>
          <w:color w:val="1A2B40"/>
          <w:sz w:val="22"/>
          <w:szCs w:val="22"/>
        </w:rPr>
        <w:t xml:space="preserve">Full Signal Engine implementation (server-side transition invocation, atomic commits, domain events, audit records). This is the core of Phase 5.</w:t>
      </w:r>
    </w:p>
    <w:p>
      <w:pPr>
        <w:spacing w:line="312"/>
        <w:jc w:val="both"/>
      </w:pPr>
      <w:r>
        <w:rPr>
          <w:rFonts w:ascii="Calibri" w:eastAsia="Microsoft YaHei"/>
          <w:color w:val="1A2B40"/>
          <w:sz w:val="22"/>
          <w:szCs w:val="22"/>
        </w:rPr>
        <w:t xml:space="preserve">MOXI V2 architecture migration. The current MOXI system works and must not be redesigned in Phase 2.</w:t>
      </w:r>
    </w:p>
    <w:p>
      <w:pPr>
        <w:spacing w:line="312"/>
        <w:jc w:val="both"/>
      </w:pPr>
      <w:r>
        <w:rPr>
          <w:rFonts w:ascii="Calibri" w:eastAsia="Microsoft YaHei"/>
          <w:color w:val="1A2B40"/>
          <w:sz w:val="22"/>
          <w:szCs w:val="22"/>
        </w:rPr>
        <w:t xml:space="preserve">Route consolidation (41 routes to approximately 12). Requires UI changes deferred to Phase 9.</w:t>
      </w:r>
    </w:p>
    <w:p>
      <w:pPr>
        <w:spacing w:line="312"/>
        <w:jc w:val="both"/>
      </w:pPr>
      <w:r>
        <w:rPr>
          <w:rFonts w:ascii="Calibri" w:eastAsia="Microsoft YaHei"/>
          <w:color w:val="1A2B40"/>
          <w:sz w:val="22"/>
          <w:szCs w:val="22"/>
        </w:rPr>
        <w:t xml:space="preserve">Full UI redesign. Phase 2 only modified the trade creation flow where the API contract changed.</w:t>
      </w:r>
    </w:p>
    <w:p>
      <w:pPr>
        <w:spacing w:line="312"/>
        <w:jc w:val="both"/>
      </w:pPr>
      <w:r>
        <w:rPr>
          <w:rFonts w:ascii="Calibri" w:eastAsia="Microsoft YaHei"/>
          <w:color w:val="1A2B40"/>
          <w:sz w:val="22"/>
          <w:szCs w:val="22"/>
        </w:rPr>
        <w:t xml:space="preserve">Notifications system rebuild. Current notification system works.</w:t>
      </w:r>
    </w:p>
    <w:p>
      <w:pPr>
        <w:spacing w:line="312"/>
        <w:jc w:val="both"/>
      </w:pPr>
      <w:r>
        <w:rPr>
          <w:rFonts w:ascii="Calibri" w:eastAsia="Microsoft YaHei"/>
          <w:color w:val="1A2B40"/>
          <w:sz w:val="22"/>
          <w:szCs w:val="22"/>
        </w:rPr>
        <w:t xml:space="preserve">Event system rebuild. The event bus is dead (F4) but rebuilding it is Phase 7.</w:t>
      </w:r>
    </w:p>
    <w:p>
      <w:pPr>
        <w:spacing w:line="312"/>
        <w:jc w:val="both"/>
      </w:pPr>
      <w:r>
        <w:rPr>
          <w:rFonts w:ascii="Calibri" w:eastAsia="Microsoft YaHei"/>
          <w:color w:val="1A2B40"/>
          <w:sz w:val="22"/>
          <w:szCs w:val="22"/>
        </w:rPr>
        <w:t xml:space="preserve">Trading execution system, futures, on-chain features. All explicitly out of scope.</w:t>
      </w:r>
    </w:p>
    <w:p>
      <w:pPr>
        <w:spacing w:line="312"/>
        <w:jc w:val="both"/>
      </w:pPr>
      <w:r>
        <w:rPr>
          <w:rFonts w:ascii="Calibri" w:eastAsia="Microsoft YaHei"/>
          <w:color w:val="1A2B40"/>
          <w:sz w:val="22"/>
          <w:szCs w:val="22"/>
        </w:rPr>
        <w:t xml:space="preserve">Mastra production integration. Classified as POC only in the Decision Freeze.</w:t>
      </w:r>
    </w:p>
    <w:p>
      <w:pPr>
        <w:spacing w:line="312"/>
        <w:jc w:val="both"/>
      </w:pPr>
      <w:r>
        <w:rPr>
          <w:rFonts w:ascii="Calibri" w:eastAsia="Microsoft YaHei"/>
          <w:color w:val="1A2B40"/>
          <w:sz w:val="22"/>
          <w:szCs w:val="22"/>
        </w:rPr>
        <w:t xml:space="preserve">Provider adapter implementation for existing providers. The normalization types are defined; the actual adapter wrapping of Binance, TwelveData, DexScreener, etc. will be done incrementally in later phases.</w:t>
      </w:r>
    </w:p>
    <w:p>
      <w:pPr>
        <w:spacing w:line="312"/>
        <w:jc w:val="both"/>
      </w:pPr>
      <w:r>
        <w:rPr>
          <w:rFonts w:ascii="Calibri" w:eastAsia="Microsoft YaHei"/>
          <w:color w:val="1A2B40"/>
          <w:sz w:val="22"/>
          <w:szCs w:val="22"/>
        </w:rPr>
        <w:t xml:space="preserve">Lock file cleanup (removing package-lock.json and bunfig.toml). Requires verification that no CI system depends on them.</w:t>
      </w:r>
    </w:p>
    <w:p>
      <w:pPr>
        <w:pStyle w:val="Heading1"/>
        <w:spacing w:after="120" w:before="360"/>
      </w:pPr>
      <w:bookmarkStart w:id="100024" w:name="_Toc100024"/>
      <w:r>
        <w:rPr>
          <w:rFonts w:ascii="Calibri" w:eastAsia="Microsoft YaHei"/>
          <w:b/>
          <w:bCs/>
          <w:color w:val="0A1628"/>
          <w:sz w:val="32"/>
          <w:szCs w:val="32"/>
        </w:rPr>
        <w:t xml:space="preserve">23. Architecture Deviations</w:t>
      </w:r>
      <w:bookmarkEnd w:id="100024"/>
    </w:p>
    <w:p>
      <w:pPr>
        <w:spacing w:line="312"/>
        <w:jc w:val="both"/>
      </w:pPr>
      <w:r>
        <w:rPr>
          <w:rFonts w:ascii="Calibri" w:eastAsia="Microsoft YaHei"/>
          <w:color w:val="1A2B40"/>
          <w:sz w:val="22"/>
          <w:szCs w:val="22"/>
        </w:rPr>
        <w:t xml:space="preserve">NONE. All Phase 2 changes are within the bounds of the Architecture Decision Freeze V2. The canonical data model types match the Decision Freeze Section 10 definitions. The trades domain fix aligns with Section 10.2 (Trade model). The normalization boundary follows Section 11.2 (Normalization Contract). The server authority principle (Section 3.2) is enforced in all new mutation handlers. The error model follows the Minimum Powerful Stack principle (Section 3.4). No OSS decisions were revisited.</w:t>
      </w:r>
    </w:p>
    <w:p>
      <w:pPr>
        <w:pStyle w:val="Heading1"/>
        <w:spacing w:after="120" w:before="360"/>
      </w:pPr>
      <w:bookmarkStart w:id="100025" w:name="_Toc100025"/>
      <w:r>
        <w:rPr>
          <w:rFonts w:ascii="Calibri" w:eastAsia="Microsoft YaHei"/>
          <w:b/>
          <w:bCs/>
          <w:color w:val="0A1628"/>
          <w:sz w:val="32"/>
          <w:szCs w:val="32"/>
        </w:rPr>
        <w:t xml:space="preserve">24. Risks</w:t>
      </w:r>
      <w:bookmarkEnd w:id="100025"/>
    </w:p>
    <w:p>
      <w:pPr>
        <w:spacing w:line="312"/>
      </w:pPr>
      <w:r>
        <w:rPr>
          <w:rFonts w:ascii="Calibri"/>
          <w:b/>
          <w:bCs/>
          <w:color w:val="0A1628"/>
          <w:sz w:val="22"/>
          <w:szCs w:val="22"/>
        </w:rPr>
        <w:t xml:space="preserve">Trade type alignment: </w:t>
      </w:r>
      <w:r>
        <w:rPr>
          <w:rFonts w:ascii="Calibri"/>
          <w:color w:val="1A2B40"/>
          <w:sz w:val="22"/>
          <w:szCs w:val="22"/>
        </w:rPr>
        <w:t xml:space="preserve">The Trade interface was rewritten to match the database. If any code outside the traced consumers (trade-desk.tsx) was relying on the old phantom fields (current_price, amount, leverage), it will have compile errors. Mitigation: typecheck passes clean, confirming no hidden dependencies.</w:t>
      </w:r>
    </w:p>
    <w:p>
      <w:pPr>
        <w:spacing w:line="312"/>
      </w:pPr>
      <w:r>
        <w:rPr>
          <w:rFonts w:ascii="Calibri"/>
          <w:b/>
          <w:bCs/>
          <w:color w:val="0A1628"/>
          <w:sz w:val="22"/>
          <w:szCs w:val="22"/>
        </w:rPr>
        <w:t xml:space="preserve">Normalization types unused: </w:t>
      </w:r>
      <w:r>
        <w:rPr>
          <w:rFonts w:ascii="Calibri"/>
          <w:color w:val="1A2B40"/>
          <w:sz w:val="22"/>
          <w:szCs w:val="22"/>
        </w:rPr>
        <w:t xml:space="preserve">The canonical types in shared/normalization/types.ts are defined but not yet consumed by any provider adapter. This is intentional — they are the foundation for later phases. Risk: low. Mitigation: types are tested via typecheck.</w:t>
      </w:r>
    </w:p>
    <w:p>
      <w:pPr>
        <w:spacing w:line="312"/>
      </w:pPr>
      <w:r>
        <w:rPr>
          <w:rFonts w:ascii="Calibri"/>
          <w:b/>
          <w:bCs/>
          <w:color w:val="0A1628"/>
          <w:sz w:val="22"/>
          <w:szCs w:val="22"/>
        </w:rPr>
        <w:t xml:space="preserve">Error model adoption: </w:t>
      </w:r>
      <w:r>
        <w:rPr>
          <w:rFonts w:ascii="Calibri"/>
          <w:color w:val="1A2B40"/>
          <w:sz w:val="22"/>
          <w:szCs w:val="22"/>
        </w:rPr>
        <w:t xml:space="preserve">The domain error classes in shared/errors.ts are available but not yet adopted by existing server functions (only the new trades functions use the pattern implicitly via throw new Error). Existing functions continue to use plain Error. This is acceptable for Phase 2; the error model will be adopted incrementally.</w:t>
      </w:r>
    </w:p>
    <w:p>
      <w:pPr>
        <w:spacing w:line="312"/>
      </w:pPr>
      <w:r>
        <w:rPr>
          <w:rFonts w:ascii="Calibri"/>
          <w:b/>
          <w:bCs/>
          <w:color w:val="0A1628"/>
          <w:sz w:val="22"/>
          <w:szCs w:val="22"/>
        </w:rPr>
        <w:t xml:space="preserve">DebateEngine removal: </w:t>
      </w:r>
      <w:r>
        <w:rPr>
          <w:rFonts w:ascii="Calibri"/>
          <w:color w:val="1A2B40"/>
          <w:sz w:val="22"/>
          <w:szCs w:val="22"/>
        </w:rPr>
        <w:t xml:space="preserve">The keyword-counting DebateEngine class was removed from debate/index.ts. If any runtime code path imports it (not just the type), it will fail. Mitigation: ripgrep search confirmed zero imports of the class.</w:t>
      </w:r>
    </w:p>
    <w:p>
      <w:pPr>
        <w:pStyle w:val="Heading1"/>
        <w:spacing w:after="120" w:before="360"/>
      </w:pPr>
      <w:bookmarkStart w:id="100026" w:name="_Toc100026"/>
      <w:r>
        <w:rPr>
          <w:rFonts w:ascii="Calibri" w:eastAsia="Microsoft YaHei"/>
          <w:b/>
          <w:bCs/>
          <w:color w:val="0A1628"/>
          <w:sz w:val="32"/>
          <w:szCs w:val="32"/>
        </w:rPr>
        <w:t xml:space="preserve">25. Phase 3 Readiness</w:t>
      </w:r>
      <w:bookmarkEnd w:id="100026"/>
    </w:p>
    <w:p>
      <w:pPr>
        <w:spacing w:line="312"/>
        <w:jc w:val="both"/>
      </w:pPr>
      <w:r>
        <w:rPr>
          <w:rFonts w:ascii="Calibri" w:eastAsia="Microsoft YaHei"/>
          <w:color w:val="1A2B40"/>
          <w:sz w:val="22"/>
          <w:szCs w:val="22"/>
        </w:rPr>
        <w:t xml:space="preserve">Phase 2 is COMPLETE. All acceptance criteria are met. The foundation is established for Phase 3 and subsequent phases:</w:t>
      </w:r>
    </w:p>
    <w:p>
      <w:pPr>
        <w:spacing w:line="312"/>
        <w:jc w:val="both"/>
      </w:pPr>
      <w:r>
        <w:rPr>
          <w:rFonts w:ascii="Calibri" w:eastAsia="Microsoft YaHei"/>
          <w:color w:val="1A2B40"/>
          <w:sz w:val="22"/>
          <w:szCs w:val="22"/>
        </w:rPr>
        <w:t xml:space="preserve">Canonical data model types are defined and type-checked (Asset, Pair, Candle, Ticker). Database/types are aligned: all 47 tables now have TypeScript type definitions. The 18 missing type representations from F3 are resolved. The signal_status enum mismatch (F12) is fixed. createTrade no longer loses validated fields (F1). createTrade regression tests exist (20 tests). Server authority is established for trade mutations. A normalization boundary contract is defined. Validation boundaries are consistent for trades. Ownership is server-verified for trade updates. No new mocks or hardcoded production data introduced. No critical security regressions. No architecture violations. All 327 tests pass. Typecheck passes. Build passes.</w:t>
      </w:r>
    </w:p>
    <w:p>
      <w:pPr>
        <w:spacing w:line="312"/>
        <w:jc w:val="both"/>
      </w:pPr>
      <w:r>
        <w:rPr>
          <w:rFonts w:ascii="Calibri" w:eastAsia="Microsoft YaHei"/>
          <w:color w:val="1A2B40"/>
          <w:sz w:val="22"/>
          <w:szCs w:val="22"/>
        </w:rPr>
        <w:t xml:space="preserve">Phase 3 (Signal Engine) is the next authorized phase. Phase 3 will: invoke the Transition Engine on the server side, implement atomic commits for signal state transitions, add serverReceivedAt as the authoritative timestamp, create SignalTransition audit records, and emit domain events for notification integration.</w:t>
      </w:r>
    </w:p>
    <w:sectPr>
      <w:headerReference w:type="default" r:id="rId7"/>
      <w:footerReference w:type="default" r:id="rId8"/>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6"/>
        <w:szCs w:val="16"/>
      </w:rPr>
      <w:t xml:space="preserve">Page </w:t>
    </w:r>
    <w:r>
      <w:rPr>
        <w:rFonts w:ascii="Calibri"/>
        <w:color w:val="6878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878A0"/>
        <w:sz w:val="16"/>
        <w:szCs w:val="16"/>
      </w:rPr>
      <w:t xml:space="preserve">VIXOR V2 — Phase 2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2026-08-10T02:29:11.703Z</dcterms:created>
  <dcterms:modified xsi:type="dcterms:W3CDTF">2026-08-10T02:29:11.703Z</dcterms:modified>
</cp:coreProperties>
</file>

<file path=docProps/custom.xml><?xml version="1.0" encoding="utf-8"?>
<Properties xmlns="http://schemas.openxmlformats.org/officeDocument/2006/custom-properties" xmlns:vt="http://schemas.openxmlformats.org/officeDocument/2006/docPropsVTypes"/>
</file>