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Layout w:type="fixed"/>
      </w:tblPr>
      <w:tblGrid>
        <w:gridCol w:w="100"/>
      </w:tblGrid>
      <w:tr>
        <w:trPr>
          <w:trHeight w:val="16838" w:hRule="exact"/>
        </w:trPr>
        <w:tc>
          <w:tcPr>
            <w:tcBorders>
              <w:top w:val="none"/>
              <w:left w:val="none"/>
              <w:bottom w:val="none"/>
              <w:right w:val="none"/>
            </w:tcBorders>
            <w:shd w:fill="0F172A" w:val="clear"/>
          </w:tcPr>
          <w:p>
            <w:pPr>
              <w:spacing w:before="4200"/>
            </w:pPr>
          </w:p>
          <w:p>
            <w:pPr>
              <w:pBdr>
                <w:bottom w:val="single" w:color="3B82F6" w:sz="6" w:space="8"/>
              </w:pBdr>
              <w:spacing w:after="500"/>
              <w:ind w:left="1200" w:right="800"/>
            </w:pPr>
            <w:r>
              <w:rPr>
                <w:rFonts w:ascii="Calibri"/>
                <w:color w:val="3B82F6"/>
                <w:spacing w:val="40"/>
                <w:sz w:val="18"/>
                <w:szCs w:val="18"/>
              </w:rPr>
              <w:t xml:space="preserve">P  H  A  S  E     0        |        R  E  A  D  -  O  N  L  Y     A  U  D  I  T</w:t>
            </w:r>
          </w:p>
          <w:p>
            <w:pPr>
              <w:spacing w:after="100" w:line="920" w:lineRule="atLeast"/>
              <w:ind w:left="1200"/>
            </w:pPr>
            <w:r>
              <w:rPr>
                <w:rFonts w:ascii="Arial"/>
                <w:b/>
                <w:bCs/>
                <w:color w:val="F8FAFC"/>
                <w:sz w:val="72"/>
                <w:szCs w:val="72"/>
              </w:rPr>
              <w:t xml:space="preserve">VIXOR REALITY</w:t>
            </w:r>
          </w:p>
          <w:p>
            <w:pPr>
              <w:spacing w:after="300" w:line="920" w:lineRule="atLeast"/>
              <w:ind w:left="1200"/>
            </w:pPr>
            <w:r>
              <w:rPr>
                <w:rFonts w:ascii="Arial"/>
                <w:b/>
                <w:bCs/>
                <w:color w:val="F8FAFC"/>
                <w:sz w:val="72"/>
                <w:szCs w:val="72"/>
              </w:rPr>
              <w:t xml:space="preserve">BASELINE</w:t>
            </w:r>
          </w:p>
          <w:p>
            <w:pPr>
              <w:spacing w:after="800"/>
              <w:ind w:left="1200"/>
            </w:pPr>
            <w:r>
              <w:rPr>
                <w:rFonts w:ascii="Arial"/>
                <w:color w:val="94A3B8"/>
                <w:sz w:val="24"/>
                <w:szCs w:val="24"/>
              </w:rPr>
              <w:t xml:space="preserve">Complete Repository Audit &amp; Capability Classification</w:t>
            </w:r>
          </w:p>
          <w:p>
            <w:pPr>
              <w:pBdr>
                <w:left w:val="single" w:color="3B82F6" w:sz="8" w:space="12"/>
              </w:pBdr>
              <w:spacing w:after="80"/>
              <w:ind w:left="1400"/>
            </w:pPr>
            <w:r>
              <w:rPr>
                <w:rFonts w:ascii="Arial"/>
                <w:color w:val="CBD5E1"/>
                <w:sz w:val="22"/>
                <w:szCs w:val="22"/>
              </w:rPr>
              <w:t xml:space="preserve">Commit: 32bbf147  |  Branch: main</w:t>
            </w:r>
          </w:p>
          <w:p>
            <w:pPr>
              <w:pBdr>
                <w:left w:val="single" w:color="3B82F6" w:sz="8" w:space="12"/>
              </w:pBdr>
              <w:spacing w:after="80"/>
              <w:ind w:left="1400"/>
            </w:pPr>
            <w:r>
              <w:rPr>
                <w:rFonts w:ascii="Arial"/>
                <w:color w:val="CBD5E1"/>
                <w:sz w:val="22"/>
                <w:szCs w:val="22"/>
              </w:rPr>
              <w:t xml:space="preserve">Package Manager: pnpm 9.15.0  |  Framework: TanStack Start + React 19</w:t>
            </w:r>
          </w:p>
          <w:p>
            <w:pPr>
              <w:pBdr>
                <w:left w:val="single" w:color="3B82F6" w:sz="8" w:space="12"/>
              </w:pBdr>
              <w:spacing w:after="80"/>
              <w:ind w:left="1400"/>
            </w:pPr>
            <w:r>
              <w:rPr>
                <w:rFonts w:ascii="Arial"/>
                <w:color w:val="CBD5E1"/>
                <w:sz w:val="22"/>
                <w:szCs w:val="22"/>
              </w:rPr>
              <w:t xml:space="preserve">Database: Supabase (47 tables, 26 migrations)</w:t>
            </w:r>
          </w:p>
          <w:p>
            <w:pPr>
              <w:pBdr>
                <w:left w:val="single" w:color="3B82F6" w:sz="8" w:space="12"/>
              </w:pBdr>
              <w:spacing w:after="80"/>
              <w:ind w:left="1400"/>
            </w:pPr>
            <w:r>
              <w:rPr>
                <w:rFonts w:ascii="Arial"/>
                <w:color w:val="CBD5E1"/>
                <w:sz w:val="22"/>
                <w:szCs w:val="22"/>
              </w:rPr>
              <w:t xml:space="preserve">Evidence Standard: Verified / Partial / Not Verified / Unknown</w:t>
            </w:r>
          </w:p>
          <w:p>
            <w:pPr>
              <w:spacing w:before="3200"/>
            </w:pPr>
          </w:p>
          <w:p>
            <w:pPr>
              <w:pBdr>
                <w:top w:val="single" w:color="3B82F6" w:sz="2" w:space="8"/>
              </w:pBdr>
              <w:ind w:left="1200" w:right="800"/>
            </w:pPr>
            <w:r>
              <w:rPr>
                <w:rFonts w:ascii="Arial"/>
                <w:color w:val="64748B"/>
                <w:sz w:val="16"/>
                <w:szCs w:val="16"/>
              </w:rPr>
              <w:t xml:space="preserve">VIXOR V2 Transformation Contract</w:t>
            </w:r>
            <w:r>
              <w:t xml:space="preserve">                                                  </w:t>
            </w:r>
            <w:r>
              <w:rPr>
                <w:rFonts w:ascii="Arial"/>
                <w:color w:val="64748B"/>
                <w:sz w:val="16"/>
                <w:szCs w:val="16"/>
              </w:rPr>
              <w:t xml:space="preserve">2026-08-10  |  CONFIDENTIAL</w:t>
            </w:r>
          </w:p>
        </w:tc>
      </w:tr>
    </w:tbl>
    <w:p>
      <w:pPr>
        <w:sectPr>
          <w:pgSz w:w="11906" w:h="16838" w:orient="0"/>
          <w:pgMar w:top="0" w:right="0" w:bottom="0" w:left="0" w:header="708" w:footer="708" w:gutter="0"/>
          <w:pgNumType/>
          <w:docGrid w:linePitch="360"/>
        </w:sectPr>
      </w:pPr>
    </w:p>
    <w:p>
      <w:pPr>
        <w:spacing w:after="400" w:before="400"/>
      </w:pPr>
      <w:r>
        <w:rPr>
          <w:rFonts w:ascii="Times New Roman"/>
          <w:b/>
          <w:bCs/>
          <w:color w:val="0F172A"/>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Audit at a Glance</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2. Repository Baseline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2.1 Git Status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2.2 Build &amp; TypeCheck Status</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2.3 Test Suite Status</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3. Dependency Audit</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3.1 Truly Unused Production Dependencies (10)</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3.2 Lock File Anomalies</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4. Route Inventory</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4.1 Route Classification Summary</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4.2 PARTIAL Routes - Detailed Evidence</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4.3 Functional Duplication</w:t>
            </w:r>
            <w:r>
              <w:tab/>
            </w:r>
            <w:r>
              <w:fldChar w:fldCharType="begin"/>
            </w:r>
            <w:r>
              <w:instrText xml:space="preserve"> PAGEREF _Toc100012 \h </w:instrText>
            </w:r>
            <w:r>
              <w:fldChar w:fldCharType="separate"/>
            </w:r>
            <w:r>
              <w:t>5</w:t>
            </w:r>
            <w:r>
              <w:fldChar w:fldCharType="end"/>
            </w:r>
          </w:hyperlink>
        </w:p>
        <w:p>
          <w:pPr>
            <w:pStyle w:val="9"/>
            <w:tabs>
              <w:tab w:val="right" w:leader="dot" w:pos="9026"/>
            </w:tabs>
            <w:spacing w:before="120" w:after="60"/>
          </w:pPr>
          <w:hyperlink w:anchor="_Toc100013" w:history="1">
            <w:r>
              <w:rPr>
                <w:rStyle w:val="Hyperlink"/>
              </w:rPr>
              <w:t>5. Domain Engine Audit</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5.1 BROKEN: trades/functions.ts - createTrade</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5.2 DEAD CODE: debate/index.ts</w:t>
            </w:r>
            <w:r>
              <w:tab/>
            </w:r>
            <w:r>
              <w:fldChar w:fldCharType="begin"/>
            </w:r>
            <w:r>
              <w:instrText xml:space="preserve"> PAGEREF _Toc100015 \h </w:instrText>
            </w:r>
            <w:r>
              <w:fldChar w:fldCharType="separate"/>
            </w:r>
            <w:r>
              <w:t>5</w:t>
            </w:r>
            <w:r>
              <w:fldChar w:fldCharType="end"/>
            </w:r>
          </w:hyperlink>
        </w:p>
        <w:p>
          <w:pPr>
            <w:pStyle w:val="9"/>
            <w:tabs>
              <w:tab w:val="right" w:leader="dot" w:pos="9026"/>
            </w:tabs>
            <w:spacing w:before="120" w:after="60"/>
          </w:pPr>
          <w:hyperlink w:anchor="_Toc100016" w:history="1">
            <w:r>
              <w:rPr>
                <w:rStyle w:val="Hyperlink"/>
              </w:rPr>
              <w:t>6. Server Functions &amp; Shared Layer</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6.1 Misleading Server Function Names</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6.2 Shared Modules Classification</w:t>
            </w:r>
            <w:r>
              <w:tab/>
            </w:r>
            <w:r>
              <w:fldChar w:fldCharType="begin"/>
            </w:r>
            <w:r>
              <w:instrText xml:space="preserve"> PAGEREF _Toc100018 \h </w:instrText>
            </w:r>
            <w:r>
              <w:fldChar w:fldCharType="separate"/>
            </w:r>
            <w:r>
              <w:t>6</w:t>
            </w:r>
            <w:r>
              <w:fldChar w:fldCharType="end"/>
            </w:r>
          </w:hyperlink>
        </w:p>
        <w:p>
          <w:pPr>
            <w:pStyle w:val="9"/>
            <w:tabs>
              <w:tab w:val="right" w:leader="dot" w:pos="9026"/>
            </w:tabs>
            <w:spacing w:before="120" w:after="60"/>
          </w:pPr>
          <w:hyperlink w:anchor="_Toc100019" w:history="1">
            <w:r>
              <w:rPr>
                <w:rStyle w:val="Hyperlink"/>
              </w:rPr>
              <w:t>7. Database &amp; Migration Audit</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7.1 Critical: 18 Tables Missing from types.ts</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7.2 signal_status Enum Mismatch</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7.3 Environment Configuration</w:t>
            </w:r>
            <w:r>
              <w:tab/>
            </w:r>
            <w:r>
              <w:fldChar w:fldCharType="begin"/>
            </w:r>
            <w:r>
              <w:instrText xml:space="preserve"> PAGEREF _Toc100022 \h </w:instrText>
            </w:r>
            <w:r>
              <w:fldChar w:fldCharType="separate"/>
            </w:r>
            <w:r>
              <w:t>7</w:t>
            </w:r>
            <w:r>
              <w:fldChar w:fldCharType="end"/>
            </w:r>
          </w:hyperlink>
        </w:p>
        <w:p>
          <w:pPr>
            <w:pStyle w:val="9"/>
            <w:tabs>
              <w:tab w:val="right" w:leader="dot" w:pos="9026"/>
            </w:tabs>
            <w:spacing w:before="120" w:after="60"/>
          </w:pPr>
          <w:hyperlink w:anchor="_Toc100023" w:history="1">
            <w:r>
              <w:rPr>
                <w:rStyle w:val="Hyperlink"/>
              </w:rPr>
              <w:t>8. Market Data Provider Audit</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8.1 Active WebSocket Connections</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8.2 DEAD Client Files (4)</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8.3 PARTIAL Providers (need API keys)</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8.4 Additional Findings</w:t>
            </w:r>
            <w:r>
              <w:tab/>
            </w:r>
            <w:r>
              <w:fldChar w:fldCharType="begin"/>
            </w:r>
            <w:r>
              <w:instrText xml:space="preserve"> PAGEREF _Toc100027 \h </w:instrText>
            </w:r>
            <w:r>
              <w:fldChar w:fldCharType="separate"/>
            </w:r>
            <w:r>
              <w:t>9</w:t>
            </w:r>
            <w:r>
              <w:fldChar w:fldCharType="end"/>
            </w:r>
          </w:hyperlink>
        </w:p>
        <w:p>
          <w:pPr>
            <w:pStyle w:val="9"/>
            <w:tabs>
              <w:tab w:val="right" w:leader="dot" w:pos="9026"/>
            </w:tabs>
            <w:spacing w:before="120" w:after="60"/>
          </w:pPr>
          <w:hyperlink w:anchor="_Toc100028" w:history="1">
            <w:r>
              <w:rPr>
                <w:rStyle w:val="Hyperlink"/>
              </w:rPr>
              <w:t>9. Signal Lifecycle Audit</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9.1 Authority Gap: Engine Not Invoked</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9.2 Dead Code in Signal Tracking</w:t>
            </w:r>
            <w:r>
              <w:tab/>
            </w:r>
            <w:r>
              <w:fldChar w:fldCharType="begin"/>
            </w:r>
            <w:r>
              <w:instrText xml:space="preserve"> PAGEREF _Toc100030 \h </w:instrText>
            </w:r>
            <w:r>
              <w:fldChar w:fldCharType="separate"/>
            </w:r>
            <w:r>
              <w:t>9</w:t>
            </w:r>
            <w:r>
              <w:fldChar w:fldCharType="end"/>
            </w:r>
          </w:hyperlink>
        </w:p>
        <w:p>
          <w:pPr>
            <w:pStyle w:val="11"/>
            <w:ind w:left="360"/>
            <w:tabs>
              <w:tab w:val="right" w:leader="dot" w:pos="9026"/>
            </w:tabs>
            <w:spacing w:before="120" w:after="60"/>
          </w:pPr>
          <w:hyperlink w:anchor="_Toc100031" w:history="1">
            <w:r>
              <w:rPr>
                <w:rStyle w:val="Hyperlink"/>
              </w:rPr>
              <w:t>9.3 Task 1.2C Locked Commit</w:t>
            </w:r>
            <w:r>
              <w:tab/>
            </w:r>
            <w:r>
              <w:fldChar w:fldCharType="begin"/>
            </w:r>
            <w:r>
              <w:instrText xml:space="preserve"> PAGEREF _Toc100031 \h </w:instrText>
            </w:r>
            <w:r>
              <w:fldChar w:fldCharType="separate"/>
            </w:r>
            <w:r>
              <w:t>10</w:t>
            </w:r>
            <w:r>
              <w:fldChar w:fldCharType="end"/>
            </w:r>
          </w:hyperlink>
        </w:p>
        <w:p>
          <w:pPr>
            <w:pStyle w:val="9"/>
            <w:tabs>
              <w:tab w:val="right" w:leader="dot" w:pos="9026"/>
            </w:tabs>
            <w:spacing w:before="120" w:after="60"/>
          </w:pPr>
          <w:hyperlink w:anchor="_Toc100032" w:history="1">
            <w:r>
              <w:rPr>
                <w:rStyle w:val="Hyperlink"/>
              </w:rPr>
              <w:t>10. MOXI System Audit</w:t>
            </w:r>
            <w:r>
              <w:tab/>
            </w:r>
            <w:r>
              <w:fldChar w:fldCharType="begin"/>
            </w:r>
            <w:r>
              <w:instrText xml:space="preserve"> PAGEREF _Toc100032 \h </w:instrText>
            </w:r>
            <w:r>
              <w:fldChar w:fldCharType="separate"/>
            </w:r>
            <w:r>
              <w:t>10</w:t>
            </w:r>
            <w:r>
              <w:fldChar w:fldCharType="end"/>
            </w:r>
          </w:hyperlink>
        </w:p>
        <w:p>
          <w:pPr>
            <w:pStyle w:val="11"/>
            <w:ind w:left="360"/>
            <w:tabs>
              <w:tab w:val="right" w:leader="dot" w:pos="9026"/>
            </w:tabs>
            <w:spacing w:before="120" w:after="60"/>
          </w:pPr>
          <w:hyperlink w:anchor="_Toc100033" w:history="1">
            <w:r>
              <w:rPr>
                <w:rStyle w:val="Hyperlink"/>
              </w:rPr>
              <w:t>10.1 Agent Inventory</w:t>
            </w:r>
            <w:r>
              <w:tab/>
            </w:r>
            <w:r>
              <w:fldChar w:fldCharType="begin"/>
            </w:r>
            <w:r>
              <w:instrText xml:space="preserve"> PAGEREF _Toc100033 \h </w:instrText>
            </w:r>
            <w:r>
              <w:fldChar w:fldCharType="separate"/>
            </w:r>
            <w:r>
              <w:t>10</w:t>
            </w:r>
            <w:r>
              <w:fldChar w:fldCharType="end"/>
            </w:r>
          </w:hyperlink>
        </w:p>
        <w:p>
          <w:pPr>
            <w:pStyle w:val="11"/>
            <w:ind w:left="360"/>
            <w:tabs>
              <w:tab w:val="right" w:leader="dot" w:pos="9026"/>
            </w:tabs>
            <w:spacing w:before="120" w:after="60"/>
          </w:pPr>
          <w:hyperlink w:anchor="_Toc100034" w:history="1">
            <w:r>
              <w:rPr>
                <w:rStyle w:val="Hyperlink"/>
              </w:rPr>
              <w:t>10.2 LLM Provider Chain</w:t>
            </w:r>
            <w:r>
              <w:tab/>
            </w:r>
            <w:r>
              <w:fldChar w:fldCharType="begin"/>
            </w:r>
            <w:r>
              <w:instrText xml:space="preserve"> PAGEREF _Toc100034 \h </w:instrText>
            </w:r>
            <w:r>
              <w:fldChar w:fldCharType="separate"/>
            </w:r>
            <w:r>
              <w:t>10</w:t>
            </w:r>
            <w:r>
              <w:fldChar w:fldCharType="end"/>
            </w:r>
          </w:hyperlink>
        </w:p>
        <w:p>
          <w:pPr>
            <w:pStyle w:val="11"/>
            <w:ind w:left="360"/>
            <w:tabs>
              <w:tab w:val="right" w:leader="dot" w:pos="9026"/>
            </w:tabs>
            <w:spacing w:before="120" w:after="60"/>
          </w:pPr>
          <w:hyperlink w:anchor="_Toc100035" w:history="1">
            <w:r>
              <w:rPr>
                <w:rStyle w:val="Hyperlink"/>
              </w:rPr>
              <w:t>10.3 Tool Registry Gap</w:t>
            </w:r>
            <w:r>
              <w:tab/>
            </w:r>
            <w:r>
              <w:fldChar w:fldCharType="begin"/>
            </w:r>
            <w:r>
              <w:instrText xml:space="preserve"> PAGEREF _Toc100035 \h </w:instrText>
            </w:r>
            <w:r>
              <w:fldChar w:fldCharType="separate"/>
            </w:r>
            <w:r>
              <w:t>11</w:t>
            </w:r>
            <w:r>
              <w:fldChar w:fldCharType="end"/>
            </w:r>
          </w:hyperlink>
        </w:p>
        <w:p>
          <w:pPr>
            <w:pStyle w:val="9"/>
            <w:tabs>
              <w:tab w:val="right" w:leader="dot" w:pos="9026"/>
            </w:tabs>
            <w:spacing w:before="120" w:after="60"/>
          </w:pPr>
          <w:hyperlink w:anchor="_Toc100036" w:history="1">
            <w:r>
              <w:rPr>
                <w:rStyle w:val="Hyperlink"/>
              </w:rPr>
              <w:t>11. Notification &amp; Event System Audit</w:t>
            </w:r>
            <w:r>
              <w:tab/>
            </w:r>
            <w:r>
              <w:fldChar w:fldCharType="begin"/>
            </w:r>
            <w:r>
              <w:instrText xml:space="preserve"> PAGEREF _Toc100036 \h </w:instrText>
            </w:r>
            <w:r>
              <w:fldChar w:fldCharType="separate"/>
            </w:r>
            <w:r>
              <w:t>11</w:t>
            </w:r>
            <w:r>
              <w:fldChar w:fldCharType="end"/>
            </w:r>
          </w:hyperlink>
        </w:p>
        <w:p>
          <w:pPr>
            <w:pStyle w:val="11"/>
            <w:ind w:left="360"/>
            <w:tabs>
              <w:tab w:val="right" w:leader="dot" w:pos="9026"/>
            </w:tabs>
            <w:spacing w:before="120" w:after="60"/>
          </w:pPr>
          <w:hyperlink w:anchor="_Toc100037" w:history="1">
            <w:r>
              <w:rPr>
                <w:rStyle w:val="Hyperlink"/>
              </w:rPr>
              <w:t>11.1 Notification Channels (all REAL)</w:t>
            </w:r>
            <w:r>
              <w:tab/>
            </w:r>
            <w:r>
              <w:fldChar w:fldCharType="begin"/>
            </w:r>
            <w:r>
              <w:instrText xml:space="preserve"> PAGEREF _Toc100037 \h </w:instrText>
            </w:r>
            <w:r>
              <w:fldChar w:fldCharType="separate"/>
            </w:r>
            <w:r>
              <w:t>11</w:t>
            </w:r>
            <w:r>
              <w:fldChar w:fldCharType="end"/>
            </w:r>
          </w:hyperlink>
        </w:p>
        <w:p>
          <w:pPr>
            <w:pStyle w:val="11"/>
            <w:ind w:left="360"/>
            <w:tabs>
              <w:tab w:val="right" w:leader="dot" w:pos="9026"/>
            </w:tabs>
            <w:spacing w:before="120" w:after="60"/>
          </w:pPr>
          <w:hyperlink w:anchor="_Toc100038" w:history="1">
            <w:r>
              <w:rPr>
                <w:rStyle w:val="Hyperlink"/>
              </w:rPr>
              <w:t>11.2 Event System (DEAD in production)</w:t>
            </w:r>
            <w:r>
              <w:tab/>
            </w:r>
            <w:r>
              <w:fldChar w:fldCharType="begin"/>
            </w:r>
            <w:r>
              <w:instrText xml:space="preserve"> PAGEREF _Toc100038 \h </w:instrText>
            </w:r>
            <w:r>
              <w:fldChar w:fldCharType="separate"/>
            </w:r>
            <w:r>
              <w:t>11</w:t>
            </w:r>
            <w:r>
              <w:fldChar w:fldCharType="end"/>
            </w:r>
          </w:hyperlink>
        </w:p>
        <w:p>
          <w:pPr>
            <w:pStyle w:val="9"/>
            <w:tabs>
              <w:tab w:val="right" w:leader="dot" w:pos="9026"/>
            </w:tabs>
            <w:spacing w:before="120" w:after="60"/>
          </w:pPr>
          <w:hyperlink w:anchor="_Toc100039" w:history="1">
            <w:r>
              <w:rPr>
                <w:rStyle w:val="Hyperlink"/>
              </w:rPr>
              <w:t>12. Chart &amp; UI Component Audit</w:t>
            </w:r>
            <w:r>
              <w:tab/>
            </w:r>
            <w:r>
              <w:fldChar w:fldCharType="begin"/>
            </w:r>
            <w:r>
              <w:instrText xml:space="preserve"> PAGEREF _Toc100039 \h </w:instrText>
            </w:r>
            <w:r>
              <w:fldChar w:fldCharType="separate"/>
            </w:r>
            <w:r>
              <w:t>12</w:t>
            </w:r>
            <w:r>
              <w:fldChar w:fldCharType="end"/>
            </w:r>
          </w:hyperlink>
        </w:p>
        <w:p>
          <w:pPr>
            <w:pStyle w:val="11"/>
            <w:ind w:left="360"/>
            <w:tabs>
              <w:tab w:val="right" w:leader="dot" w:pos="9026"/>
            </w:tabs>
            <w:spacing w:before="120" w:after="60"/>
          </w:pPr>
          <w:hyperlink w:anchor="_Toc100040" w:history="1">
            <w:r>
              <w:rPr>
                <w:rStyle w:val="Hyperlink"/>
              </w:rPr>
              <w:t>12.1 Chart Components</w:t>
            </w:r>
            <w:r>
              <w:tab/>
            </w:r>
            <w:r>
              <w:fldChar w:fldCharType="begin"/>
            </w:r>
            <w:r>
              <w:instrText xml:space="preserve"> PAGEREF _Toc100040 \h </w:instrText>
            </w:r>
            <w:r>
              <w:fldChar w:fldCharType="separate"/>
            </w:r>
            <w:r>
              <w:t>12</w:t>
            </w:r>
            <w:r>
              <w:fldChar w:fldCharType="end"/>
            </w:r>
          </w:hyperlink>
        </w:p>
        <w:p>
          <w:pPr>
            <w:pStyle w:val="11"/>
            <w:ind w:left="360"/>
            <w:tabs>
              <w:tab w:val="right" w:leader="dot" w:pos="9026"/>
            </w:tabs>
            <w:spacing w:before="120" w:after="60"/>
          </w:pPr>
          <w:hyperlink w:anchor="_Toc100041" w:history="1">
            <w:r>
              <w:rPr>
                <w:rStyle w:val="Hyperlink"/>
              </w:rPr>
              <w:t>12.2 Chart Code Duplication</w:t>
            </w:r>
            <w:r>
              <w:tab/>
            </w:r>
            <w:r>
              <w:fldChar w:fldCharType="begin"/>
            </w:r>
            <w:r>
              <w:instrText xml:space="preserve"> PAGEREF _Toc100041 \h </w:instrText>
            </w:r>
            <w:r>
              <w:fldChar w:fldCharType="separate"/>
            </w:r>
            <w:r>
              <w:t>12</w:t>
            </w:r>
            <w:r>
              <w:fldChar w:fldCharType="end"/>
            </w:r>
          </w:hyperlink>
        </w:p>
        <w:p>
          <w:pPr>
            <w:pStyle w:val="11"/>
            <w:ind w:left="360"/>
            <w:tabs>
              <w:tab w:val="right" w:leader="dot" w:pos="9026"/>
            </w:tabs>
            <w:spacing w:before="120" w:after="60"/>
          </w:pPr>
          <w:hyperlink w:anchor="_Toc100042" w:history="1">
            <w:r>
              <w:rPr>
                <w:rStyle w:val="Hyperlink"/>
              </w:rPr>
              <w:t>12.3 Agent Panel Duplication</w:t>
            </w:r>
            <w:r>
              <w:tab/>
            </w:r>
            <w:r>
              <w:fldChar w:fldCharType="begin"/>
            </w:r>
            <w:r>
              <w:instrText xml:space="preserve"> PAGEREF _Toc100042 \h </w:instrText>
            </w:r>
            <w:r>
              <w:fldChar w:fldCharType="separate"/>
            </w:r>
            <w:r>
              <w:t>12</w:t>
            </w:r>
            <w:r>
              <w:fldChar w:fldCharType="end"/>
            </w:r>
          </w:hyperlink>
        </w:p>
        <w:p>
          <w:pPr>
            <w:pStyle w:val="11"/>
            <w:ind w:left="360"/>
            <w:tabs>
              <w:tab w:val="right" w:leader="dot" w:pos="9026"/>
            </w:tabs>
            <w:spacing w:before="120" w:after="60"/>
          </w:pPr>
          <w:hyperlink w:anchor="_Toc100043" w:history="1">
            <w:r>
              <w:rPr>
                <w:rStyle w:val="Hyperlink"/>
              </w:rPr>
              <w:t>12.4 Storybook Stories (ORPHANED)</w:t>
            </w:r>
            <w:r>
              <w:tab/>
            </w:r>
            <w:r>
              <w:fldChar w:fldCharType="begin"/>
            </w:r>
            <w:r>
              <w:instrText xml:space="preserve"> PAGEREF _Toc100043 \h </w:instrText>
            </w:r>
            <w:r>
              <w:fldChar w:fldCharType="separate"/>
            </w:r>
            <w:r>
              <w:t>13</w:t>
            </w:r>
            <w:r>
              <w:fldChar w:fldCharType="end"/>
            </w:r>
          </w:hyperlink>
        </w:p>
        <w:p>
          <w:pPr>
            <w:pStyle w:val="9"/>
            <w:tabs>
              <w:tab w:val="right" w:leader="dot" w:pos="9026"/>
            </w:tabs>
            <w:spacing w:before="120" w:after="60"/>
          </w:pPr>
          <w:hyperlink w:anchor="_Toc100044" w:history="1">
            <w:r>
              <w:rPr>
                <w:rStyle w:val="Hyperlink"/>
              </w:rPr>
              <w:t>13. API Routes &amp; Cron Jobs</w:t>
            </w:r>
            <w:r>
              <w:tab/>
            </w:r>
            <w:r>
              <w:fldChar w:fldCharType="begin"/>
            </w:r>
            <w:r>
              <w:instrText xml:space="preserve"> PAGEREF _Toc100044 \h </w:instrText>
            </w:r>
            <w:r>
              <w:fldChar w:fldCharType="separate"/>
            </w:r>
            <w:r>
              <w:t>13</w:t>
            </w:r>
            <w:r>
              <w:fldChar w:fldCharType="end"/>
            </w:r>
          </w:hyperlink>
        </w:p>
        <w:p>
          <w:pPr>
            <w:pStyle w:val="9"/>
            <w:tabs>
              <w:tab w:val="right" w:leader="dot" w:pos="9026"/>
            </w:tabs>
            <w:spacing w:before="120" w:after="60"/>
          </w:pPr>
          <w:hyperlink w:anchor="_Toc100045" w:history="1">
            <w:r>
              <w:rPr>
                <w:rStyle w:val="Hyperlink"/>
              </w:rPr>
              <w:t>14. Internationalization Audit</w:t>
            </w:r>
            <w:r>
              <w:tab/>
            </w:r>
            <w:r>
              <w:fldChar w:fldCharType="begin"/>
            </w:r>
            <w:r>
              <w:instrText xml:space="preserve"> PAGEREF _Toc100045 \h </w:instrText>
            </w:r>
            <w:r>
              <w:fldChar w:fldCharType="separate"/>
            </w:r>
            <w:r>
              <w:t>13</w:t>
            </w:r>
            <w:r>
              <w:fldChar w:fldCharType="end"/>
            </w:r>
          </w:hyperlink>
        </w:p>
        <w:p>
          <w:pPr>
            <w:pStyle w:val="11"/>
            <w:ind w:left="360"/>
            <w:tabs>
              <w:tab w:val="right" w:leader="dot" w:pos="9026"/>
            </w:tabs>
            <w:spacing w:before="120" w:after="60"/>
          </w:pPr>
          <w:hyperlink w:anchor="_Toc100046" w:history="1">
            <w:r>
              <w:rPr>
                <w:rStyle w:val="Hyperlink"/>
              </w:rPr>
              <w:t>14.1 i18n Gaps</w:t>
            </w:r>
            <w:r>
              <w:tab/>
            </w:r>
            <w:r>
              <w:fldChar w:fldCharType="begin"/>
            </w:r>
            <w:r>
              <w:instrText xml:space="preserve"> PAGEREF _Toc100046 \h </w:instrText>
            </w:r>
            <w:r>
              <w:fldChar w:fldCharType="separate"/>
            </w:r>
            <w:r>
              <w:t>14</w:t>
            </w:r>
            <w:r>
              <w:fldChar w:fldCharType="end"/>
            </w:r>
          </w:hyperlink>
        </w:p>
        <w:p>
          <w:pPr>
            <w:pStyle w:val="9"/>
            <w:tabs>
              <w:tab w:val="right" w:leader="dot" w:pos="9026"/>
            </w:tabs>
            <w:spacing w:before="120" w:after="60"/>
          </w:pPr>
          <w:hyperlink w:anchor="_Toc100047" w:history="1">
            <w:r>
              <w:rPr>
                <w:rStyle w:val="Hyperlink"/>
              </w:rPr>
              <w:t>15. Capability Classification Matrix</w:t>
            </w:r>
            <w:r>
              <w:tab/>
            </w:r>
            <w:r>
              <w:fldChar w:fldCharType="begin"/>
            </w:r>
            <w:r>
              <w:instrText xml:space="preserve"> PAGEREF _Toc100047 \h </w:instrText>
            </w:r>
            <w:r>
              <w:fldChar w:fldCharType="separate"/>
            </w:r>
            <w:r>
              <w:t>14</w:t>
            </w:r>
            <w:r>
              <w:fldChar w:fldCharType="end"/>
            </w:r>
          </w:hyperlink>
        </w:p>
        <w:p>
          <w:pPr>
            <w:pStyle w:val="9"/>
            <w:tabs>
              <w:tab w:val="right" w:leader="dot" w:pos="9026"/>
            </w:tabs>
            <w:spacing w:before="120" w:after="60"/>
          </w:pPr>
          <w:hyperlink w:anchor="_Toc100048" w:history="1">
            <w:r>
              <w:rPr>
                <w:rStyle w:val="Hyperlink"/>
              </w:rPr>
              <w:t>16. Critical Findings &amp; Risk Summary</w:t>
            </w:r>
            <w:r>
              <w:tab/>
            </w:r>
            <w:r>
              <w:fldChar w:fldCharType="begin"/>
            </w:r>
            <w:r>
              <w:instrText xml:space="preserve"> PAGEREF _Toc100048 \h </w:instrText>
            </w:r>
            <w:r>
              <w:fldChar w:fldCharType="separate"/>
            </w:r>
            <w:r>
              <w:t>14</w:t>
            </w:r>
            <w:r>
              <w:fldChar w:fldCharType="end"/>
            </w:r>
          </w:hyperlink>
        </w:p>
        <w:p>
          <w:r>
            <w:fldChar w:fldCharType="end"/>
          </w:r>
        </w:p>
      </w:sdtContent>
    </w:sdt>
    <w:p>
      <w:pPr>
        <w:spacing w:after="200" w:before="200"/>
      </w:pPr>
      <w:r>
        <w:rPr>
          <w:rFonts w:ascii="Calibri"/>
          <w:i/>
          <w:iCs/>
          <w:color w:val="64748B"/>
          <w:sz w:val="18"/>
          <w:szCs w:val="18"/>
        </w:rPr>
        <w:t xml:space="preserve">(Right-click the TOC above and select "Update Field" to refresh page numbers after opening in Word)</w:t>
      </w:r>
    </w:p>
    <w:p>
      <w:pPr>
        <w:pageBreakBefore/>
      </w:pPr>
      <w:r>
        <w:br/>
        <w:t xml:space="preserve"/>
      </w:r>
    </w:p>
    <w:p>
      <w:pPr>
        <w:sectPr>
          <w:headerReference w:type="default" r:id="rId7"/>
          <w:footerReference w:type="default" r:id="rId8"/>
          <w:pgSz w:w="11906" w:h="16838" w:orient="portrait"/>
          <w:pgMar w:top="1440" w:right="1417" w:bottom="1440" w:left="1701" w:header="708" w:footer="708" w:gutter="0"/>
          <w:pgNumType w:start="1" w:fmt="upperRoman"/>
          <w:docGrid w:linePitch="360"/>
        </w:sectPr>
      </w:pPr>
    </w:p>
    <w:p>
      <w:pPr>
        <w:pStyle w:val="Heading1"/>
        <w:spacing w:after="200" w:before="480" w:line="312"/>
      </w:pPr>
      <w:bookmarkStart w:id="100000" w:name="_Toc100000"/>
      <w:r>
        <w:rPr>
          <w:rFonts w:ascii="Times New Roman"/>
          <w:b/>
          <w:bCs/>
          <w:color w:val="0F172A"/>
          <w:sz w:val="32"/>
          <w:szCs w:val="32"/>
        </w:rPr>
        <w:t xml:space="preserve">1. Executive Summary</w:t>
      </w:r>
      <w:bookmarkEnd w:id="100000"/>
    </w:p>
    <w:p>
      <w:pPr>
        <w:spacing w:after="80" w:line="312"/>
      </w:pPr>
      <w:r>
        <w:rPr>
          <w:rFonts w:ascii="Times New Roman"/>
          <w:color w:val="1E293B"/>
          <w:sz w:val="22"/>
          <w:szCs w:val="22"/>
        </w:rPr>
        <w:t xml:space="preserve">This document constitutes the Phase 0 VIXOR Reality Baseline: a complete, read-only audit of the VIXOR repository at commit 32bbf147 on branch main. Every finding below is backed by exact file citations and runtime-verified evidence. No code was modified, no dependencies were installed, and no features were implemented during this audit. The classification standard follows the VIXOR V2 Master Transformation Contract: REAL (fully functional in production), PARTIAL (functional but limited scope or degraded), MOCK (intentional test infrastructure), BROKEN (code exists but produces incorrect results), DUPLICATE (multiple implementations of the same capability), DEAD (code exists but is unreachable from any production path), and MISSING (referenced or required but not implemented).</w:t>
      </w:r>
    </w:p>
    <w:p>
      <w:pPr>
        <w:spacing w:after="80" w:line="312"/>
      </w:pPr>
      <w:r>
        <w:rPr>
          <w:rFonts w:ascii="Times New Roman"/>
          <w:color w:val="1E293B"/>
          <w:sz w:val="22"/>
          <w:szCs w:val="22"/>
        </w:rPr>
        <w:t xml:space="preserve">The audit reveals a substantially-built codebase with 23 domain engines, 39 route pages, 47 database tables, 26 migrations, 14 API routes, 307 passing tests, and real integrations with Binance, DexScreener, TwelveData, Finnhub, Supabase, and multiple LLM providers. However, several critical issues exist: a BROKEN trade creation function that silently drops validated fields, a signal transition engine that is defined but never invoked in production, an event system with zero registered handlers, 4 DEAD market data client files, 10 truly unused npm dependencies, 18 database tables missing from TypeScript types, and significant UI code duplication across agent panels and chart components.</w:t>
      </w:r>
    </w:p>
    <w:p>
      <w:pPr>
        <w:spacing w:after="40"/>
      </w:pPr>
    </w:p>
    <w:p>
      <w:pPr>
        <w:pStyle w:val="Heading2"/>
        <w:spacing w:after="160" w:before="360" w:line="312"/>
      </w:pPr>
      <w:bookmarkStart w:id="100001" w:name="_Toc100001"/>
      <w:r>
        <w:rPr>
          <w:rFonts w:ascii="Times New Roman"/>
          <w:b/>
          <w:bCs/>
          <w:color w:val="0F172A"/>
          <w:sz w:val="28"/>
          <w:szCs w:val="28"/>
        </w:rPr>
        <w:t xml:space="preserve">1.1 Audit at a Glance</w:t>
      </w:r>
      <w:bookmarkEnd w:id="10000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
        <w:gridCol w:w="20"/>
        <w:gridCol w:w="40"/>
      </w:tblGrid>
      <w:tr>
        <w:trPr>
          <w:cantSplit/>
          <w:tblHeader/>
        </w:trPr>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Dimension</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Count</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Status</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Domains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23</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18 REAL, 2 PARTIAL, 1 MOCK, 1 BROKEN, 1 PARTIAL (dead code)</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Route Pages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39</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27 REAL, 10 PARTIAL, 2 completely DEAD (orphaned)</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API Routes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14</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13 REAL, 1 DUPLICATE</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Database Tables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47</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All have RLS; 18 MISSING from types.ts</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Migrations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26</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All valid; 1 deprecation notice (copilot rename)</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Market Data Clients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16</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12 REAL, 4 DEAD, 6 PARTIAL (need API keys)</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WebSocket Connections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3 active</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Binance WS, DexScreener WS, WalletConnect relay</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Tests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18 files / 307 tests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ALL PASSING, zero skips, 16.3s runtime</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Dependencies (prod)</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96</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86 used, 10 truly UNUSED</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Dependencies (dev)</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26</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Used for build/test/lint</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UI Components (vixor/)</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48 files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Significant duplication in agent panels + charts</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UI Components (ui/)</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41 files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38 shadcn + 2 custom + 1 wrapper</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i18n</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2 languages (EN/AR)</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1:1 complete, but 5 components hardcode strings</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Storybook Stories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8 files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ORPHANED - no Storybook config exists</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Tool Registry</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8 tools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Only 2 of 9 categories populated</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Event System</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20 event types defined</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ZERO handlers registered in production</w:t>
            </w:r>
          </w:p>
        </w:tc>
      </w:tr>
    </w:tbl>
    <w:p>
      <w:pPr>
        <w:spacing w:after="40"/>
      </w:pPr>
    </w:p>
    <w:p>
      <w:pPr>
        <w:pStyle w:val="Heading1"/>
        <w:spacing w:after="200" w:before="480" w:line="312"/>
      </w:pPr>
      <w:bookmarkStart w:id="100002" w:name="_Toc100002"/>
      <w:r>
        <w:rPr>
          <w:rFonts w:ascii="Times New Roman"/>
          <w:b/>
          <w:bCs/>
          <w:color w:val="0F172A"/>
          <w:sz w:val="32"/>
          <w:szCs w:val="32"/>
        </w:rPr>
        <w:t xml:space="preserve">2. Repository Baseline</w:t>
      </w:r>
      <w:bookmarkEnd w:id="100002"/>
    </w:p>
    <w:p>
      <w:pPr>
        <w:pStyle w:val="Heading2"/>
        <w:spacing w:after="160" w:before="360" w:line="312"/>
      </w:pPr>
      <w:bookmarkStart w:id="100003" w:name="_Toc100003"/>
      <w:r>
        <w:rPr>
          <w:rFonts w:ascii="Times New Roman"/>
          <w:b/>
          <w:bCs/>
          <w:color w:val="0F172A"/>
          <w:sz w:val="28"/>
          <w:szCs w:val="28"/>
        </w:rPr>
        <w:t xml:space="preserve">2.1 Git Status</w:t>
      </w:r>
      <w:bookmarkEnd w:id="100003"/>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
        <w:gridCol w:w="70"/>
      </w:tblGrid>
      <w:tr>
        <w:trPr>
          <w:cantSplit/>
          <w:tblHeader/>
        </w:trPr>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Field</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Value</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Commit</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32bbf147a30e2448a5c89d504fd7ef5ec3143bac</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Branch</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main</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Package Manager</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pnpm 9.15.0 (declared in package.json)</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Node Requirement</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&gt;=20.0.0 (current runtime: v24.18.0)</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Framework</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TanStack Start 1.168.25 + React 19.2.0 + Vite 7.3.1</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Lock File</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pnpm-lock.yaml (17,765 lines) + package-lock.json (legacy, 677KB) + bunfig.toml (legacy)</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node_modules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NOT present (clean checkout)</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Working Tree</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Modified: 3 Task 1.2C files + download/ + scripts/ (no staged changes)</w:t>
            </w:r>
          </w:p>
        </w:tc>
      </w:tr>
    </w:tbl>
    <w:p>
      <w:pPr>
        <w:spacing w:after="40"/>
      </w:pPr>
    </w:p>
    <w:p>
      <w:pPr>
        <w:pStyle w:val="Heading2"/>
        <w:spacing w:after="160" w:before="360" w:line="312"/>
      </w:pPr>
      <w:bookmarkStart w:id="100004" w:name="_Toc100004"/>
      <w:r>
        <w:rPr>
          <w:rFonts w:ascii="Times New Roman"/>
          <w:b/>
          <w:bCs/>
          <w:color w:val="0F172A"/>
          <w:sz w:val="28"/>
          <w:szCs w:val="28"/>
        </w:rPr>
        <w:t xml:space="preserve">2.2 Build &amp; TypeCheck Status</w:t>
      </w:r>
      <w:bookmarkEnd w:id="100004"/>
    </w:p>
    <w:p>
      <w:pPr>
        <w:spacing w:after="80" w:line="312"/>
      </w:pPr>
      <w:r>
        <w:rPr>
          <w:rFonts w:ascii="Times New Roman"/>
          <w:color w:val="1E293B"/>
          <w:sz w:val="22"/>
          <w:szCs w:val="22"/>
        </w:rPr>
        <w:t xml:space="preserve">Build verification: pnpm is NOT installed in the current environment (only bun 1.3.14 and npm are available). Therefore, a production build could not be executed. However, TypeScript type checking (npx tsc --noEmit) completed successfully with zero errors, confirming type-level correctness. The build script is: vite build &amp;&amp; node scripts/fix-vercel-bundle.mjs. Vercel deployment uses: NODE_OPTIONS=--max-old-space-size=4096 pnpm run build.</w:t>
      </w:r>
    </w:p>
    <w:p>
      <w:pPr>
        <w:spacing w:after="40"/>
      </w:pPr>
    </w:p>
    <w:p>
      <w:pPr>
        <w:pStyle w:val="Heading2"/>
        <w:spacing w:after="160" w:before="360" w:line="312"/>
      </w:pPr>
      <w:bookmarkStart w:id="100005" w:name="_Toc100005"/>
      <w:r>
        <w:rPr>
          <w:rFonts w:ascii="Times New Roman"/>
          <w:b/>
          <w:bCs/>
          <w:color w:val="0F172A"/>
          <w:sz w:val="28"/>
          <w:szCs w:val="28"/>
        </w:rPr>
        <w:t xml:space="preserve">2.3 Test Suite Status</w:t>
      </w:r>
      <w:bookmarkEnd w:id="100005"/>
    </w:p>
    <w:p>
      <w:pPr>
        <w:spacing w:after="80" w:line="312"/>
      </w:pPr>
      <w:r>
        <w:rPr>
          <w:rFonts w:ascii="Times New Roman"/>
          <w:color w:val="1E293B"/>
          <w:sz w:val="22"/>
          <w:szCs w:val="22"/>
        </w:rPr>
        <w:t xml:space="preserve">The test suite runs via Vitest with jsdom environment. All 307 tests across 18 files pass in 16.32 seconds. Zero tests are skipped (no it.skip, describe.skip, xfail, or TODO markers found). There is no test script in package.json (no pnpm test command), and no CI pipeline (no GitHub Actions workflow detected). Tests must be run manually via npx vitest run.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
        <w:gridCol w:w="10"/>
        <w:gridCol w:w="65"/>
      </w:tblGrid>
      <w:tr>
        <w:trPr>
          <w:cantSplit/>
          <w:tblHeader/>
        </w:trPr>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Domain</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Tests</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Key Coverage</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Signal Tracking</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75</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Full transition matrix, legal/illegal transitions, boundary prices, SL priority</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Discovery Scoring</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57</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5-stage pipeline, liquidity scoring, risk classification, full integration</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Safe-Exec Sandbox</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30</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Code validation (eval/Function/process rejection), timeout, escape prevention</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Wallet Config</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14</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Nonce, challenge, Solana/EVM address validation, constants</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Wallet Session</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8</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JWT sign/verify, expiry, tamper detection</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Discovery Config</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14</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Env parsing, boolean clamping, cache invalidation, API key handling</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Backtest Engine</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9</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Equity consistency, drawdown bounds, Sharpe, performance KPI (200 candles &lt;500ms)</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Backtest Persistence</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8</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DB read/write shape, equity curve, trade log, null handling</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Arbitrage Config</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9</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Defaults, token registry, math utils, mint address validation</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Arbitrage Risk</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6</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Valid/invalid opportunities, circuit breaker</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Arbitrage Strategies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6</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Cross-DEX, triangular, CEX-DEX with mock clients</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Strategy Runtime</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10</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Compile validation, SMA signals, lookahead protection, indicator values</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Analysis E2E</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12</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BTC/EUR/XAU bars, synthetic fallback, confidence, PAIR_CONFIGS</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Regime Scorer</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6</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Regime detection, strategy scoring, grades</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Color Utils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8</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withAlpha (dark/light), blendWithCard</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UI Components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9</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TrendArrow (5), LiveDot (4)</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Analytics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2</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trackEvent, identifyUser exports</w:t>
            </w:r>
          </w:p>
        </w:tc>
      </w:tr>
    </w:tbl>
    <w:p>
      <w:pPr>
        <w:spacing w:after="40"/>
      </w:pPr>
    </w:p>
    <w:p>
      <w:pPr>
        <w:pStyle w:val="Heading1"/>
        <w:spacing w:after="200" w:before="480" w:line="312"/>
      </w:pPr>
      <w:bookmarkStart w:id="100006" w:name="_Toc100006"/>
      <w:r>
        <w:rPr>
          <w:rFonts w:ascii="Times New Roman"/>
          <w:b/>
          <w:bCs/>
          <w:color w:val="0F172A"/>
          <w:sz w:val="32"/>
          <w:szCs w:val="32"/>
        </w:rPr>
        <w:t xml:space="preserve">3. Dependency Audit</w:t>
      </w:r>
      <w:bookmarkEnd w:id="100006"/>
    </w:p>
    <w:p>
      <w:pPr>
        <w:spacing w:after="80" w:line="312"/>
      </w:pPr>
      <w:r>
        <w:rPr>
          <w:rFonts w:ascii="Times New Roman"/>
          <w:color w:val="1E293B"/>
          <w:sz w:val="22"/>
          <w:szCs w:val="22"/>
        </w:rPr>
        <w:t xml:space="preserve">Total: 122 dependencies (96 production + 26 dev). Production deps include 30 Radix UI primitives (via shadcn/ui), TanStack ecosystem (Router, Query, Start, Virtual), Supabase, Solana/Web3 libs, AI SDK, ccxt, lightweight-charts, and various utilities. The following analysis was performed by searching for import statements across all src/ and server/ files.</w:t>
      </w:r>
    </w:p>
    <w:p>
      <w:pPr>
        <w:pStyle w:val="Heading2"/>
        <w:spacing w:after="160" w:before="360" w:line="312"/>
      </w:pPr>
      <w:bookmarkStart w:id="100007" w:name="_Toc100007"/>
      <w:r>
        <w:rPr>
          <w:rFonts w:ascii="Times New Roman"/>
          <w:b/>
          <w:bCs/>
          <w:color w:val="0F172A"/>
          <w:sz w:val="28"/>
          <w:szCs w:val="28"/>
        </w:rPr>
        <w:t xml:space="preserve">3.1 Truly Unused Production Dependencies (10)</w:t>
      </w:r>
      <w:bookmarkEnd w:id="100007"/>
    </w:p>
    <w:p>
      <w:pPr>
        <w:spacing w:after="80" w:line="312"/>
      </w:pPr>
      <w:r>
        <w:rPr>
          <w:rFonts w:ascii="Times New Roman"/>
          <w:color w:val="1E293B"/>
          <w:sz w:val="22"/>
          <w:szCs w:val="22"/>
        </w:rPr>
        <w:t xml:space="preserve">These packages appear in package.json dependencies but have ZERO imports anywhere in src/ or server/. They add bundle size (especially if tree-shaking fails) and maintenance burden without providing 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
        <w:gridCol w:w="50"/>
        <w:gridCol w:w="25"/>
      </w:tblGrid>
      <w:tr>
        <w:trPr>
          <w:cantSplit/>
          <w:tblHeader/>
        </w:trPr>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Package</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Likely Reason</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Risk</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@ai-sdk/google</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Superseded by unified LLMRouter in shared/llm/</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Low - dead weight</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@ai-sdk/openai</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Superseded by unified LLMRouter in shared/llm/</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Low - dead weight</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@ai-sdk/openai-compatible</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Superseded by unified LLMRouter in shared/llm/</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Low - dead weight</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@sentry/react</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shared/sentry.ts exists but never imported by any component</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Medium - no error tracking active</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mixpanel-browser</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shared/analytics.ts exports trackEvent but is never imported</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Medium - no analytics active</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nanoid</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Never imported (IDs use crypto.randomUUID or Supabase defaults)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Low - dead weight</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ky</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Never imported (HTTP calls use fetch or custom clients)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Low - dead weight</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numbro</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Never imported (formatting uses custom utils)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Low - dead weight</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d3-format</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Never imported (formatting uses custom utils)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Low - dead weight</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srvx</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Never imported anywhere</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Low - dead weight</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dequal</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Never imported (equality checks use JSON.stringify)</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Low - dead weight</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cmdk</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shadcn command component exists in ui/ but is never used in any page</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Low - dead weight</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input-otp</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shadcn OTP component exists in ui/ but is never used</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Low - dead weight</w:t>
            </w:r>
          </w:p>
        </w:tc>
      </w:tr>
    </w:tbl>
    <w:p>
      <w:pPr>
        <w:pStyle w:val="Heading2"/>
        <w:spacing w:after="160" w:before="360" w:line="312"/>
      </w:pPr>
      <w:bookmarkStart w:id="100008" w:name="_Toc100008"/>
      <w:r>
        <w:rPr>
          <w:rFonts w:ascii="Times New Roman"/>
          <w:b/>
          <w:bCs/>
          <w:color w:val="0F172A"/>
          <w:sz w:val="28"/>
          <w:szCs w:val="28"/>
        </w:rPr>
        <w:t xml:space="preserve">3.2 Lock File Anomalies</w:t>
      </w:r>
      <w:bookmarkEnd w:id="100008"/>
    </w:p>
    <w:p>
      <w:pPr>
        <w:spacing w:after="80" w:line="312"/>
      </w:pPr>
      <w:r>
        <w:rPr>
          <w:rFonts w:ascii="Times New Roman"/>
          <w:color w:val="1E293B"/>
          <w:sz w:val="22"/>
          <w:szCs w:val="22"/>
        </w:rPr>
        <w:t xml:space="preserve">Three lock files exist simultaneously: pnpm-lock.yaml (17,765 lines, most recent Aug 3), package-lock.json (677KB, older Jul 20), and bunfig.toml. The declared packageManager is pnpm@9.15.0. The package-lock.json and bunfig.toml are legacy artifacts that should be removed to avoid confusion. Having multiple lock files risks dependency resolution inconsistencies between team members using different package managers.</w:t>
      </w:r>
    </w:p>
    <w:p>
      <w:pPr>
        <w:spacing w:after="40"/>
      </w:pPr>
    </w:p>
    <w:p>
      <w:pPr>
        <w:pStyle w:val="Heading1"/>
        <w:spacing w:after="200" w:before="480" w:line="312"/>
      </w:pPr>
      <w:bookmarkStart w:id="100009" w:name="_Toc100009"/>
      <w:r>
        <w:rPr>
          <w:rFonts w:ascii="Times New Roman"/>
          <w:b/>
          <w:bCs/>
          <w:color w:val="0F172A"/>
          <w:sz w:val="32"/>
          <w:szCs w:val="32"/>
        </w:rPr>
        <w:t xml:space="preserve">4. Route Inventory</w:t>
      </w:r>
      <w:bookmarkEnd w:id="100009"/>
    </w:p>
    <w:p>
      <w:pPr>
        <w:spacing w:after="80" w:line="312"/>
      </w:pPr>
      <w:r>
        <w:rPr>
          <w:rFonts w:ascii="Times New Roman"/>
          <w:color w:val="1E293B"/>
          <w:sz w:val="22"/>
          <w:szCs w:val="22"/>
        </w:rPr>
        <w:t xml:space="preserve">The application uses TanStack Start file-based routing with 39 unique route paths across 41 route files. All authenticated routes are wrapped in _authenticated/ with a layout guard that validates the Supabase JWT and auto-signs via Telegram. Navigation is provided by a bottom DynamicDock (9 primary items) and a More panel (20 items across 5 categories). Two routes are completely orphaned with no navigation link from any UI element.</w:t>
      </w:r>
    </w:p>
    <w:p>
      <w:pPr>
        <w:pStyle w:val="Heading2"/>
        <w:spacing w:after="160" w:before="360" w:line="312"/>
      </w:pPr>
      <w:bookmarkStart w:id="100010" w:name="_Toc100010"/>
      <w:r>
        <w:rPr>
          <w:rFonts w:ascii="Times New Roman"/>
          <w:b/>
          <w:bCs/>
          <w:color w:val="0F172A"/>
          <w:sz w:val="28"/>
          <w:szCs w:val="28"/>
        </w:rPr>
        <w:t xml:space="preserve">4.1 Route Classification Summary</w:t>
      </w:r>
      <w:bookmarkEnd w:id="100010"/>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
        <w:gridCol w:w="10"/>
        <w:gridCol w:w="75"/>
      </w:tblGrid>
      <w:tr>
        <w:trPr>
          <w:cantSplit/>
          <w:tblHeader/>
        </w:trPr>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Classification</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Count</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Routes</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27</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 /auth, /discover, /analyze, /analysis/:id, /token/:symbol, /signals, /swap, /trade-desk, /alpha, /charts, /radar, /pulse, /predictions, /daily-loop, /backtest, /vision, /trackers, /arbitrage, /pnl, /journal, /settings, /profile, /rewards, /referral, /notifications, /experiments, /wallet-web3, /admin/api-keys</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PARTIAL</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10</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/portfolio, /whale, /curves, /perpetuals, /bags, /premium, /brokers, /yield, /communities, /activity-web3</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DEAD (orphaned)</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2</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/activity-web3 (no nav link), /communities (no nav link)</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MOCK</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0</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None</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BROKEN</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0</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None</w:t>
            </w:r>
          </w:p>
        </w:tc>
      </w:tr>
    </w:tbl>
    <w:p>
      <w:pPr>
        <w:pStyle w:val="Heading2"/>
        <w:spacing w:after="160" w:before="360" w:line="312"/>
      </w:pPr>
      <w:bookmarkStart w:id="100011" w:name="_Toc100011"/>
      <w:r>
        <w:rPr>
          <w:rFonts w:ascii="Times New Roman"/>
          <w:b/>
          <w:bCs/>
          <w:color w:val="0F172A"/>
          <w:sz w:val="28"/>
          <w:szCs w:val="28"/>
        </w:rPr>
        <w:t xml:space="preserve">4.2 PARTIAL Routes - Detailed Evidence</w:t>
      </w:r>
      <w:bookmarkEnd w:id="100011"/>
    </w:p>
    <w:p>
      <w:pPr>
        <w:spacing w:after="80" w:line="312"/>
      </w:pPr>
      <w:r>
        <w:rPr>
          <w:rFonts w:ascii="Times New Roman"/>
          <w:color w:val="1E293B"/>
          <w:sz w:val="22"/>
          <w:szCs w:val="22"/>
        </w:rPr>
        <w:t xml:space="preserve">All PARTIAL routes share a common pattern: they fetch real data from Supabase via server functions, but the data scope is limited to the user's own recorded trades rather than the external/real-time data the page name implies. This is not mock data - the data is real and persisted - but the page name creates a misleading expectation.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
        <w:gridCol w:w="25"/>
        <w:gridCol w:w="30"/>
        <w:gridCol w:w="30"/>
      </w:tblGrid>
      <w:tr>
        <w:trPr>
          <w:cantSplit/>
          <w:tblHeader/>
        </w:trPr>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Route</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Expected Behavior</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Actual Behavior</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Source File</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/whale</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Blockchain whale monitoring</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User's own trades sorted by value</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shared/data/index.ts:getWhaleData</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/curves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On-chain bonding curve data</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User's trades grouped by pair</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shared/data/index.ts:getBondingCurveData</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/perpetuals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Exchange futures positions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Open/closed trades from trades table</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shared/data/index.ts:getPerpetualsData</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/bags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Token bag holdings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Same as /portfolio (trade-derived)</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shared/data/index.ts:getPortfolioData</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/yield</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DeFi yield tracking</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Duration-based yield from closed trades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shared/data/index.ts:getYieldData</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/communities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Community strategies/posts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User's own strategies + notes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shared/data/index.ts:getCommunitiesData</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/activity-web3</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On-chain activity feed</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Same wallet data as /wallet-web3</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shared/data/index.ts:getWalletData</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/portfolio</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Full portfolio view</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Trade-derived allocation, not wallet balances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shared/data/index.ts:getPortfolioData</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/premium</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Subscription management</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DB flow exists but no payment processor</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routes/_authenticated/premium.tsx</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/brokers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Broker connection management</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Stores labels only, no API key validation</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domains/broker/functions.ts</w:t>
            </w:r>
          </w:p>
        </w:tc>
      </w:tr>
    </w:tbl>
    <w:p>
      <w:pPr>
        <w:pStyle w:val="Heading2"/>
        <w:spacing w:after="160" w:before="360" w:line="312"/>
      </w:pPr>
      <w:bookmarkStart w:id="100012" w:name="_Toc100012"/>
      <w:r>
        <w:rPr>
          <w:rFonts w:ascii="Times New Roman"/>
          <w:b/>
          <w:bCs/>
          <w:color w:val="0F172A"/>
          <w:sz w:val="28"/>
          <w:szCs w:val="28"/>
        </w:rPr>
        <w:t xml:space="preserve">4.3 Functional Duplication</w:t>
      </w:r>
      <w:bookmarkEnd w:id="100012"/>
    </w:p>
    <w:p>
      <w:pPr>
        <w:spacing w:after="80" w:line="312"/>
      </w:pPr>
      <w:r>
        <w:rPr>
          <w:rFonts w:ascii="Times New Roman"/>
          <w:color w:val="1E293B"/>
          <w:sz w:val="22"/>
          <w:szCs w:val="22"/>
        </w:rPr>
        <w:t xml:space="preserve">Three route groups display the same underlying data with different presentations: /portfolio, /bags, and /pnl all derive from getPortfolioData() / getTradeHistory(). Similarly, /wallet-web3 and /activity-web3 share getWalletData(). This is a concrete DUPLICATE pattern that should be consolidated in the V2 route restructuring.</w:t>
      </w:r>
    </w:p>
    <w:p>
      <w:pPr>
        <w:spacing w:after="40"/>
      </w:pPr>
    </w:p>
    <w:p>
      <w:pPr>
        <w:pStyle w:val="Heading1"/>
        <w:spacing w:after="200" w:before="480" w:line="312"/>
      </w:pPr>
      <w:bookmarkStart w:id="100013" w:name="_Toc100013"/>
      <w:r>
        <w:rPr>
          <w:rFonts w:ascii="Times New Roman"/>
          <w:b/>
          <w:bCs/>
          <w:color w:val="0F172A"/>
          <w:sz w:val="32"/>
          <w:szCs w:val="32"/>
        </w:rPr>
        <w:t xml:space="preserve">5. Domain Engine Audit</w:t>
      </w:r>
      <w:bookmarkEnd w:id="100013"/>
    </w:p>
    <w:p>
      <w:pPr>
        <w:spacing w:after="80" w:line="312"/>
      </w:pPr>
      <w:r>
        <w:rPr>
          <w:rFonts w:ascii="Times New Roman"/>
          <w:color w:val="1E293B"/>
          <w:sz w:val="22"/>
          <w:szCs w:val="22"/>
        </w:rPr>
        <w:t xml:space="preserve">VIXOR has 23 domain directories under src/domains/. Each domain encapsulates a business capability with its own functions, types, and often server-side implementations. The following table classifies each domain based on runtime verification: does the code connect to real external services, does it have complete CRUD operations, and is it actually invoked from production routes?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
        <w:gridCol w:w="8"/>
        <w:gridCol w:w="12"/>
        <w:gridCol w:w="65"/>
      </w:tblGrid>
      <w:tr>
        <w:trPr>
          <w:cantSplit/>
          <w:tblHeader/>
        </w:trPr>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Domain</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Files</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Classification</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Key Evidence</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market</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7</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15 server fns; Binance REST, TwelveData, Finnhub, GeckoTerminal</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analysis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22</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1116-line SMC/ICT engine; VLM chart vision; grounded data injection</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backtest</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8</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Candle-by-candle simulator; Sharpe/Sortino/drawdown metrics</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discovery</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16</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5-stage scoring; DexScreener, Birdeye, Helius, LunarCrush, Twitter</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wallet</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14</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SIWE flow; Solana ed25519 + EVM viem signature verification</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trading</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12</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Binance/Bybit/OKX/CCXT/Exness adapters; HMAC signing</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moxi</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13</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4 AI agents (Coach, Governor, Hunter, Analyst); LLMRouter with fallback</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user</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5</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12 server fns; Telegram auth, Stars payment, referral system</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experiment</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5</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Multi-generation grid search; real OHLCV + backtest engine</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strategy</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5</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TS/JS compilation sandbox; 8 indicator libraries</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chart-intelligence</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5</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VLM image analysis via z-ai-web-dev-sdk</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chart-truth</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5</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Validates vision data against real prices</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daily-loop</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3</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Morning prep, session tracking, EOD review with streaks</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notes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3</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Standard CRUD on trading_notes table</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signal-tracking</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4</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Transition engine exists; CRUD + notifications</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watchlist</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3</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8 server fns; full CRUD with ownership verification</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paper-trading</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3</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Virtual trade engine with real price data</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risk-governor</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3</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PROCEED/REDUCE_SIZE/WAIT/BLOCK evaluation</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discover</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2</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DexScreener REST client + discover-crypto-data pipeline</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debate</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7</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PARTIAL</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 engine (weighted voting) works; index.ts is DEAD code (keyword counting)</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broker</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1</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PARTIAL</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Stores metadata in JSONB; does NOT validate API keys or call exchanges</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arbitrage</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25</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MOCK</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 Jupiter/Axiom clients exist but ARBITRAGE_BOT_MODE defaults to mock</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trades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3</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BROKEN</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createTrade drops validated fields (pair, direction, entry_price); uses as any</w:t>
            </w:r>
          </w:p>
        </w:tc>
      </w:tr>
    </w:tbl>
    <w:p>
      <w:pPr>
        <w:pStyle w:val="Heading2"/>
        <w:spacing w:after="160" w:before="360" w:line="312"/>
      </w:pPr>
      <w:bookmarkStart w:id="100014" w:name="_Toc100014"/>
      <w:r>
        <w:rPr>
          <w:rFonts w:ascii="Times New Roman"/>
          <w:b/>
          <w:bCs/>
          <w:color w:val="0F172A"/>
          <w:sz w:val="28"/>
          <w:szCs w:val="28"/>
        </w:rPr>
        <w:t xml:space="preserve">5.1 BROKEN: trades/functions.ts - createTrade</w:t>
      </w:r>
      <w:bookmarkEnd w:id="100014"/>
    </w:p>
    <w:p>
      <w:pPr>
        <w:spacing w:after="80" w:line="312"/>
      </w:pPr>
      <w:r>
        <w:rPr>
          <w:rFonts w:ascii="Times New Roman"/>
          <w:color w:val="1E293B"/>
          <w:sz w:val="22"/>
          <w:szCs w:val="22"/>
        </w:rPr>
        <w:t xml:space="preserve">The createTrade server function in src/domains/trades/functions.ts has a critical bug: the Zod validator parses pair, direction, entry_price, exit_price, stop_loss, take_profit, and other fields from the request body, but the actual Supabase insert only passes { entry_date, quantity }. All validated fields are silently dropped via the use of 'as any' type assertion to bypass TypeScript errors. This means trades are created with missing critical data, making the trades table unreliable for PnL calculations, portfolio views, and journal entries. This is the single most critical bug found in the audit.</w:t>
      </w:r>
    </w:p>
    <w:p>
      <w:pPr>
        <w:pStyle w:val="Heading2"/>
        <w:spacing w:after="160" w:before="360" w:line="312"/>
      </w:pPr>
      <w:bookmarkStart w:id="100015" w:name="_Toc100015"/>
      <w:r>
        <w:rPr>
          <w:rFonts w:ascii="Times New Roman"/>
          <w:b/>
          <w:bCs/>
          <w:color w:val="0F172A"/>
          <w:sz w:val="28"/>
          <w:szCs w:val="28"/>
        </w:rPr>
        <w:t xml:space="preserve">5.2 DEAD CODE: debate/index.ts</w:t>
      </w:r>
      <w:bookmarkEnd w:id="100015"/>
    </w:p>
    <w:p>
      <w:pPr>
        <w:spacing w:after="80" w:line="312"/>
      </w:pPr>
      <w:r>
        <w:rPr>
          <w:rFonts w:ascii="Times New Roman"/>
          <w:color w:val="1E293B"/>
          <w:sz w:val="22"/>
          <w:szCs w:val="22"/>
        </w:rPr>
        <w:t xml:space="preserve">The file src/domains/debate/index.ts exports a simple DebateEngine class that counts bullish/bearish keywords to determine consensus. This is shadowed by the real debate engine at src/domains/debate/engine/debate.engine.ts which implements weighted multi-agent voting (Analyst, Strategist, RiskGuard, Contrarian). The index.ts file is never imported by any production code - only the engine/debate.engine.ts is dynamically imported by the analysis domain. The dead DebateEngine should be removed to prevent confusion.</w:t>
      </w:r>
    </w:p>
    <w:p>
      <w:pPr>
        <w:spacing w:after="40"/>
      </w:pPr>
    </w:p>
    <w:p>
      <w:pPr>
        <w:pStyle w:val="Heading1"/>
        <w:spacing w:after="200" w:before="480" w:line="312"/>
      </w:pPr>
      <w:bookmarkStart w:id="100016" w:name="_Toc100016"/>
      <w:r>
        <w:rPr>
          <w:rFonts w:ascii="Times New Roman"/>
          <w:b/>
          <w:bCs/>
          <w:color w:val="0F172A"/>
          <w:sz w:val="32"/>
          <w:szCs w:val="32"/>
        </w:rPr>
        <w:t xml:space="preserve">6. Server Functions &amp; Shared Layer</w:t>
      </w:r>
      <w:bookmarkEnd w:id="100016"/>
    </w:p>
    <w:p>
      <w:pPr>
        <w:spacing w:after="80" w:line="312"/>
      </w:pPr>
      <w:r>
        <w:rPr>
          <w:rFonts w:ascii="Times New Roman"/>
          <w:color w:val="1E293B"/>
          <w:sz w:val="22"/>
          <w:szCs w:val="22"/>
        </w:rPr>
        <w:t xml:space="preserve">The shared data layer in src/shared/data/index.ts exports 22 server functions that serve as the primary data access pattern for routes. Additionally, domain-specific server functions are exported from each domain's functions.ts. The shared layer includes: Supabase client with RLS middleware, multi-provider LLM router, Upstash Redis cache (with in-memory fallback), rate limiter (sliding window + Redis), circuit breaker, multi-channel notification system, domain event bus, tool registry for MOXI AI, market data hooks, centralized asset registry, AES-256-GCM credential encryption, encrypted secrets vault, admin-guarded API key management, in-memory user context store, sandboxed code execution, X/Twitter + Telegram sharing, PostHog analytics, Sentry error tracking, English + Arabic i18n, and structured JSON logging.</w:t>
      </w:r>
    </w:p>
    <w:p>
      <w:pPr>
        <w:pStyle w:val="Heading2"/>
        <w:spacing w:after="160" w:before="360" w:line="312"/>
      </w:pPr>
      <w:bookmarkStart w:id="100017" w:name="_Toc100017"/>
      <w:r>
        <w:rPr>
          <w:rFonts w:ascii="Times New Roman"/>
          <w:b/>
          <w:bCs/>
          <w:color w:val="0F172A"/>
          <w:sz w:val="28"/>
          <w:szCs w:val="28"/>
        </w:rPr>
        <w:t xml:space="preserve">6.1 Misleading Server Function Names</w:t>
      </w:r>
      <w:bookmarkEnd w:id="100017"/>
    </w:p>
    <w:p>
      <w:pPr>
        <w:spacing w:after="80" w:line="312"/>
      </w:pPr>
      <w:r>
        <w:rPr>
          <w:rFonts w:ascii="Times New Roman"/>
          <w:color w:val="1E293B"/>
          <w:sz w:val="22"/>
          <w:szCs w:val="22"/>
        </w:rPr>
        <w:t xml:space="preserve">Several server functions in shared/data/index.ts have names that imply external data sources, but actually query the user's own trade data from Supabase. This creates false expectations about data freshness and scope. Specifically: getWhaleData sorts user trades by value (no blockchain whale monitoring), getBondingCurveData groups user trades by pair (no on-chain bonding curves), getCommunitiesData fetches user strategies and notes (no community features), getPerpetualsData shows open/closed trade positions (no exchange futures), getYieldData computes duration-based yield from closed trades (no DeFi yield tracking), and scanArbitrage explicitly returns an empty mock response with the comment 'Arbitrage engine was removed'.</w:t>
      </w:r>
    </w:p>
    <w:p>
      <w:pPr>
        <w:pStyle w:val="Heading2"/>
        <w:spacing w:after="160" w:before="360" w:line="312"/>
      </w:pPr>
      <w:bookmarkStart w:id="100018" w:name="_Toc100018"/>
      <w:r>
        <w:rPr>
          <w:rFonts w:ascii="Times New Roman"/>
          <w:b/>
          <w:bCs/>
          <w:color w:val="0F172A"/>
          <w:sz w:val="28"/>
          <w:szCs w:val="28"/>
        </w:rPr>
        <w:t xml:space="preserve">6.2 Shared Modules Classification</w:t>
      </w:r>
      <w:bookmarkEnd w:id="100018"/>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
        <w:gridCol w:w="15"/>
        <w:gridCol w:w="60"/>
      </w:tblGrid>
      <w:tr>
        <w:trPr>
          <w:cantSplit/>
          <w:tblHeader/>
        </w:trPr>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Module</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Classification</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Notes</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shared/supabase/</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Client, server, admin clients, auth middleware, generated types</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shared/llm/</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Multi-provider: ZAI, Anthropic, Groq, OpenAI with fallback chain</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shared/cache.ts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Upstash Redis / in-memory fallback</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shared/resilience/</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Rate limiter (sliding window + Redis), LRU cache, circuit breaker</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shared/notifications/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4 channels: in-app, Telegram, Email (Resend), Webhook (HMAC-SHA256)</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shared/events/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DEAD</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20 event types defined, 6 emitters exist, ZERO handlers registered</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shared/tool-registry/</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PARTIAL</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8 tools registered across 2 files; 7 of 9 categories empty</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shared/market-data/</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PARTIAL</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6 REAL, 4 DEAD files, 6 PARTIAL (need API keys)</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shared/execution/</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DEAD</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Barrel export with zero imports anywhere</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shared/analytics.ts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DEAD</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Exports trackEvent but never imported (mixpanel-browser unused)</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shared/sentry.ts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DEAD</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Init code exists but @sentry/react never imported by any component</w:t>
            </w:r>
          </w:p>
        </w:tc>
      </w:tr>
    </w:tbl>
    <w:p>
      <w:pPr>
        <w:spacing w:after="40"/>
      </w:pPr>
    </w:p>
    <w:p>
      <w:pPr>
        <w:pStyle w:val="Heading1"/>
        <w:spacing w:after="200" w:before="480" w:line="312"/>
      </w:pPr>
      <w:bookmarkStart w:id="100019" w:name="_Toc100019"/>
      <w:r>
        <w:rPr>
          <w:rFonts w:ascii="Times New Roman"/>
          <w:b/>
          <w:bCs/>
          <w:color w:val="0F172A"/>
          <w:sz w:val="32"/>
          <w:szCs w:val="32"/>
        </w:rPr>
        <w:t xml:space="preserve">7. Database &amp; Migration Audit</w:t>
      </w:r>
      <w:bookmarkEnd w:id="100019"/>
    </w:p>
    <w:p>
      <w:pPr>
        <w:spacing w:after="80" w:line="312"/>
      </w:pPr>
      <w:r>
        <w:rPr>
          <w:rFonts w:ascii="Times New Roman"/>
          <w:color w:val="1E293B"/>
          <w:sz w:val="22"/>
          <w:szCs w:val="22"/>
        </w:rPr>
        <w:t xml:space="preserve">The Supabase database has 47 tables defined across 26 migration files, all with Row Level Security (RLS) enabled. There are 8 RPC functions, 11 triggers, and 1 custom enum type (signal_status with 9 values). The migrations span from the initial watchlists table to the latest signal_status amendment adding 'invalidated'.</w:t>
      </w:r>
    </w:p>
    <w:p>
      <w:pPr>
        <w:pStyle w:val="Heading2"/>
        <w:spacing w:after="160" w:before="360" w:line="312"/>
      </w:pPr>
      <w:bookmarkStart w:id="100020" w:name="_Toc100020"/>
      <w:r>
        <w:rPr>
          <w:rFonts w:ascii="Times New Roman"/>
          <w:b/>
          <w:bCs/>
          <w:color w:val="0F172A"/>
          <w:sz w:val="28"/>
          <w:szCs w:val="28"/>
        </w:rPr>
        <w:t xml:space="preserve">7.1 Critical: 18 Tables Missing from types.ts</w:t>
      </w:r>
      <w:bookmarkEnd w:id="100020"/>
    </w:p>
    <w:p>
      <w:pPr>
        <w:spacing w:after="80" w:line="312"/>
      </w:pPr>
      <w:r>
        <w:rPr>
          <w:rFonts w:ascii="Times New Roman"/>
          <w:color w:val="1E293B"/>
          <w:sz w:val="22"/>
          <w:szCs w:val="22"/>
        </w:rPr>
        <w:t xml:space="preserve">The file src/shared/supabase/types.ts defines only 30 of the 47 database tables. The following 18 tables exist in migrations but lack TypeScript type definitions, meaning any code accessing them via the Supabase client will have no type safety or auto-completion: moxi_conversations (renamed from copilot_conversations), moxi_messages (renamed from copilot_messages), wallet_sessions, web3_transactions, nft_badges, memecoin_discoveries, social_signals, arbitrage_opportunities, arbitrage_executions, arbitrage_bot_stats, pairs, news_cache, price_history, strategies, paper_trades, charts, moxi_personas, and broker_connections. The copilot-to-moxi rename in migration 20260804 was not reflected in types.ts. This is a high-priority issue for developer experience and type safety.</w:t>
      </w:r>
    </w:p>
    <w:p>
      <w:pPr>
        <w:pStyle w:val="Heading2"/>
        <w:spacing w:after="160" w:before="360" w:line="312"/>
      </w:pPr>
      <w:bookmarkStart w:id="100021" w:name="_Toc100021"/>
      <w:r>
        <w:rPr>
          <w:rFonts w:ascii="Times New Roman"/>
          <w:b/>
          <w:bCs/>
          <w:color w:val="0F172A"/>
          <w:sz w:val="28"/>
          <w:szCs w:val="28"/>
        </w:rPr>
        <w:t xml:space="preserve">7.2 signal_status Enum Mismatch</w:t>
      </w:r>
      <w:bookmarkEnd w:id="100021"/>
    </w:p>
    <w:p>
      <w:pPr>
        <w:spacing w:after="80" w:line="312"/>
      </w:pPr>
      <w:r>
        <w:rPr>
          <w:rFonts w:ascii="Times New Roman"/>
          <w:color w:val="1E293B"/>
          <w:sz w:val="22"/>
          <w:szCs w:val="22"/>
        </w:rPr>
        <w:t xml:space="preserve">The Database type union in types.ts lists 8 values: pending, active, tp1_hit, tp2_hit, tp3_hit, sl_hit, expired, cancelled. Migration 20260809000000 added 'invalidated' as the 9th value. While the const enum array at the bottom of types.ts correctly includes 'invalidated', the Database type union does not. This means code reading invalidated status rows from the database will encounter TypeScript type errors. The signal-tracking domain correctly uses the const enum (TERMINAL_STATUSES, INTERMEDIATE_STATUSES, MONITORED_STATUSES) which includes invalidated, so the runtime impact is limited to type checking.</w:t>
      </w:r>
    </w:p>
    <w:p>
      <w:pPr>
        <w:pStyle w:val="Heading2"/>
        <w:spacing w:after="160" w:before="360" w:line="312"/>
      </w:pPr>
      <w:bookmarkStart w:id="100022" w:name="_Toc100022"/>
      <w:r>
        <w:rPr>
          <w:rFonts w:ascii="Times New Roman"/>
          <w:b/>
          <w:bCs/>
          <w:color w:val="0F172A"/>
          <w:sz w:val="28"/>
          <w:szCs w:val="28"/>
        </w:rPr>
        <w:t xml:space="preserve">7.3 Environment Configuration</w:t>
      </w:r>
      <w:bookmarkEnd w:id="100022"/>
    </w:p>
    <w:p>
      <w:pPr>
        <w:spacing w:after="80" w:line="312"/>
      </w:pPr>
      <w:r>
        <w:rPr>
          <w:rFonts w:ascii="Times New Roman"/>
          <w:color w:val="1E293B"/>
          <w:sz w:val="22"/>
          <w:szCs w:val="22"/>
        </w:rPr>
        <w:t xml:space="preserve">The .env.example file documents 13 variables. However, the codebase references at least 25 additional environment variables that are not documented: CREDENTIAL_ENCRYPTION_KEY, WALLET_JWT_SECRET, ARBITRAGE_BOT_MODE, ARBITRAGE_DRY_RUN, DISCOVERY_ENABLED, BIRDEYE_API_KEY, HELIUS_RPC_URL, HELIUS_API_KEY, TWITTER_BEARER_TOKEN, LUNARCRUSH_API_KEY, ALCHEMY_API_KEY, MIXPANEL_PROJECT_TOKEN, SENTRY_DSN, and others. This incomplete documentation makes onboarding difficult and increases the risk of misconfiguration.</w:t>
      </w:r>
    </w:p>
    <w:p>
      <w:pPr>
        <w:spacing w:after="40"/>
      </w:pPr>
    </w:p>
    <w:p>
      <w:pPr>
        <w:pStyle w:val="Heading1"/>
        <w:spacing w:after="200" w:before="480" w:line="312"/>
      </w:pPr>
      <w:bookmarkStart w:id="100023" w:name="_Toc100023"/>
      <w:r>
        <w:rPr>
          <w:rFonts w:ascii="Times New Roman"/>
          <w:b/>
          <w:bCs/>
          <w:color w:val="0F172A"/>
          <w:sz w:val="32"/>
          <w:szCs w:val="32"/>
        </w:rPr>
        <w:t xml:space="preserve">8. Market Data Provider Audit</w:t>
      </w:r>
      <w:bookmarkEnd w:id="100023"/>
    </w:p>
    <w:p>
      <w:pPr>
        <w:spacing w:after="80" w:line="312"/>
      </w:pPr>
      <w:r>
        <w:rPr>
          <w:rFonts w:ascii="Times New Roman"/>
          <w:color w:val="1E293B"/>
          <w:sz w:val="22"/>
          <w:szCs w:val="22"/>
        </w:rPr>
        <w:t xml:space="preserve">VIXOR connects to 10 external market data services via 16 client files. Two WebSocket connections provide real-time streaming data. The provider landscape is divided between shared infrastructure (src/shared/market-data/) and domain-specific clients (within each domain's clients/ directory).</w:t>
      </w:r>
    </w:p>
    <w:p>
      <w:pPr>
        <w:pStyle w:val="Heading2"/>
        <w:spacing w:after="160" w:before="360" w:line="312"/>
      </w:pPr>
      <w:bookmarkStart w:id="100024" w:name="_Toc100024"/>
      <w:r>
        <w:rPr>
          <w:rFonts w:ascii="Times New Roman"/>
          <w:b/>
          <w:bCs/>
          <w:color w:val="0F172A"/>
          <w:sz w:val="28"/>
          <w:szCs w:val="28"/>
        </w:rPr>
        <w:t xml:space="preserve">8.1 Active WebSocket Connections</w:t>
      </w:r>
      <w:bookmarkEnd w:id="100024"/>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
        <w:gridCol w:w="30"/>
        <w:gridCol w:w="25"/>
        <w:gridCol w:w="20"/>
        <w:gridCol w:w="10"/>
      </w:tblGrid>
      <w:tr>
        <w:trPr>
          <w:cantSplit/>
          <w:tblHeader/>
        </w:trPr>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Connection</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URL</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Data</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Used By</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Classification</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Binance WS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wss://stream.binance.com:9443/stream</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Real-time crypto ticker</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useLivePrices, useDiscoverLivePrices, useSignalMonitor</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DexScreener WS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wss://ws.dexscreener.com</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Real-time DEX pair updates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useDiscoverLivePrices -&gt; discover.tsx</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WalletConnect</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wss://relay.walletconnect.com</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Multi-chain wallet pairing</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walletconnect-adapter.ts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r>
    </w:tbl>
    <w:p>
      <w:pPr>
        <w:pStyle w:val="Heading2"/>
        <w:spacing w:after="160" w:before="360" w:line="312"/>
      </w:pPr>
      <w:bookmarkStart w:id="100025" w:name="_Toc100025"/>
      <w:r>
        <w:rPr>
          <w:rFonts w:ascii="Times New Roman"/>
          <w:b/>
          <w:bCs/>
          <w:color w:val="0F172A"/>
          <w:sz w:val="28"/>
          <w:szCs w:val="28"/>
        </w:rPr>
        <w:t xml:space="preserve">8.2 DEAD Client Files (4)</w:t>
      </w:r>
      <w:bookmarkEnd w:id="100025"/>
    </w:p>
    <w:p>
      <w:pPr>
        <w:spacing w:after="80" w:line="312"/>
      </w:pPr>
      <w:r>
        <w:rPr>
          <w:rFonts w:ascii="Times New Roman"/>
          <w:color w:val="1E293B"/>
          <w:sz w:val="22"/>
          <w:szCs w:val="22"/>
        </w:rPr>
        <w:t xml:space="preserve">Four files in src/shared/market-data/ have zero imports from any production code path. These were likely written during initial development and superseded by domain-specific implementations.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
        <w:gridCol w:w="20"/>
        <w:gridCol w:w="30"/>
        <w:gridCol w:w="25"/>
      </w:tblGrid>
      <w:tr>
        <w:trPr>
          <w:cantSplit/>
          <w:tblHeader/>
        </w:trPr>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File</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API</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Why Dead</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Replacement</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shared/market-data/dexscreener.ts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DexScreener REST</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Shadowed by domains/discovery/clients/dexscreener.client.ts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Discovery domain client</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shared/market-data/helius-rpc.ts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Helius RPC</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Shadowed by domains/discovery/clients/helius.client.ts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Discovery domain client</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shared/market-data/alchemy-rpc.ts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Alchemy RPC</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Zero imports anywhere; no EVM route uses it</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None (unneeded)</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shared/market-data/price-resolver.ts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In-memory conflict resolution</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Zero imports; never wired into data pipeline</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None (unimplemented)</w:t>
            </w:r>
          </w:p>
        </w:tc>
      </w:tr>
    </w:tbl>
    <w:p>
      <w:pPr>
        <w:pStyle w:val="Heading2"/>
        <w:spacing w:after="160" w:before="360" w:line="312"/>
      </w:pPr>
      <w:bookmarkStart w:id="100026" w:name="_Toc100026"/>
      <w:r>
        <w:rPr>
          <w:rFonts w:ascii="Times New Roman"/>
          <w:b/>
          <w:bCs/>
          <w:color w:val="0F172A"/>
          <w:sz w:val="28"/>
          <w:szCs w:val="28"/>
        </w:rPr>
        <w:t xml:space="preserve">8.3 PARTIAL Providers (need API keys)</w:t>
      </w:r>
      <w:bookmarkEnd w:id="100026"/>
    </w:p>
    <w:p>
      <w:pPr>
        <w:spacing w:after="80" w:line="312"/>
      </w:pPr>
      <w:r>
        <w:rPr>
          <w:rFonts w:ascii="Times New Roman"/>
          <w:color w:val="1E293B"/>
          <w:sz w:val="22"/>
          <w:szCs w:val="22"/>
        </w:rPr>
        <w:t xml:space="preserve">Six providers have real implementations but degrade gracefully (return null/neutral zeros) when their API keys are not configured. This is safe default behavior but means the system operates at reduced capability without proper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
        <w:gridCol w:w="25"/>
        <w:gridCol w:w="30"/>
        <w:gridCol w:w="27"/>
      </w:tblGrid>
      <w:tr>
        <w:trPr>
          <w:cantSplit/>
          <w:tblHeader/>
        </w:trPr>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Provider</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Key ENV Var</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Missing Key Behavior</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Impact</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TwelveData</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TWELVEDATA_API_KEY</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All endpoints return null</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No forex/commodity/ETF data</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Finnhub</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FINNHUB_API_KEY</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Returns null</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No forex/stock quotes</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Birdeye</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BIRDEYE_API_KEY</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Returns error string</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Discovery works without it (degraded)</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Helius RPC</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HELIUS_API_KEY</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Returns 0 smart money holders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No smart money scoring in discovery</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Twitter/X</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TWITTER_BEARER_TOKEN</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Returns neutral zeros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No social velocity in discovery</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LunarCrush</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LUNARCRUSH_API_KEY</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Returns neutral zeros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No social data in discovery</w:t>
            </w:r>
          </w:p>
        </w:tc>
      </w:tr>
    </w:tbl>
    <w:p>
      <w:pPr>
        <w:pStyle w:val="Heading2"/>
        <w:spacing w:after="160" w:before="360" w:line="312"/>
      </w:pPr>
      <w:bookmarkStart w:id="100027" w:name="_Toc100027"/>
      <w:r>
        <w:rPr>
          <w:rFonts w:ascii="Times New Roman"/>
          <w:b/>
          <w:bCs/>
          <w:color w:val="0F172A"/>
          <w:sz w:val="28"/>
          <w:szCs w:val="28"/>
        </w:rPr>
        <w:t xml:space="preserve">8.4 Additional Findings</w:t>
      </w:r>
      <w:bookmarkEnd w:id="100027"/>
    </w:p>
    <w:p>
      <w:pPr>
        <w:spacing w:after="80" w:line="312"/>
      </w:pPr>
      <w:r>
        <w:rPr>
          <w:rFonts w:ascii="Times New Roman"/>
          <w:color w:val="1E293B"/>
          <w:sz w:val="22"/>
          <w:szCs w:val="22"/>
        </w:rPr>
        <w:t xml:space="preserve">Mobula client (src/domains/discovery/clients/mobula.client.ts) is registered in the API keys vault but never imported from discovery/functions.ts - completely unwired. Smart money wallet addresses are hardcoded in helius.client.ts (2 example addresses) with a comment recommending database storage for production. The arbitrage module defaults to MOCK mode (ARBITRAGE_BOT_MODE=mock, ARBITRAGE_DRY_RUN=true) with real Jupiter/Axiom clients available but unused by default. No hardcoded API secrets were found in the codebase - all keys are properly read from environment variables.</w:t>
      </w:r>
    </w:p>
    <w:p>
      <w:pPr>
        <w:spacing w:after="40"/>
      </w:pPr>
    </w:p>
    <w:p>
      <w:pPr>
        <w:pStyle w:val="Heading1"/>
        <w:spacing w:after="200" w:before="480" w:line="312"/>
      </w:pPr>
      <w:bookmarkStart w:id="100028" w:name="_Toc100028"/>
      <w:r>
        <w:rPr>
          <w:rFonts w:ascii="Times New Roman"/>
          <w:b/>
          <w:bCs/>
          <w:color w:val="0F172A"/>
          <w:sz w:val="32"/>
          <w:szCs w:val="32"/>
        </w:rPr>
        <w:t xml:space="preserve">9. Signal Lifecycle Audit</w:t>
      </w:r>
      <w:bookmarkEnd w:id="100028"/>
    </w:p>
    <w:p>
      <w:pPr>
        <w:spacing w:after="80" w:line="312"/>
      </w:pPr>
      <w:r>
        <w:rPr>
          <w:rFonts w:ascii="Times New Roman"/>
          <w:color w:val="1E293B"/>
          <w:sz w:val="22"/>
          <w:szCs w:val="22"/>
        </w:rPr>
        <w:t xml:space="preserve">The signal tracking system implements a 9-state lifecycle with 5 terminal states (tp3_hit, sl_hit, invalidated, expired, cancelled), 2 intermediate states (tp1_hit, tp2_hit), and 2 monitored states (pending, active). A formal transition engine exists at src/domains/signal-tracking/transition-engine.ts with a PRICE_TRANSITION_MATRIX defining all legal price-driven transitions, plus non-price transitions (cancel, expire, invalidate) from any non-terminal state.</w:t>
      </w:r>
    </w:p>
    <w:p>
      <w:pPr>
        <w:pStyle w:val="Heading2"/>
        <w:spacing w:after="160" w:before="360" w:line="312"/>
      </w:pPr>
      <w:bookmarkStart w:id="100029" w:name="_Toc100029"/>
      <w:r>
        <w:rPr>
          <w:rFonts w:ascii="Times New Roman"/>
          <w:b/>
          <w:bCs/>
          <w:color w:val="0F172A"/>
          <w:sz w:val="28"/>
          <w:szCs w:val="28"/>
        </w:rPr>
        <w:t xml:space="preserve">9.1 Authority Gap: Engine Not Invoked</w:t>
      </w:r>
      <w:bookmarkEnd w:id="100029"/>
    </w:p>
    <w:p>
      <w:pPr>
        <w:spacing w:after="80" w:line="312"/>
      </w:pPr>
      <w:r>
        <w:rPr>
          <w:rFonts w:ascii="Times New Roman"/>
          <w:color w:val="1E293B"/>
          <w:sz w:val="22"/>
          <w:szCs w:val="22"/>
        </w:rPr>
        <w:t xml:space="preserve">The transition engine is implemented as a pure function (zero dependencies, 75 tests passing) but is NOT called from the production updateSignalTracking server function. Currently, price evaluation happens client-side via evaluateTrackingPrice in the useSignalMonitor hook, which does not use the transition engine. The TODO(Task-2) marker in the code explicitly states the plan to invoke evaluateSignalTransition on the server side. This means: (a) price transitions are client-authoritative, not server-authoritative, (b) the hit_tp field is client-controlled, (c) the observedAt timestamp comes from the client (TODO P1-6 documents the need for serverReceivedAt).</w:t>
      </w:r>
    </w:p>
    <w:p>
      <w:pPr>
        <w:pStyle w:val="Heading2"/>
        <w:spacing w:after="160" w:before="360" w:line="312"/>
      </w:pPr>
      <w:bookmarkStart w:id="100030" w:name="_Toc100030"/>
      <w:r>
        <w:rPr>
          <w:rFonts w:ascii="Times New Roman"/>
          <w:b/>
          <w:bCs/>
          <w:color w:val="0F172A"/>
          <w:sz w:val="28"/>
          <w:szCs w:val="28"/>
        </w:rPr>
        <w:t xml:space="preserve">9.2 Dead Code in Signal Tracking</w:t>
      </w:r>
      <w:bookmarkEnd w:id="100030"/>
    </w:p>
    <w:p>
      <w:pPr>
        <w:spacing w:after="80" w:line="312"/>
      </w:pPr>
      <w:r>
        <w:rPr>
          <w:rFonts w:ascii="Times New Roman"/>
          <w:color w:val="1E293B"/>
          <w:sz w:val="22"/>
          <w:szCs w:val="22"/>
        </w:rPr>
        <w:t xml:space="preserve">Two items in the signal tracking domain are confirmed dead: (1) the previous_price field on the signal_tracking table has zero reads or writes in any code path (documented with TODO P1-cleanup), and (2) the updateExcursions() function is self-documented as dead code with a TODO marker. Both should be removed in a cleanup pass. Additionally, signal.* events (signal.tp_hit, signal.sl_hit) are defined in the event system but never emitted in production - the code comment explicitly states: 'no production signal.* events are currently emitted'.</w:t>
      </w:r>
    </w:p>
    <w:p>
      <w:pPr>
        <w:pStyle w:val="Heading2"/>
        <w:spacing w:after="160" w:before="360" w:line="312"/>
      </w:pPr>
      <w:bookmarkStart w:id="100031" w:name="_Toc100031"/>
      <w:r>
        <w:rPr>
          <w:rFonts w:ascii="Times New Roman"/>
          <w:b/>
          <w:bCs/>
          <w:color w:val="0F172A"/>
          <w:sz w:val="28"/>
          <w:szCs w:val="28"/>
        </w:rPr>
        <w:t xml:space="preserve">9.3 Task 1.2C Locked Commit</w:t>
      </w:r>
      <w:bookmarkEnd w:id="100031"/>
    </w:p>
    <w:p>
      <w:pPr>
        <w:spacing w:after="80" w:line="312"/>
      </w:pPr>
      <w:r>
        <w:rPr>
          <w:rFonts w:ascii="Times New Roman"/>
          <w:color w:val="1E293B"/>
          <w:sz w:val="22"/>
          <w:szCs w:val="22"/>
        </w:rPr>
        <w:t xml:space="preserve">Per the VIXOR V2 Master Contract, Task 1.2C is locked at commit 4ffad75. The current HEAD (32bbf14) includes these locked files with modifications: src/domains/signal-tracking/types.ts (TERMINAL_STATUSES, INTERMEDIATE_STATUSES, MONITORED_STATUSES including invalidated), src/domains/signal-tracking/functions.ts (notification gate, resolved_at gated to terminal), src/domains/signal-tracking/transition-engine.ts (with P1-6 TODO for server timestamps), and src/domains/signal-tracking/transition-engine.test.ts (75 contract alignment tests). These files must NOT be discarded in any future re-planning.</w:t>
      </w:r>
    </w:p>
    <w:p>
      <w:pPr>
        <w:spacing w:after="40"/>
      </w:pPr>
    </w:p>
    <w:p>
      <w:pPr>
        <w:pStyle w:val="Heading1"/>
        <w:spacing w:after="200" w:before="480" w:line="312"/>
      </w:pPr>
      <w:bookmarkStart w:id="100032" w:name="_Toc100032"/>
      <w:r>
        <w:rPr>
          <w:rFonts w:ascii="Times New Roman"/>
          <w:b/>
          <w:bCs/>
          <w:color w:val="0F172A"/>
          <w:sz w:val="32"/>
          <w:szCs w:val="32"/>
        </w:rPr>
        <w:t xml:space="preserve">10. MOXI System Audit</w:t>
      </w:r>
      <w:bookmarkEnd w:id="100032"/>
    </w:p>
    <w:p>
      <w:pPr>
        <w:spacing w:after="80" w:line="312"/>
      </w:pPr>
      <w:r>
        <w:rPr>
          <w:rFonts w:ascii="Times New Roman"/>
          <w:color w:val="1E293B"/>
          <w:sz w:val="22"/>
          <w:szCs w:val="22"/>
        </w:rPr>
        <w:t xml:space="preserve">MOXI is VIXOR's AI copilot system with 4 specialized agents, an intent detection router, a context engine that aggregates 10+ data sources in parallel, a multi-provider LLM router with fallback chain, and a tool registry for executing user-facing actions. The system is rated REAL - all components connect to real services (LLM APIs, Supabase, market data) and are actively used from the /daily-loop and /signals routes.</w:t>
      </w:r>
    </w:p>
    <w:p>
      <w:pPr>
        <w:pStyle w:val="Heading2"/>
        <w:spacing w:after="160" w:before="360" w:line="312"/>
      </w:pPr>
      <w:bookmarkStart w:id="100033" w:name="_Toc100033"/>
      <w:r>
        <w:rPr>
          <w:rFonts w:ascii="Times New Roman"/>
          <w:b/>
          <w:bCs/>
          <w:color w:val="0F172A"/>
          <w:sz w:val="28"/>
          <w:szCs w:val="28"/>
        </w:rPr>
        <w:t xml:space="preserve">10.1 Agent Inventory</w:t>
      </w:r>
      <w:bookmarkEnd w:id="100033"/>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
        <w:gridCol w:w="25"/>
        <w:gridCol w:w="30"/>
        <w:gridCol w:w="15"/>
        <w:gridCol w:w="15"/>
      </w:tblGrid>
      <w:tr>
        <w:trPr>
          <w:cantSplit/>
          <w:tblHeader/>
        </w:trPr>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Agent</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File</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Purpose</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LLM Call?</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Classification</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Intent Router</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server/agent.ts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Keyword-based intent detection -&gt; tool dispatch</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No (regex only)</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Coach</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server/coach.agent.ts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Real-time trade coaching</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Yes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Governor</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server/governor.agent.ts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Risk assessment (PROCEED/REDUCE/WAIT/BLOCK)</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Yes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Hunter</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server/hunter.agent.ts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Smart money opportunity scoring</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Yes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Analyst</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server/analyst.agent.ts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Weekly behavioral report</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Yes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Feedback</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server/feedback.ts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Accept/reject agent decisions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No (CRUD)</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r>
    </w:tbl>
    <w:p>
      <w:pPr>
        <w:pStyle w:val="Heading2"/>
        <w:spacing w:after="160" w:before="360" w:line="312"/>
      </w:pPr>
      <w:bookmarkStart w:id="100034" w:name="_Toc100034"/>
      <w:r>
        <w:rPr>
          <w:rFonts w:ascii="Times New Roman"/>
          <w:b/>
          <w:bCs/>
          <w:color w:val="0F172A"/>
          <w:sz w:val="28"/>
          <w:szCs w:val="28"/>
        </w:rPr>
        <w:t xml:space="preserve">10.2 LLM Provider Chain</w:t>
      </w:r>
      <w:bookmarkEnd w:id="100034"/>
    </w:p>
    <w:p>
      <w:pPr>
        <w:spacing w:after="80" w:line="312"/>
      </w:pPr>
      <w:r>
        <w:rPr>
          <w:rFonts w:ascii="Times New Roman"/>
          <w:color w:val="1E293B"/>
          <w:sz w:val="22"/>
          <w:szCs w:val="22"/>
        </w:rPr>
        <w:t xml:space="preserve">The LLMRouter in shared/llm/ supports 4 providers with automatic fallback: ZAI (custom, default priority 1), Anthropic (priority 2), Groq (priority 3), OpenAI (priority 4). The active provider is configurable via LLM_PROVIDER env var. Rate limiting is enforced at 25 requests/minute per user. The intent detection agent uses regex-based keyword matching (no LLM call) which may fail with complex user phrases - this is a known limitation.</w:t>
      </w:r>
    </w:p>
    <w:p>
      <w:pPr>
        <w:pStyle w:val="Heading2"/>
        <w:spacing w:after="160" w:before="360" w:line="312"/>
      </w:pPr>
      <w:bookmarkStart w:id="100035" w:name="_Toc100035"/>
      <w:r>
        <w:rPr>
          <w:rFonts w:ascii="Times New Roman"/>
          <w:b/>
          <w:bCs/>
          <w:color w:val="0F172A"/>
          <w:sz w:val="28"/>
          <w:szCs w:val="28"/>
        </w:rPr>
        <w:t xml:space="preserve">10.3 Tool Registry Gap</w:t>
      </w:r>
      <w:bookmarkEnd w:id="100035"/>
    </w:p>
    <w:p>
      <w:pPr>
        <w:spacing w:after="80" w:line="312"/>
      </w:pPr>
      <w:r>
        <w:rPr>
          <w:rFonts w:ascii="Times New Roman"/>
          <w:color w:val="1E293B"/>
          <w:sz w:val="22"/>
          <w:szCs w:val="22"/>
        </w:rPr>
        <w:t xml:space="preserve">The tool registry has 8 registered tools across only 2 of 9 defined categories: createAlert, fetchSignals, getAssetState, listAlerts, deleteAlert (trading), and createJournalEntry, analyzeAsset, fetchPortfolio (journal/analysis). The empty categories are: watchlist, ai, user, and system. Additionally, MOXI tools.ts defines UI-facing tool names (analyzePair, trackSignal, createPriceAlert, etc.) that are separate from the actual ToolRegistry implementations, creating a disconnect between UI presentation and execution.</w:t>
      </w:r>
    </w:p>
    <w:p>
      <w:pPr>
        <w:spacing w:after="40"/>
      </w:pPr>
    </w:p>
    <w:p>
      <w:pPr>
        <w:pStyle w:val="Heading1"/>
        <w:spacing w:after="200" w:before="480" w:line="312"/>
      </w:pPr>
      <w:bookmarkStart w:id="100036" w:name="_Toc100036"/>
      <w:r>
        <w:rPr>
          <w:rFonts w:ascii="Times New Roman"/>
          <w:b/>
          <w:bCs/>
          <w:color w:val="0F172A"/>
          <w:sz w:val="32"/>
          <w:szCs w:val="32"/>
        </w:rPr>
        <w:t xml:space="preserve">11. Notification &amp; Event System Audit</w:t>
      </w:r>
      <w:bookmarkEnd w:id="100036"/>
    </w:p>
    <w:p>
      <w:pPr>
        <w:pStyle w:val="Heading2"/>
        <w:spacing w:after="160" w:before="360" w:line="312"/>
      </w:pPr>
      <w:bookmarkStart w:id="100037" w:name="_Toc100037"/>
      <w:r>
        <w:rPr>
          <w:rFonts w:ascii="Times New Roman"/>
          <w:b/>
          <w:bCs/>
          <w:color w:val="0F172A"/>
          <w:sz w:val="28"/>
          <w:szCs w:val="28"/>
        </w:rPr>
        <w:t xml:space="preserve">11.1 Notification Channels (all REAL)</w:t>
      </w:r>
      <w:bookmarkEnd w:id="100037"/>
    </w:p>
    <w:p>
      <w:pPr>
        <w:spacing w:after="80" w:line="312"/>
      </w:pPr>
      <w:r>
        <w:rPr>
          <w:rFonts w:ascii="Times New Roman"/>
          <w:color w:val="1E293B"/>
          <w:sz w:val="22"/>
          <w:szCs w:val="22"/>
        </w:rPr>
        <w:t xml:space="preserve">The notification system in src/shared/notifications/ implements 4 channels: in-app (Supabase table insert), Telegram (Bot API with chat_id resolution), Email (Resend REST API with HTML templates), and Webhook (HMAC-SHA256 signed HTTP POST). Channels are resolved in order: explicit override, user_settings.notification_channels, or default [telegram, in-app]. Sending is synchronous via Promise.all across all channels - there are no queues. A failed channel does not block other channels. Signal tracking notifications use fire-and-forget (void) to avoid blocking the update path.</w:t>
      </w:r>
    </w:p>
    <w:p>
      <w:pPr>
        <w:pStyle w:val="Heading2"/>
        <w:spacing w:after="160" w:before="360" w:line="312"/>
      </w:pPr>
      <w:bookmarkStart w:id="100038" w:name="_Toc100038"/>
      <w:r>
        <w:rPr>
          <w:rFonts w:ascii="Times New Roman"/>
          <w:b/>
          <w:bCs/>
          <w:color w:val="0F172A"/>
          <w:sz w:val="28"/>
          <w:szCs w:val="28"/>
        </w:rPr>
        <w:t xml:space="preserve">11.2 Event System (DEAD in production)</w:t>
      </w:r>
      <w:bookmarkEnd w:id="100038"/>
    </w:p>
    <w:p>
      <w:pPr>
        <w:spacing w:after="80" w:line="312"/>
      </w:pPr>
      <w:r>
        <w:rPr>
          <w:rFonts w:ascii="Times New Roman"/>
          <w:color w:val="1E293B"/>
          <w:sz w:val="22"/>
          <w:szCs w:val="22"/>
        </w:rPr>
        <w:t xml:space="preserve">The domain event bus at src/shared/events/ defines 20 event types across 10 groups (analysis, signal, alert, trade, journal, notification, ai, user, dailyloop, watchlist). The implementation uses an in-process EventEmitter singleton (VixorEvents). While 6 events are actually emitted (signal.generated, alert.created, alert.triggered, analysis.created, journal.created, ai.action.executed), ZERO handlers are registered in production. The signal.tp_hit and signal.sl_hit events are defined but never emitted. Event persistence to the domain_events table exists via configureEventPersistence() but is not automatically enabled - it must be explicitly called in each serverless context. The system was designed for observability and future replay but is currently non-functional.</w:t>
      </w:r>
    </w:p>
    <w:p>
      <w:pPr>
        <w:spacing w:after="40"/>
      </w:pPr>
    </w:p>
    <w:p>
      <w:pPr>
        <w:pStyle w:val="Heading1"/>
        <w:spacing w:after="200" w:before="480" w:line="312"/>
      </w:pPr>
      <w:bookmarkStart w:id="100039" w:name="_Toc100039"/>
      <w:r>
        <w:rPr>
          <w:rFonts w:ascii="Times New Roman"/>
          <w:b/>
          <w:bCs/>
          <w:color w:val="0F172A"/>
          <w:sz w:val="32"/>
          <w:szCs w:val="32"/>
        </w:rPr>
        <w:t xml:space="preserve">12. Chart &amp; UI Component Audit</w:t>
      </w:r>
      <w:bookmarkEnd w:id="100039"/>
    </w:p>
    <w:p>
      <w:pPr>
        <w:pStyle w:val="Heading2"/>
        <w:spacing w:after="160" w:before="360" w:line="312"/>
      </w:pPr>
      <w:bookmarkStart w:id="100040" w:name="_Toc100040"/>
      <w:r>
        <w:rPr>
          <w:rFonts w:ascii="Times New Roman"/>
          <w:b/>
          <w:bCs/>
          <w:color w:val="0F172A"/>
          <w:sz w:val="28"/>
          <w:szCs w:val="28"/>
        </w:rPr>
        <w:t xml:space="preserve">12.1 Chart Components</w:t>
      </w:r>
      <w:bookmarkEnd w:id="100040"/>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
        <w:gridCol w:w="22"/>
        <w:gridCol w:w="30"/>
        <w:gridCol w:w="26"/>
      </w:tblGrid>
      <w:tr>
        <w:trPr>
          <w:cantSplit/>
          <w:tblHeader/>
        </w:trPr>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Component</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Library</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Data Source</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Classification</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TradingViewChart</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TradingView iframe (tv.js)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TradingView hosted data</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TradingViewMiniChart</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TradingView embed</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TradingView hosted</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TradingViewTechAnalysis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TradingView embed</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TradingView hosted</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TradingViewTickerTape</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TradingView embed</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TradingView hosted</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CandlestickChart</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lightweight-charts v5.2</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getChartOHLCV (Binance/TwelveData)</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DexChart</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lightweight-charts v5.2</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GeckoTerminal API + fallback</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EquityChart</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recharts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Client props (portfolio simulation)</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PARTIAL</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MiniSparkline</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recharts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Client props (data array)</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PARTIAL (data-dependent)</w:t>
            </w:r>
          </w:p>
        </w:tc>
      </w:tr>
    </w:tbl>
    <w:p>
      <w:pPr>
        <w:pStyle w:val="Heading2"/>
        <w:spacing w:after="160" w:before="360" w:line="312"/>
      </w:pPr>
      <w:bookmarkStart w:id="100041" w:name="_Toc100041"/>
      <w:r>
        <w:rPr>
          <w:rFonts w:ascii="Times New Roman"/>
          <w:b/>
          <w:bCs/>
          <w:color w:val="0F172A"/>
          <w:sz w:val="28"/>
          <w:szCs w:val="28"/>
        </w:rPr>
        <w:t xml:space="preserve">12.2 Chart Code Duplication</w:t>
      </w:r>
      <w:bookmarkEnd w:id="100041"/>
    </w:p>
    <w:p>
      <w:pPr>
        <w:spacing w:after="80" w:line="312"/>
      </w:pPr>
      <w:r>
        <w:rPr>
          <w:rFonts w:ascii="Times New Roman"/>
          <w:color w:val="1E293B"/>
          <w:sz w:val="22"/>
          <w:szCs w:val="22"/>
        </w:rPr>
        <w:t xml:space="preserve">CandlestickChart and DexChart share approximately 80% identical code: identical CHART_OPTIONS configuration (colors, crosshair, grid, price scale), very similar series initialization logic, and the same resize observer pattern. Both use lightweight-charts v5.2. This should be extracted into a shared useLightweightChart hook or base component. Additionally, DexChart computes SMA/EMA/BB/RSI indicator series but the overlay toggle buttons are not present in the JSX - all overlays default to visible: false with no UI to enable them.</w:t>
      </w:r>
    </w:p>
    <w:p>
      <w:pPr>
        <w:pStyle w:val="Heading2"/>
        <w:spacing w:after="160" w:before="360" w:line="312"/>
      </w:pPr>
      <w:bookmarkStart w:id="100042" w:name="_Toc100042"/>
      <w:r>
        <w:rPr>
          <w:rFonts w:ascii="Times New Roman"/>
          <w:b/>
          <w:bCs/>
          <w:color w:val="0F172A"/>
          <w:sz w:val="28"/>
          <w:szCs w:val="28"/>
        </w:rPr>
        <w:t xml:space="preserve">12.3 Agent Panel Duplication</w:t>
      </w:r>
      <w:bookmarkEnd w:id="100042"/>
    </w:p>
    <w:p>
      <w:pPr>
        <w:spacing w:after="80" w:line="312"/>
      </w:pPr>
      <w:r>
        <w:rPr>
          <w:rFonts w:ascii="Times New Roman"/>
          <w:color w:val="1E293B"/>
          <w:sz w:val="22"/>
          <w:szCs w:val="22"/>
        </w:rPr>
        <w:t xml:space="preserve">Four AI agent panels (CoachOverlay, HunterScoreCard, GovernorRiskPanel, AnalystReportPanel) share approximately 80% identical structure: loading skeleton, error state, success state with header/badges/analysis/suggestion/feedback buttons. An AgentResponseLayout component was created specifically to reduce this duplication (the file comment confirms this), but NONE of the 4 components actually use it. They each have fully inline implementations. This is a clear DUPLICATE pattern.</w:t>
      </w:r>
    </w:p>
    <w:p>
      <w:pPr>
        <w:pStyle w:val="Heading2"/>
        <w:spacing w:after="160" w:before="360" w:line="312"/>
      </w:pPr>
      <w:bookmarkStart w:id="100043" w:name="_Toc100043"/>
      <w:r>
        <w:rPr>
          <w:rFonts w:ascii="Times New Roman"/>
          <w:b/>
          <w:bCs/>
          <w:color w:val="0F172A"/>
          <w:sz w:val="28"/>
          <w:szCs w:val="28"/>
        </w:rPr>
        <w:t xml:space="preserve">12.4 Storybook Stories (ORPHANED)</w:t>
      </w:r>
      <w:bookmarkEnd w:id="100043"/>
    </w:p>
    <w:p>
      <w:pPr>
        <w:spacing w:after="80" w:line="312"/>
      </w:pPr>
      <w:r>
        <w:rPr>
          <w:rFonts w:ascii="Times New Roman"/>
          <w:color w:val="1E293B"/>
          <w:sz w:val="22"/>
          <w:szCs w:val="22"/>
        </w:rPr>
        <w:t xml:space="preserve">8 .stories.tsx files exist in src/components/vixor/ (RouteLoading, PageLayout, atoms, ExpandableWidget, EmptyState, MiniSparkline, PaginationBar, LiveDot) but there is no .storybook/ directory, no storybook config file, and no Storybook infrastructure to run them. These stories suggest Storybook was planned or previously used but the infrastructure was removed or never completed.</w:t>
      </w:r>
    </w:p>
    <w:p>
      <w:pPr>
        <w:spacing w:after="40"/>
      </w:pPr>
    </w:p>
    <w:p>
      <w:pPr>
        <w:pStyle w:val="Heading1"/>
        <w:spacing w:after="200" w:before="480" w:line="312"/>
      </w:pPr>
      <w:bookmarkStart w:id="100044" w:name="_Toc100044"/>
      <w:r>
        <w:rPr>
          <w:rFonts w:ascii="Times New Roman"/>
          <w:b/>
          <w:bCs/>
          <w:color w:val="0F172A"/>
          <w:sz w:val="32"/>
          <w:szCs w:val="32"/>
        </w:rPr>
        <w:t xml:space="preserve">13. API Routes &amp; Cron Jobs</w:t>
      </w:r>
      <w:bookmarkEnd w:id="100044"/>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
        <w:gridCol w:w="12"/>
        <w:gridCol w:w="35"/>
        <w:gridCol w:w="13"/>
        <w:gridCol w:w="20"/>
      </w:tblGrid>
      <w:tr>
        <w:trPr>
          <w:cantSplit/>
          <w:tblHeader/>
        </w:trPr>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Route</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Method</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Purpose</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Cron?</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Classification</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/api/health</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GET/HEAD</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Supabase + Redis + env health check</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No</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/api/metrics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GET</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Prometheus metrics (uptime, latency, errors)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No</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/api/market-overview</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GET</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Crypto prices (Binance -&gt; CoinGecko fallback)</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No</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/api/sol-price</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GET</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SOL price (Binance)</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No</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/api/discover</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GET</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Memecoin discovery pipeline</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No</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/api/check-alerts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GET/POST</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Price alert monitoring</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Yes (00:30)</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/api/generate-signals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GET/POST</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Daily signal generation</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Yes (00:00)</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/api/reanalysis-cron</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GET/POST</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Re-analysis of active signals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Yes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/api/telegram-webhook</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POST</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Telegram payment (legacy)</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No</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DUPLICATE</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/api/stars-webhook</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POST</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Telegram Stars payment</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No</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/api/migrate</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GET/POST</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Migration status (admin)</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No</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/api/p1-validate</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GET</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P1 Intelligence Layer diagnostics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No</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/api/wallet/connect</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GET/POST</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Wallet SIWE flow</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No</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/api/wallet/session</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GET/POST</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Wallet session management</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No</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r>
    </w:tbl>
    <w:p>
      <w:pPr>
        <w:spacing w:after="80" w:line="312"/>
      </w:pPr>
      <w:r>
        <w:rPr>
          <w:rFonts w:ascii="Times New Roman"/>
          <w:color w:val="1E293B"/>
          <w:sz w:val="22"/>
          <w:szCs w:val="22"/>
        </w:rPr>
        <w:t xml:space="preserve">Security: All cron endpoints require x-vercel-cron header, CRON_SECRET Bearer token, or x-admin-key. Webhooks require x-telegram-bot-api-secret-token. Public endpoints (/api/market-overview, /api/sol-price, /api/discover) have rate limiting via withRateLimit. The telegram-webhook and stars-webhook are DUPLICATE - both handle pre_checkout_query and successful_payment events. These should be unified.</w:t>
      </w:r>
    </w:p>
    <w:p>
      <w:pPr>
        <w:spacing w:after="40"/>
      </w:pPr>
    </w:p>
    <w:p>
      <w:pPr>
        <w:pStyle w:val="Heading1"/>
        <w:spacing w:after="200" w:before="480" w:line="312"/>
      </w:pPr>
      <w:bookmarkStart w:id="100045" w:name="_Toc100045"/>
      <w:r>
        <w:rPr>
          <w:rFonts w:ascii="Times New Roman"/>
          <w:b/>
          <w:bCs/>
          <w:color w:val="0F172A"/>
          <w:sz w:val="32"/>
          <w:szCs w:val="32"/>
        </w:rPr>
        <w:t xml:space="preserve">14. Internationalization Audit</w:t>
      </w:r>
      <w:bookmarkEnd w:id="100045"/>
    </w:p>
    <w:p>
      <w:pPr>
        <w:spacing w:after="80" w:line="312"/>
      </w:pPr>
      <w:r>
        <w:rPr>
          <w:rFonts w:ascii="Times New Roman"/>
          <w:color w:val="1E293B"/>
          <w:sz w:val="22"/>
          <w:szCs w:val="22"/>
        </w:rPr>
        <w:t xml:space="preserve">The i18n system supports English (synchronous, always loaded) and Arabic (lazy-loaded via dynamic import()). RTL support is architecturally sound: the I18nProvider sets document.documentElement.dir and adds an 'rtl' class. The isRTL boolean is exposed in context. Arabic translations are 100% complete with 1:1 key parity to English (620 lines each), enforced by TypeScript type import.</w:t>
      </w:r>
    </w:p>
    <w:p>
      <w:pPr>
        <w:pStyle w:val="Heading2"/>
        <w:spacing w:after="160" w:before="360" w:line="312"/>
      </w:pPr>
      <w:bookmarkStart w:id="100046" w:name="_Toc100046"/>
      <w:r>
        <w:rPr>
          <w:rFonts w:ascii="Times New Roman"/>
          <w:b/>
          <w:bCs/>
          <w:color w:val="0F172A"/>
          <w:sz w:val="28"/>
          <w:szCs w:val="28"/>
        </w:rPr>
        <w:t xml:space="preserve">14.1 i18n Gaps</w:t>
      </w:r>
      <w:bookmarkEnd w:id="100046"/>
    </w:p>
    <w:p>
      <w:pPr>
        <w:spacing w:after="80" w:line="312"/>
      </w:pPr>
      <w:r>
        <w:rPr>
          <w:rFonts w:ascii="Times New Roman"/>
          <w:color w:val="1E293B"/>
          <w:sz w:val="22"/>
          <w:szCs w:val="22"/>
        </w:rPr>
        <w:t xml:space="preserve">Five components hardcode strings instead of using the i18n system. Three components hardcode Arabic strings (bypassing i18n): UnifiedFeed.tsx (empty state messages, button labels), SmartBottomSheet.tsx (button labels, volume label), and CopilotDrawer.tsx (agent labels). Two categories of hardcoded English exist: (1) agent panel labels in CoachOverlay, HunterScoreCard, GovernorRiskPanel, AnalystReportPanel (Strong Buy, Low Risk, etc.), SignalBadge.tsx (STRONG BUY, BUY, etc.), and atoms.tsx (Bullish, Bearish, Setup strength labels), and (2) all 4 TradingView embed widgets have locale hardcoded to 'en'. Additionally, PageLayout.tsx uses borderLeft instead of the CSS logical property borderInlineStart, breaking RTL layout for DataRow components.</w:t>
      </w:r>
    </w:p>
    <w:p>
      <w:pPr>
        <w:spacing w:after="40"/>
      </w:pPr>
    </w:p>
    <w:p>
      <w:pPr>
        <w:pStyle w:val="Heading1"/>
        <w:spacing w:after="200" w:before="480" w:line="312"/>
      </w:pPr>
      <w:bookmarkStart w:id="100047" w:name="_Toc100047"/>
      <w:r>
        <w:rPr>
          <w:rFonts w:ascii="Times New Roman"/>
          <w:b/>
          <w:bCs/>
          <w:color w:val="0F172A"/>
          <w:sz w:val="32"/>
          <w:szCs w:val="32"/>
        </w:rPr>
        <w:t xml:space="preserve">15. Capability Classification Matrix</w:t>
      </w:r>
      <w:bookmarkEnd w:id="100047"/>
    </w:p>
    <w:p>
      <w:pPr>
        <w:spacing w:after="80" w:line="312"/>
      </w:pPr>
      <w:r>
        <w:rPr>
          <w:rFonts w:ascii="Times New Roman"/>
          <w:color w:val="1E293B"/>
          <w:sz w:val="22"/>
          <w:szCs w:val="22"/>
        </w:rPr>
        <w:t xml:space="preserve">This is the master classification table required by Phase 0 of the VIXOR V2 Master Transformation Contract. Every major user-facing capability is classified with evidence. This matrix serves as the input for Phase 1 (Architecture Decision Freeze) and all subsequent implementation phases.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
        <w:gridCol w:w="20"/>
        <w:gridCol w:w="12"/>
        <w:gridCol w:w="64"/>
      </w:tblGrid>
      <w:tr>
        <w:trPr>
          <w:cantSplit/>
          <w:tblHeader/>
        </w:trPr>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Capability</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Classification</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Evidence / File Citation</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1</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Token Discovery Pipeline</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5-stage scoring (S1-S5), DexScreener/Birdeye/Helius/LunarCrush/Twitter clients; domains/discovery/functions.ts</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2</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Live Crypto Prices (WS)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Binance WS + DexScreener WS; shared/market-data/binance-ws.ts, dexscreener-ws.ts</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3</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Forex/Commodity Prices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PARTIAL</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TwelveData + ExchangeRate-API cascade; degrades to null without TWELVEDATA_API_KEY; market/server/price-fetcher.ts</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4</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Chart Analysis (AI)</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1116-line SMC/ICT engine + VLM vision + grounded data injection; domains/analysis/engine/engine.ts</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5</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Backtesting Engine</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Candle-by-candle simulator, Sharpe/Sortino/drawdown, 200-candle &lt;500ms KPI; domains/backtest/engine/simulator.ts</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6</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Signal Generation (Cron)</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Daily cron (00:00), Binance/TwelveData -&gt; local analysis; server/api/generate-signals.ts</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7</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Signal Transition Authority</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PARTIAL</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Engine exists (75 tests) but NOT invoked from server; client evaluates transitions; signal-tracking/transition-engine.ts</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8</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Trade Execution (Exchange)</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Binance/Bybit/OKX/CCXT/Exness adapters with HMAC signing; trading/gateway/</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9</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Trade Creation (DB)</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BROKEN</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createTrade drops validated fields via 'as any'; trades/functions.ts</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10</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Portfolio Tracking</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PARTIAL</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Derived from user trades, not wallet balances; shared/data/index.ts:getPortfolioData</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11</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Wallet Connection (SIWE)</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Solana ed25519 + EVM viem signature verification; wallet/functions.ts</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12</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Arbitrage Scanning</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MOCK</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Defaults to mock mode; real Jupiter/Axiom clients exist; domains/arbitrage/config.ts</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13</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MOXI AI Copilot</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4 agents + LLMRouter (ZAI/Anthropic/Groq/OpenAI); moxi/functions.ts</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14</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Price Alerts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Cron (00:30), real price comparison; trading/server/alert-checker.ts</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15</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Journal / Notes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Full CRUD on trading_notes; notes/functions.ts</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16</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Daily Loop (Routine)</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Morning prep + session tracking + EOD review + streaks; daily-loop/functions.ts</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17</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Watchlist Management</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8 server fns, full CRUD with ownership; watchlist/functions.ts</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18</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Notification System</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REAL</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4 channels: in-app, Telegram, Email, Webhook; shared/notifications/</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19</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Event Bus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DEAD</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20 events defined, 6 emitted, ZERO handlers; shared/events/</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20</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Whale Monitoring</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MISSING</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Named 'whale' but shows user's own trades; no blockchain whale tracking exists</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21</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Bonding Curve Tracking</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MISSING</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Named 'curves' but groups user's trades by pair; no on-chain bonding curve data</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22</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Perpetuals / Futures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MISSING</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Named 'perpetuals' but shows trade positions; no exchange futures connection</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23</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DeFi Yield Tracking</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MISSING</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Named 'yield' but computes from closed trades; no DeFi protocol integration</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24</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Community / Social</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MISSING</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Named 'communities' but shows user's own strategies/notes; no social features</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25</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On-Chain Activity Feed</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MISSING</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Named 'activity-web3' but reuses wallet data; no transaction history from chain</w:t>
            </w:r>
          </w:p>
        </w:tc>
      </w:tr>
    </w:tbl>
    <w:p>
      <w:pPr>
        <w:spacing w:after="40"/>
      </w:pPr>
    </w:p>
    <w:p>
      <w:pPr>
        <w:pStyle w:val="Heading1"/>
        <w:spacing w:after="200" w:before="480" w:line="312"/>
      </w:pPr>
      <w:bookmarkStart w:id="100048" w:name="_Toc100048"/>
      <w:r>
        <w:rPr>
          <w:rFonts w:ascii="Times New Roman"/>
          <w:b/>
          <w:bCs/>
          <w:color w:val="0F172A"/>
          <w:sz w:val="32"/>
          <w:szCs w:val="32"/>
        </w:rPr>
        <w:t xml:space="preserve">16. Critical Findings &amp; Risk Summary</w:t>
      </w:r>
      <w:bookmarkEnd w:id="100048"/>
    </w:p>
    <w:p>
      <w:pPr>
        <w:spacing w:after="80" w:line="312"/>
      </w:pPr>
      <w:r>
        <w:rPr>
          <w:rFonts w:ascii="Times New Roman"/>
          <w:color w:val="1E293B"/>
          <w:sz w:val="22"/>
          <w:szCs w:val="22"/>
        </w:rPr>
        <w:t xml:space="preserve">This section consolidates all findings that require immediate attention before Phase 1 (Architecture Decision Freeze) can proceed. Each finding is rated by severity and includes the recommended action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
        <w:gridCol w:w="10"/>
        <w:gridCol w:w="40"/>
        <w:gridCol w:w="30"/>
        <w:gridCol w:w="16"/>
      </w:tblGrid>
      <w:tr>
        <w:trPr>
          <w:cantSplit/>
          <w:tblHeader/>
        </w:trPr>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Severity</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Finding</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Location</w:t>
            </w:r>
          </w:p>
        </w:tc>
        <w:tc>
          <w:tcPr>
            <w:tcBorders>
              <w:top w:val="single" w:color="64748B" w:sz="4"/>
              <w:left w:val="none"/>
              <w:bottom w:val="single" w:color="64748B" w:sz="4"/>
              <w:right w:val="none"/>
            </w:tcBorders>
            <w:shd w:fill="0F172A" w:val="clear"/>
          </w:tcPr>
          <w:p>
            <w:pPr>
              <w:spacing w:after="40" w:before="40"/>
            </w:pPr>
            <w:r>
              <w:rPr>
                <w:rFonts w:ascii="Calibri"/>
                <w:b/>
                <w:bCs/>
                <w:color w:val="FFFFFF"/>
                <w:sz w:val="18"/>
                <w:szCs w:val="18"/>
              </w:rPr>
              <w:t xml:space="preserve">Action Phase</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F1</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CRITICAL</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createTrade drops validated fields (pair, direction, entry_price)</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domains/trades/functions.ts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Phase 2 (immediate fix)</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F2</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HIGH</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Signal transition engine exists but is never invoked from server</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signal-tracking/transition-engine.ts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Phase 5 (Signal Runtime Authority)</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F3</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HIGH</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18 database tables missing from TypeScript types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shared/supabase/types.ts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Phase 2 (Data Foundation)</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F4</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HIGH</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Event bus: 20 events defined, ZERO handlers registered</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shared/events/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Phase 6 (Atomicity/Events)</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F5</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MEDIUM</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4 DEAD market data client files in shared/</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shared/market-data/</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Phase 2 (cleanup)</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F6</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MEDIUM</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10 truly unused npm dependencies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package.json</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Phase 2 (cleanup)</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F7</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MEDIUM</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Signal tracking: client-authoritative price evaluation</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signal-tracking/functions.ts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Phase 5 (Signal Runtime Authority)</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F8</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MEDIUM</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4 AI agent panels with 80% duplicated code</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components/vixor/Coach*,Hunter*,Governor*,Analyst*</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Phase 10 (UX V2)</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F9</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MEDIUM</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2 chart components with 80% duplicated code</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CandlestickChart.tsx, DexChart.tsx</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Phase 2 (consolidation)</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F10</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MEDIUM</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telegram-webhook and stars-webhook are DUPLICATE</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server/api/telegram-webhook.ts, stars-webhook.ts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Phase 2 (cleanup)</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F11</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MEDIUM</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5 components hardcode strings (bypass i18n)</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UnifiedFeed, SmartBottomSheet, CopilotDrawer, atoms, SignalBadge</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Phase 10 (UX V2)</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F12</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LOW</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signal_status enum mismatch (invalidated missing from DB type)</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shared/supabase/types.ts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Phase 2 (types fix)</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F13</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LOW</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.env.example incomplete (13 of 25+ vars documented)</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.env.example</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Phase 1 (documentation)</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F14</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LOW</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8 Storybook stories orphaned (no Storybook config)</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components/vixor/*.stories.tsx</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Phase 2 (remove or configure)</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F15</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LOW</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debate/index.ts is dead code (keyword counting vs real engine)</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domains/debate/index.ts</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Phase 2 (cleanup)</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F16</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LOW</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2 completely orphaned routes (/activity-web3, /communities)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routes/_authenticated/</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Phase 9 (Route Consolidation)</w:t>
            </w:r>
          </w:p>
        </w:tc>
      </w:tr>
      <w:tr>
        <w:trPr>
          <w:cantSplit/>
        </w:trPr>
        <w:tc>
          <w:tcPr>
            <w:tcBorders>
              <w:top w:val="single" w:color="E2E8F0" w:sz="1"/>
              <w:left w:val="none"/>
              <w:bottom w:val="single" w:color="E2E8F0" w:sz="1"/>
              <w:right w:val="none"/>
            </w:tcBorders>
          </w:tcPr>
          <w:p>
            <w:pPr>
              <w:spacing w:after="30" w:before="30"/>
            </w:pPr>
            <w:r>
              <w:rPr>
                <w:rFonts w:ascii="Calibri"/>
                <w:color w:val="1E293B"/>
                <w:sz w:val="18"/>
                <w:szCs w:val="18"/>
              </w:rPr>
              <w:t xml:space="preserve">F17</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INFO</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3 lock files (pnpm, npm, bun) - should consolidate to pnpm only</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Root directory</w:t>
            </w:r>
          </w:p>
        </w:tc>
        <w:tc>
          <w:tcPr>
            <w:tcBorders>
              <w:top w:val="single" w:color="E2E8F0" w:sz="1"/>
              <w:left w:val="none"/>
              <w:bottom w:val="single" w:color="E2E8F0" w:sz="1"/>
              <w:right w:val="none"/>
            </w:tcBorders>
          </w:tcPr>
          <w:p>
            <w:pPr>
              <w:spacing w:after="30" w:before="30"/>
            </w:pPr>
            <w:r>
              <w:rPr>
                <w:rFonts w:ascii="Calibri"/>
                <w:color w:val="1E293B"/>
                <w:sz w:val="18"/>
                <w:szCs w:val="18"/>
              </w:rPr>
              <w:t xml:space="preserve">Phase 2 (cleanup)</w:t>
            </w:r>
          </w:p>
        </w:tc>
      </w:tr>
      <w:tr>
        <w:trPr>
          <w:cantSplit/>
        </w:trPr>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F18</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INFO</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No CI pipeline (no test script, no GitHub Actions)</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package.json</w:t>
            </w:r>
          </w:p>
        </w:tc>
        <w:tc>
          <w:tcPr>
            <w:tcBorders>
              <w:top w:val="single" w:color="E2E8F0" w:sz="1"/>
              <w:left w:val="none"/>
              <w:bottom w:val="single" w:color="E2E8F0" w:sz="1"/>
              <w:right w:val="none"/>
            </w:tcBorders>
            <w:shd w:fill="F1F5F9" w:val="clear"/>
          </w:tcPr>
          <w:p>
            <w:pPr>
              <w:spacing w:after="30" w:before="30"/>
            </w:pPr>
            <w:r>
              <w:rPr>
                <w:rFonts w:ascii="Calibri"/>
                <w:color w:val="1E293B"/>
                <w:sz w:val="18"/>
                <w:szCs w:val="18"/>
              </w:rPr>
              <w:t xml:space="preserve">Phase 1 (infra)</w:t>
            </w:r>
          </w:p>
        </w:tc>
      </w:tr>
    </w:tbl>
    <w:p>
      <w:pPr>
        <w:spacing w:after="40"/>
      </w:pPr>
    </w:p>
    <w:p>
      <w:pPr>
        <w:spacing w:after="80" w:line="312"/>
      </w:pPr>
      <w:r>
        <w:rPr>
          <w:rFonts w:ascii="Times New Roman"/>
          <w:color w:val="1E293B"/>
          <w:sz w:val="22"/>
          <w:szCs w:val="22"/>
        </w:rPr>
        <w:t xml:space="preserve">This baseline document is complete. All findings are evidence-based with exact file citations. No code was modified during this audit. The next authorized action is Phase 1: Architecture + OSS Decision Freeze, which will use this baseline as its input to produce an implementation matrix that maps each V2 capability to existing code, new code, OSS integrations, and migration paths. Per the VIXOR V2 Master Transformation Contract, Tasks 2 through 7 remain STOPPED and must be re-planned within the V2 architecture after Phase 0 and Phase 1 are complete.</w:t>
      </w:r>
    </w:p>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4748B"/>
        <w:sz w:val="18"/>
        <w:szCs w:val="18"/>
      </w:rPr>
      <w:t xml:space="preserve">PAGE \* ROMAN \* MERGEFORMAT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4748B"/>
        <w:sz w:val="18"/>
        <w:szCs w:val="18"/>
      </w:rPr>
      <w:t xml:space="preserve">PAGE \* arabic \* MERGEFORMAT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64748B"/>
        <w:sz w:val="16"/>
        <w:szCs w:val="16"/>
      </w:rPr>
      <w:t xml:space="preserve">VIXOR REALITY BASELINE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64748B"/>
        <w:sz w:val="16"/>
        <w:szCs w:val="16"/>
      </w:rPr>
      <w:t xml:space="preserve">VIXOR REALITY BASELINE  |  PHASE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1E293B"/>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2026-08-09T23:32:27.019Z</dcterms:created>
  <dcterms:modified xsi:type="dcterms:W3CDTF">2026-08-09T23:32:27.019Z</dcterms:modified>
</cp:coreProperties>
</file>

<file path=docProps/custom.xml><?xml version="1.0" encoding="utf-8"?>
<Properties xmlns="http://schemas.openxmlformats.org/officeDocument/2006/custom-properties" xmlns:vt="http://schemas.openxmlformats.org/officeDocument/2006/docPropsVTypes"/>
</file>